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F4ED41" w14:textId="77777777" w:rsidR="00344C96" w:rsidRPr="00656A94" w:rsidRDefault="00344C96" w:rsidP="00344C96">
      <w:pPr>
        <w:spacing w:before="0" w:after="160" w:line="259" w:lineRule="auto"/>
        <w:rPr>
          <w:b/>
          <w:sz w:val="44"/>
          <w:szCs w:val="28"/>
          <w:lang w:val="en-GB"/>
        </w:rPr>
      </w:pPr>
      <w:bookmarkStart w:id="0" w:name="_GoBack"/>
      <w:bookmarkEnd w:id="0"/>
      <w:r w:rsidRPr="00656A94">
        <w:rPr>
          <w:b/>
          <w:sz w:val="28"/>
        </w:rPr>
        <w:t xml:space="preserve">Annex </w:t>
      </w:r>
      <w:r>
        <w:rPr>
          <w:b/>
          <w:sz w:val="28"/>
        </w:rPr>
        <w:t>III</w:t>
      </w:r>
    </w:p>
    <w:p w14:paraId="463EB626" w14:textId="77777777" w:rsidR="00344C96" w:rsidRPr="00BD0804" w:rsidRDefault="00344C96" w:rsidP="00344C96">
      <w:pPr>
        <w:pStyle w:val="H1"/>
        <w:numPr>
          <w:ilvl w:val="0"/>
          <w:numId w:val="0"/>
        </w:numPr>
        <w:spacing w:after="120"/>
        <w:jc w:val="both"/>
        <w:rPr>
          <w:rFonts w:ascii="Cambria" w:hAnsi="Cambria"/>
        </w:rPr>
      </w:pPr>
      <w:r w:rsidRPr="00BD0804">
        <w:rPr>
          <w:rFonts w:ascii="Cambria" w:hAnsi="Cambria"/>
        </w:rPr>
        <w:t xml:space="preserve">Anti-Money Laundering and Countering the Financing of Terrorism </w:t>
      </w:r>
      <w:r>
        <w:rPr>
          <w:rFonts w:ascii="Cambria" w:hAnsi="Cambria"/>
        </w:rPr>
        <w:t>SOPs</w:t>
      </w:r>
    </w:p>
    <w:p w14:paraId="6EDE99FB" w14:textId="2552BE89" w:rsidR="00344C96" w:rsidRDefault="00AB0AB4" w:rsidP="00344C96">
      <w:pPr>
        <w:pStyle w:val="H3"/>
        <w:numPr>
          <w:ilvl w:val="0"/>
          <w:numId w:val="0"/>
        </w:numPr>
        <w:spacing w:after="120"/>
        <w:jc w:val="both"/>
        <w:rPr>
          <w:rFonts w:ascii="Cambria" w:hAnsi="Cambria"/>
          <w:sz w:val="28"/>
        </w:rPr>
      </w:pPr>
      <w:r>
        <w:rPr>
          <w:rFonts w:ascii="Cambria" w:hAnsi="Cambria"/>
          <w:sz w:val="28"/>
        </w:rPr>
        <w:t>Indicative</w:t>
      </w:r>
      <w:r w:rsidR="00344C96" w:rsidRPr="0091319D">
        <w:rPr>
          <w:rFonts w:ascii="Cambria" w:hAnsi="Cambria"/>
          <w:sz w:val="28"/>
        </w:rPr>
        <w:t xml:space="preserve"> table of contents</w:t>
      </w:r>
    </w:p>
    <w:p w14:paraId="6CC62BA4" w14:textId="77777777" w:rsidR="00344C96" w:rsidRPr="0091319D" w:rsidRDefault="00344C96" w:rsidP="00344C96">
      <w:pPr>
        <w:pStyle w:val="H3"/>
        <w:numPr>
          <w:ilvl w:val="0"/>
          <w:numId w:val="0"/>
        </w:numPr>
        <w:spacing w:after="120"/>
        <w:jc w:val="both"/>
        <w:rPr>
          <w:rFonts w:ascii="Cambria" w:hAnsi="Cambria"/>
          <w:sz w:val="28"/>
        </w:rPr>
      </w:pPr>
    </w:p>
    <w:tbl>
      <w:tblPr>
        <w:tblStyle w:val="TableGrid"/>
        <w:tblW w:w="87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45"/>
        <w:gridCol w:w="7450"/>
      </w:tblGrid>
      <w:tr w:rsidR="00344C96" w:rsidRPr="00DC4B76" w14:paraId="3E77A70C" w14:textId="77777777" w:rsidTr="00DA7DC6">
        <w:tc>
          <w:tcPr>
            <w:tcW w:w="1345" w:type="dxa"/>
            <w:shd w:val="clear" w:color="auto" w:fill="auto"/>
          </w:tcPr>
          <w:p w14:paraId="09851D5B" w14:textId="77777777" w:rsidR="00344C96" w:rsidRPr="00707480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</w:rPr>
            </w:pPr>
            <w:r w:rsidRPr="00707480">
              <w:rPr>
                <w:rFonts w:ascii="Cambria" w:hAnsi="Cambria"/>
              </w:rPr>
              <w:t>1</w:t>
            </w:r>
          </w:p>
        </w:tc>
        <w:tc>
          <w:tcPr>
            <w:tcW w:w="7450" w:type="dxa"/>
            <w:shd w:val="clear" w:color="auto" w:fill="auto"/>
          </w:tcPr>
          <w:p w14:paraId="52C3D964" w14:textId="77777777" w:rsidR="00344C96" w:rsidRPr="00707480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</w:rPr>
            </w:pPr>
            <w:r w:rsidRPr="00707480">
              <w:rPr>
                <w:rFonts w:ascii="Cambria" w:hAnsi="Cambria"/>
              </w:rPr>
              <w:t>Introduction</w:t>
            </w:r>
          </w:p>
        </w:tc>
      </w:tr>
      <w:tr w:rsidR="00344C96" w:rsidRPr="00DC4B76" w14:paraId="6F48F049" w14:textId="77777777" w:rsidTr="00DA7DC6">
        <w:tc>
          <w:tcPr>
            <w:tcW w:w="1345" w:type="dxa"/>
            <w:shd w:val="clear" w:color="auto" w:fill="auto"/>
          </w:tcPr>
          <w:p w14:paraId="0F504969" w14:textId="77777777" w:rsidR="00344C96" w:rsidRPr="00707480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</w:rPr>
            </w:pPr>
            <w:r w:rsidRPr="00707480">
              <w:rPr>
                <w:rFonts w:ascii="Cambria" w:hAnsi="Cambria"/>
              </w:rPr>
              <w:t>2</w:t>
            </w:r>
          </w:p>
        </w:tc>
        <w:tc>
          <w:tcPr>
            <w:tcW w:w="7450" w:type="dxa"/>
            <w:shd w:val="clear" w:color="auto" w:fill="auto"/>
          </w:tcPr>
          <w:p w14:paraId="161CF0A7" w14:textId="77777777" w:rsidR="00344C96" w:rsidRPr="00707480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</w:rPr>
            </w:pPr>
            <w:r w:rsidRPr="00707480">
              <w:rPr>
                <w:rFonts w:ascii="Cambria" w:hAnsi="Cambria"/>
              </w:rPr>
              <w:t>Scope and Applicability</w:t>
            </w:r>
          </w:p>
        </w:tc>
      </w:tr>
      <w:tr w:rsidR="00344C96" w:rsidRPr="00DC4B76" w14:paraId="407766F3" w14:textId="77777777" w:rsidTr="00DA7DC6">
        <w:tc>
          <w:tcPr>
            <w:tcW w:w="1345" w:type="dxa"/>
            <w:shd w:val="clear" w:color="auto" w:fill="auto"/>
          </w:tcPr>
          <w:p w14:paraId="5C371482" w14:textId="77777777" w:rsidR="00344C96" w:rsidRPr="00707480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</w:rPr>
            </w:pPr>
            <w:r w:rsidRPr="00707480">
              <w:rPr>
                <w:rFonts w:ascii="Cambria" w:hAnsi="Cambria"/>
              </w:rPr>
              <w:t>3</w:t>
            </w:r>
          </w:p>
        </w:tc>
        <w:tc>
          <w:tcPr>
            <w:tcW w:w="7450" w:type="dxa"/>
            <w:shd w:val="clear" w:color="auto" w:fill="auto"/>
          </w:tcPr>
          <w:p w14:paraId="481A9FF5" w14:textId="77777777" w:rsidR="00344C96" w:rsidRPr="00707480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</w:rPr>
            </w:pPr>
            <w:r w:rsidRPr="00707480">
              <w:rPr>
                <w:rFonts w:ascii="Cambria" w:hAnsi="Cambria"/>
              </w:rPr>
              <w:t>Purpose and Objectives</w:t>
            </w:r>
          </w:p>
        </w:tc>
      </w:tr>
      <w:tr w:rsidR="00344C96" w:rsidRPr="00DC4B76" w14:paraId="560E8286" w14:textId="77777777" w:rsidTr="00DA7DC6">
        <w:tc>
          <w:tcPr>
            <w:tcW w:w="1345" w:type="dxa"/>
            <w:shd w:val="clear" w:color="auto" w:fill="auto"/>
          </w:tcPr>
          <w:p w14:paraId="3FB5562A" w14:textId="77777777" w:rsidR="00344C96" w:rsidRPr="00707480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4</w:t>
            </w:r>
          </w:p>
        </w:tc>
        <w:tc>
          <w:tcPr>
            <w:tcW w:w="7450" w:type="dxa"/>
            <w:shd w:val="clear" w:color="auto" w:fill="auto"/>
          </w:tcPr>
          <w:p w14:paraId="2AB75397" w14:textId="77777777" w:rsidR="00344C96" w:rsidRPr="00707480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</w:rPr>
            </w:pPr>
            <w:r w:rsidRPr="00707480">
              <w:rPr>
                <w:rFonts w:ascii="Cambria" w:hAnsi="Cambria"/>
              </w:rPr>
              <w:t>AML/CFT Risk</w:t>
            </w:r>
            <w:r>
              <w:rPr>
                <w:rFonts w:ascii="Cambria" w:hAnsi="Cambria"/>
              </w:rPr>
              <w:t xml:space="preserve"> Assessment</w:t>
            </w:r>
          </w:p>
        </w:tc>
      </w:tr>
      <w:tr w:rsidR="00344C96" w:rsidRPr="00DC4B76" w14:paraId="347D1FBA" w14:textId="77777777" w:rsidTr="00DA7DC6">
        <w:tc>
          <w:tcPr>
            <w:tcW w:w="1345" w:type="dxa"/>
            <w:shd w:val="clear" w:color="auto" w:fill="auto"/>
          </w:tcPr>
          <w:p w14:paraId="05B23124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  <w:lang w:val="en-US"/>
              </w:rPr>
            </w:pPr>
            <w:r>
              <w:rPr>
                <w:rFonts w:ascii="Cambria" w:hAnsi="Cambria"/>
                <w:b w:val="0"/>
                <w:lang w:val="en-US"/>
              </w:rPr>
              <w:t>4</w:t>
            </w:r>
            <w:r w:rsidRPr="00341A09">
              <w:rPr>
                <w:rFonts w:ascii="Cambria" w:hAnsi="Cambria"/>
                <w:b w:val="0"/>
                <w:lang w:val="en-US"/>
              </w:rPr>
              <w:t>.</w:t>
            </w:r>
            <w:r>
              <w:rPr>
                <w:rFonts w:ascii="Cambria" w:hAnsi="Cambria"/>
                <w:b w:val="0"/>
                <w:lang w:val="en-US"/>
              </w:rPr>
              <w:t>1</w:t>
            </w:r>
            <w:r w:rsidRPr="00341A09">
              <w:rPr>
                <w:rFonts w:ascii="Cambria" w:hAnsi="Cambria"/>
                <w:b w:val="0"/>
                <w:lang w:val="en-US"/>
              </w:rPr>
              <w:t>.</w:t>
            </w:r>
          </w:p>
        </w:tc>
        <w:tc>
          <w:tcPr>
            <w:tcW w:w="7450" w:type="dxa"/>
            <w:shd w:val="clear" w:color="auto" w:fill="auto"/>
          </w:tcPr>
          <w:p w14:paraId="2013D91E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Risk Factors Related to Counterparty Types</w:t>
            </w:r>
          </w:p>
        </w:tc>
      </w:tr>
      <w:tr w:rsidR="00344C96" w:rsidRPr="00DC4B76" w14:paraId="4E633260" w14:textId="77777777" w:rsidTr="00DA7DC6">
        <w:tc>
          <w:tcPr>
            <w:tcW w:w="1345" w:type="dxa"/>
            <w:shd w:val="clear" w:color="auto" w:fill="auto"/>
          </w:tcPr>
          <w:p w14:paraId="3F36F584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4</w:t>
            </w:r>
            <w:r w:rsidRPr="00341A09">
              <w:rPr>
                <w:rFonts w:ascii="Cambria" w:hAnsi="Cambria"/>
                <w:b w:val="0"/>
              </w:rPr>
              <w:t>.</w:t>
            </w:r>
            <w:r>
              <w:rPr>
                <w:rFonts w:ascii="Cambria" w:hAnsi="Cambria"/>
                <w:b w:val="0"/>
              </w:rPr>
              <w:t>1</w:t>
            </w:r>
            <w:r w:rsidRPr="00341A09">
              <w:rPr>
                <w:rFonts w:ascii="Cambria" w:hAnsi="Cambria"/>
                <w:b w:val="0"/>
              </w:rPr>
              <w:t>.1</w:t>
            </w:r>
          </w:p>
        </w:tc>
        <w:tc>
          <w:tcPr>
            <w:tcW w:w="7450" w:type="dxa"/>
            <w:shd w:val="clear" w:color="auto" w:fill="auto"/>
          </w:tcPr>
          <w:p w14:paraId="3A75A5B7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Higher Risks Indicators (Counterparty)</w:t>
            </w:r>
          </w:p>
        </w:tc>
      </w:tr>
      <w:tr w:rsidR="00344C96" w:rsidRPr="00DC4B76" w14:paraId="783EB2D1" w14:textId="77777777" w:rsidTr="00DA7DC6">
        <w:tc>
          <w:tcPr>
            <w:tcW w:w="1345" w:type="dxa"/>
            <w:shd w:val="clear" w:color="auto" w:fill="auto"/>
          </w:tcPr>
          <w:p w14:paraId="4E905EFF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4</w:t>
            </w:r>
            <w:r w:rsidRPr="00341A09">
              <w:rPr>
                <w:rFonts w:ascii="Cambria" w:hAnsi="Cambria"/>
                <w:b w:val="0"/>
              </w:rPr>
              <w:t>.</w:t>
            </w:r>
            <w:r>
              <w:rPr>
                <w:rFonts w:ascii="Cambria" w:hAnsi="Cambria"/>
                <w:b w:val="0"/>
              </w:rPr>
              <w:t>1</w:t>
            </w:r>
            <w:r w:rsidRPr="00341A09">
              <w:rPr>
                <w:rFonts w:ascii="Cambria" w:hAnsi="Cambria"/>
                <w:b w:val="0"/>
              </w:rPr>
              <w:t>.</w:t>
            </w:r>
            <w:r>
              <w:rPr>
                <w:rFonts w:ascii="Cambria" w:hAnsi="Cambria"/>
                <w:b w:val="0"/>
              </w:rPr>
              <w:t>2</w:t>
            </w:r>
          </w:p>
        </w:tc>
        <w:tc>
          <w:tcPr>
            <w:tcW w:w="7450" w:type="dxa"/>
            <w:shd w:val="clear" w:color="auto" w:fill="auto"/>
          </w:tcPr>
          <w:p w14:paraId="1399397A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Lower Risks Indicators (Counterparty)</w:t>
            </w:r>
          </w:p>
        </w:tc>
      </w:tr>
      <w:tr w:rsidR="00344C96" w:rsidRPr="00DC4B76" w14:paraId="4AB964EE" w14:textId="77777777" w:rsidTr="00DA7DC6">
        <w:tc>
          <w:tcPr>
            <w:tcW w:w="1345" w:type="dxa"/>
            <w:shd w:val="clear" w:color="auto" w:fill="auto"/>
          </w:tcPr>
          <w:p w14:paraId="185EF04B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4</w:t>
            </w:r>
            <w:r w:rsidRPr="00341A09">
              <w:rPr>
                <w:rFonts w:ascii="Cambria" w:hAnsi="Cambria"/>
                <w:b w:val="0"/>
              </w:rPr>
              <w:t>.</w:t>
            </w:r>
            <w:r>
              <w:rPr>
                <w:rFonts w:ascii="Cambria" w:hAnsi="Cambria"/>
                <w:b w:val="0"/>
              </w:rPr>
              <w:t>2</w:t>
            </w:r>
          </w:p>
        </w:tc>
        <w:tc>
          <w:tcPr>
            <w:tcW w:w="7450" w:type="dxa"/>
            <w:shd w:val="clear" w:color="auto" w:fill="auto"/>
          </w:tcPr>
          <w:p w14:paraId="0D35242C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Risk Factors Related to Country of Geographic Area</w:t>
            </w:r>
          </w:p>
        </w:tc>
      </w:tr>
      <w:tr w:rsidR="00344C96" w:rsidRPr="00DC4B76" w14:paraId="456527B5" w14:textId="77777777" w:rsidTr="00DA7DC6">
        <w:tc>
          <w:tcPr>
            <w:tcW w:w="1345" w:type="dxa"/>
            <w:shd w:val="clear" w:color="auto" w:fill="auto"/>
          </w:tcPr>
          <w:p w14:paraId="4561DA19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4</w:t>
            </w:r>
            <w:r w:rsidRPr="00341A09">
              <w:rPr>
                <w:rFonts w:ascii="Cambria" w:hAnsi="Cambria"/>
                <w:b w:val="0"/>
              </w:rPr>
              <w:t>.</w:t>
            </w:r>
            <w:r>
              <w:rPr>
                <w:rFonts w:ascii="Cambria" w:hAnsi="Cambria"/>
                <w:b w:val="0"/>
              </w:rPr>
              <w:t>2.1</w:t>
            </w:r>
          </w:p>
        </w:tc>
        <w:tc>
          <w:tcPr>
            <w:tcW w:w="7450" w:type="dxa"/>
            <w:shd w:val="clear" w:color="auto" w:fill="auto"/>
          </w:tcPr>
          <w:p w14:paraId="55F8D08A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Higher Risks Indicators (Country or Geographic Area)</w:t>
            </w:r>
          </w:p>
        </w:tc>
      </w:tr>
      <w:tr w:rsidR="00344C96" w:rsidRPr="00DC4B76" w14:paraId="4EB6060B" w14:textId="77777777" w:rsidTr="00DA7DC6">
        <w:tc>
          <w:tcPr>
            <w:tcW w:w="1345" w:type="dxa"/>
            <w:shd w:val="clear" w:color="auto" w:fill="auto"/>
          </w:tcPr>
          <w:p w14:paraId="54B121F8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  <w:lang w:val="en-US"/>
              </w:rPr>
            </w:pPr>
            <w:r>
              <w:rPr>
                <w:rFonts w:ascii="Cambria" w:hAnsi="Cambria"/>
                <w:b w:val="0"/>
                <w:lang w:val="en-US"/>
              </w:rPr>
              <w:t>4</w:t>
            </w:r>
            <w:r w:rsidRPr="00341A09">
              <w:rPr>
                <w:rFonts w:ascii="Cambria" w:hAnsi="Cambria"/>
                <w:b w:val="0"/>
                <w:lang w:val="en-US"/>
              </w:rPr>
              <w:t>.</w:t>
            </w:r>
            <w:r>
              <w:rPr>
                <w:rFonts w:ascii="Cambria" w:hAnsi="Cambria"/>
                <w:b w:val="0"/>
                <w:lang w:val="en-US"/>
              </w:rPr>
              <w:t>2.2</w:t>
            </w:r>
          </w:p>
        </w:tc>
        <w:tc>
          <w:tcPr>
            <w:tcW w:w="7450" w:type="dxa"/>
            <w:shd w:val="clear" w:color="auto" w:fill="auto"/>
          </w:tcPr>
          <w:p w14:paraId="2A71116B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Lower Risks Indicators (Country or Geographic Area)</w:t>
            </w:r>
          </w:p>
        </w:tc>
      </w:tr>
      <w:tr w:rsidR="00344C96" w:rsidRPr="00DC4B76" w14:paraId="6D8F4FFF" w14:textId="77777777" w:rsidTr="00DA7DC6">
        <w:tc>
          <w:tcPr>
            <w:tcW w:w="1345" w:type="dxa"/>
            <w:shd w:val="clear" w:color="auto" w:fill="auto"/>
          </w:tcPr>
          <w:p w14:paraId="3812BB79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4</w:t>
            </w:r>
            <w:r w:rsidRPr="00341A09">
              <w:rPr>
                <w:rFonts w:ascii="Cambria" w:hAnsi="Cambria"/>
                <w:b w:val="0"/>
              </w:rPr>
              <w:t>.</w:t>
            </w:r>
            <w:r>
              <w:rPr>
                <w:rFonts w:ascii="Cambria" w:hAnsi="Cambria"/>
                <w:b w:val="0"/>
              </w:rPr>
              <w:t>3</w:t>
            </w:r>
          </w:p>
        </w:tc>
        <w:tc>
          <w:tcPr>
            <w:tcW w:w="7450" w:type="dxa"/>
            <w:shd w:val="clear" w:color="auto" w:fill="auto"/>
          </w:tcPr>
          <w:p w14:paraId="41AEE4E0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Risk Factors Related to Product, Service</w:t>
            </w:r>
            <w:r>
              <w:rPr>
                <w:rFonts w:ascii="Cambria" w:hAnsi="Cambria"/>
                <w:b w:val="0"/>
              </w:rPr>
              <w:t xml:space="preserve"> </w:t>
            </w:r>
            <w:r w:rsidRPr="00341A09">
              <w:rPr>
                <w:rFonts w:ascii="Cambria" w:hAnsi="Cambria"/>
                <w:b w:val="0"/>
              </w:rPr>
              <w:t>or Delivery Channel</w:t>
            </w:r>
          </w:p>
        </w:tc>
      </w:tr>
      <w:tr w:rsidR="00344C96" w:rsidRPr="00DC4B76" w14:paraId="747D5CD5" w14:textId="77777777" w:rsidTr="00DA7DC6">
        <w:tc>
          <w:tcPr>
            <w:tcW w:w="1345" w:type="dxa"/>
            <w:shd w:val="clear" w:color="auto" w:fill="auto"/>
          </w:tcPr>
          <w:p w14:paraId="2DFCD5AF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4</w:t>
            </w:r>
            <w:r w:rsidRPr="00341A09">
              <w:rPr>
                <w:rFonts w:ascii="Cambria" w:hAnsi="Cambria"/>
                <w:b w:val="0"/>
              </w:rPr>
              <w:t>.</w:t>
            </w:r>
            <w:r>
              <w:rPr>
                <w:rFonts w:ascii="Cambria" w:hAnsi="Cambria"/>
                <w:b w:val="0"/>
              </w:rPr>
              <w:t>3.1</w:t>
            </w:r>
          </w:p>
        </w:tc>
        <w:tc>
          <w:tcPr>
            <w:tcW w:w="7450" w:type="dxa"/>
            <w:shd w:val="clear" w:color="auto" w:fill="auto"/>
          </w:tcPr>
          <w:p w14:paraId="579E71B7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Higher Risks Indicators (Product, Service</w:t>
            </w:r>
            <w:r>
              <w:rPr>
                <w:rFonts w:ascii="Cambria" w:hAnsi="Cambria"/>
                <w:b w:val="0"/>
              </w:rPr>
              <w:t xml:space="preserve"> </w:t>
            </w:r>
            <w:r w:rsidRPr="00341A09">
              <w:rPr>
                <w:rFonts w:ascii="Cambria" w:hAnsi="Cambria"/>
                <w:b w:val="0"/>
              </w:rPr>
              <w:t>or Delivery Channel)</w:t>
            </w:r>
          </w:p>
        </w:tc>
      </w:tr>
      <w:tr w:rsidR="00344C96" w:rsidRPr="00DC4B76" w14:paraId="2D2C95D3" w14:textId="77777777" w:rsidTr="00DA7DC6">
        <w:tc>
          <w:tcPr>
            <w:tcW w:w="1345" w:type="dxa"/>
            <w:shd w:val="clear" w:color="auto" w:fill="auto"/>
          </w:tcPr>
          <w:p w14:paraId="085F520A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  <w:lang w:val="en-US"/>
              </w:rPr>
            </w:pPr>
            <w:r>
              <w:rPr>
                <w:rFonts w:ascii="Cambria" w:hAnsi="Cambria"/>
                <w:b w:val="0"/>
                <w:lang w:val="en-US"/>
              </w:rPr>
              <w:t>4</w:t>
            </w:r>
            <w:r w:rsidRPr="00341A09">
              <w:rPr>
                <w:rFonts w:ascii="Cambria" w:hAnsi="Cambria"/>
                <w:b w:val="0"/>
                <w:lang w:val="en-US"/>
              </w:rPr>
              <w:t>.</w:t>
            </w:r>
            <w:r>
              <w:rPr>
                <w:rFonts w:ascii="Cambria" w:hAnsi="Cambria"/>
                <w:b w:val="0"/>
                <w:lang w:val="en-US"/>
              </w:rPr>
              <w:t>3.2</w:t>
            </w:r>
          </w:p>
        </w:tc>
        <w:tc>
          <w:tcPr>
            <w:tcW w:w="7450" w:type="dxa"/>
            <w:shd w:val="clear" w:color="auto" w:fill="auto"/>
          </w:tcPr>
          <w:p w14:paraId="4BDB0A72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Lower Risks Indicators (Product, Service</w:t>
            </w:r>
            <w:r>
              <w:rPr>
                <w:rFonts w:ascii="Cambria" w:hAnsi="Cambria"/>
                <w:b w:val="0"/>
              </w:rPr>
              <w:t xml:space="preserve"> </w:t>
            </w:r>
            <w:r w:rsidRPr="00341A09">
              <w:rPr>
                <w:rFonts w:ascii="Cambria" w:hAnsi="Cambria"/>
                <w:b w:val="0"/>
              </w:rPr>
              <w:t>or Delivery Channel)</w:t>
            </w:r>
          </w:p>
        </w:tc>
      </w:tr>
      <w:tr w:rsidR="00344C96" w:rsidRPr="00DC4B76" w14:paraId="1748F63E" w14:textId="77777777" w:rsidTr="00DA7DC6">
        <w:tc>
          <w:tcPr>
            <w:tcW w:w="1345" w:type="dxa"/>
            <w:shd w:val="clear" w:color="auto" w:fill="auto"/>
          </w:tcPr>
          <w:p w14:paraId="227C9466" w14:textId="77777777" w:rsidR="00344C96" w:rsidRPr="00707480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5</w:t>
            </w:r>
          </w:p>
        </w:tc>
        <w:tc>
          <w:tcPr>
            <w:tcW w:w="7450" w:type="dxa"/>
            <w:shd w:val="clear" w:color="auto" w:fill="auto"/>
          </w:tcPr>
          <w:p w14:paraId="2055D13E" w14:textId="77777777" w:rsidR="00344C96" w:rsidRPr="00707480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</w:rPr>
            </w:pPr>
            <w:r w:rsidRPr="00707480">
              <w:rPr>
                <w:rFonts w:ascii="Cambria" w:hAnsi="Cambria"/>
              </w:rPr>
              <w:t>Counterparty Due Diligence (CDD)</w:t>
            </w:r>
          </w:p>
        </w:tc>
      </w:tr>
      <w:tr w:rsidR="00344C96" w:rsidRPr="00DC4B76" w14:paraId="61E8D103" w14:textId="77777777" w:rsidTr="00DA7DC6">
        <w:tc>
          <w:tcPr>
            <w:tcW w:w="1345" w:type="dxa"/>
            <w:shd w:val="clear" w:color="auto" w:fill="auto"/>
          </w:tcPr>
          <w:p w14:paraId="651B5D45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5</w:t>
            </w:r>
            <w:r w:rsidRPr="00341A09">
              <w:rPr>
                <w:rFonts w:ascii="Cambria" w:hAnsi="Cambria"/>
                <w:b w:val="0"/>
              </w:rPr>
              <w:t>.1</w:t>
            </w:r>
          </w:p>
        </w:tc>
        <w:tc>
          <w:tcPr>
            <w:tcW w:w="7450" w:type="dxa"/>
            <w:shd w:val="clear" w:color="auto" w:fill="auto"/>
          </w:tcPr>
          <w:p w14:paraId="65D61B79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Counterparty Identification</w:t>
            </w:r>
          </w:p>
        </w:tc>
      </w:tr>
      <w:tr w:rsidR="00344C96" w:rsidRPr="00DC4B76" w14:paraId="660A926A" w14:textId="77777777" w:rsidTr="00DA7DC6">
        <w:tc>
          <w:tcPr>
            <w:tcW w:w="1345" w:type="dxa"/>
            <w:shd w:val="clear" w:color="auto" w:fill="auto"/>
          </w:tcPr>
          <w:p w14:paraId="3BA75B0C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5</w:t>
            </w:r>
            <w:r w:rsidRPr="00341A09">
              <w:rPr>
                <w:rFonts w:ascii="Cambria" w:hAnsi="Cambria"/>
                <w:b w:val="0"/>
              </w:rPr>
              <w:t>.2</w:t>
            </w:r>
          </w:p>
        </w:tc>
        <w:tc>
          <w:tcPr>
            <w:tcW w:w="7450" w:type="dxa"/>
            <w:shd w:val="clear" w:color="auto" w:fill="auto"/>
          </w:tcPr>
          <w:p w14:paraId="1E5CB7F9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CDD for Natural Persons</w:t>
            </w:r>
          </w:p>
        </w:tc>
      </w:tr>
      <w:tr w:rsidR="00344C96" w:rsidRPr="00DC4B76" w14:paraId="340AE2FD" w14:textId="77777777" w:rsidTr="00DA7DC6">
        <w:tc>
          <w:tcPr>
            <w:tcW w:w="1345" w:type="dxa"/>
            <w:shd w:val="clear" w:color="auto" w:fill="auto"/>
          </w:tcPr>
          <w:p w14:paraId="3E9FC6DF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5</w:t>
            </w:r>
            <w:r w:rsidRPr="00341A09">
              <w:rPr>
                <w:rFonts w:ascii="Cambria" w:hAnsi="Cambria"/>
                <w:b w:val="0"/>
              </w:rPr>
              <w:t>.3</w:t>
            </w:r>
          </w:p>
        </w:tc>
        <w:tc>
          <w:tcPr>
            <w:tcW w:w="7450" w:type="dxa"/>
            <w:shd w:val="clear" w:color="auto" w:fill="auto"/>
          </w:tcPr>
          <w:p w14:paraId="129D351A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CDD for Legal Persons or Arrangements</w:t>
            </w:r>
          </w:p>
        </w:tc>
      </w:tr>
      <w:tr w:rsidR="00344C96" w:rsidRPr="00DC4B76" w14:paraId="1139C5BF" w14:textId="77777777" w:rsidTr="00DA7DC6">
        <w:tc>
          <w:tcPr>
            <w:tcW w:w="1345" w:type="dxa"/>
            <w:shd w:val="clear" w:color="auto" w:fill="auto"/>
          </w:tcPr>
          <w:p w14:paraId="20B2D4C3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5</w:t>
            </w:r>
            <w:r w:rsidRPr="00341A09">
              <w:rPr>
                <w:rFonts w:ascii="Cambria" w:hAnsi="Cambria"/>
                <w:b w:val="0"/>
              </w:rPr>
              <w:t>.4</w:t>
            </w:r>
          </w:p>
        </w:tc>
        <w:tc>
          <w:tcPr>
            <w:tcW w:w="7450" w:type="dxa"/>
            <w:shd w:val="clear" w:color="auto" w:fill="auto"/>
          </w:tcPr>
          <w:p w14:paraId="0798EFF2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CDD – Persons Acting on Behalf of a Counterparty</w:t>
            </w:r>
          </w:p>
        </w:tc>
      </w:tr>
      <w:tr w:rsidR="00344C96" w:rsidRPr="00DC4B76" w14:paraId="065CE30F" w14:textId="77777777" w:rsidTr="00DA7DC6">
        <w:tc>
          <w:tcPr>
            <w:tcW w:w="1345" w:type="dxa"/>
            <w:shd w:val="clear" w:color="auto" w:fill="auto"/>
          </w:tcPr>
          <w:p w14:paraId="7063F804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5</w:t>
            </w:r>
            <w:r w:rsidRPr="00341A09">
              <w:rPr>
                <w:rFonts w:ascii="Cambria" w:hAnsi="Cambria"/>
                <w:b w:val="0"/>
              </w:rPr>
              <w:t>.5</w:t>
            </w:r>
          </w:p>
        </w:tc>
        <w:tc>
          <w:tcPr>
            <w:tcW w:w="7450" w:type="dxa"/>
            <w:shd w:val="clear" w:color="auto" w:fill="auto"/>
          </w:tcPr>
          <w:p w14:paraId="462EA42B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 xml:space="preserve">Enhanced </w:t>
            </w:r>
            <w:r>
              <w:rPr>
                <w:rFonts w:ascii="Cambria" w:hAnsi="Cambria"/>
                <w:b w:val="0"/>
              </w:rPr>
              <w:t xml:space="preserve">Counterparty </w:t>
            </w:r>
            <w:r w:rsidRPr="00341A09">
              <w:rPr>
                <w:rFonts w:ascii="Cambria" w:hAnsi="Cambria"/>
                <w:b w:val="0"/>
              </w:rPr>
              <w:t>Due Diligence (EDD)</w:t>
            </w:r>
          </w:p>
        </w:tc>
      </w:tr>
      <w:tr w:rsidR="00344C96" w:rsidRPr="00DC4B76" w14:paraId="5922D2A3" w14:textId="77777777" w:rsidTr="00DA7DC6">
        <w:tc>
          <w:tcPr>
            <w:tcW w:w="1345" w:type="dxa"/>
            <w:shd w:val="clear" w:color="auto" w:fill="auto"/>
          </w:tcPr>
          <w:p w14:paraId="347F7D55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5</w:t>
            </w:r>
            <w:r w:rsidRPr="00341A09">
              <w:rPr>
                <w:rFonts w:ascii="Cambria" w:hAnsi="Cambria"/>
                <w:b w:val="0"/>
              </w:rPr>
              <w:t>.6</w:t>
            </w:r>
          </w:p>
        </w:tc>
        <w:tc>
          <w:tcPr>
            <w:tcW w:w="7450" w:type="dxa"/>
            <w:shd w:val="clear" w:color="auto" w:fill="auto"/>
          </w:tcPr>
          <w:p w14:paraId="19F7F947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Simplified Counterparty Due Diligence (SDD)</w:t>
            </w:r>
          </w:p>
        </w:tc>
      </w:tr>
      <w:tr w:rsidR="00344C96" w:rsidRPr="00DC4B76" w14:paraId="74A6C22E" w14:textId="77777777" w:rsidTr="00DA7DC6">
        <w:tc>
          <w:tcPr>
            <w:tcW w:w="1345" w:type="dxa"/>
            <w:shd w:val="clear" w:color="auto" w:fill="auto"/>
          </w:tcPr>
          <w:p w14:paraId="27F799BF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5.7</w:t>
            </w:r>
          </w:p>
        </w:tc>
        <w:tc>
          <w:tcPr>
            <w:tcW w:w="7450" w:type="dxa"/>
            <w:shd w:val="clear" w:color="auto" w:fill="auto"/>
          </w:tcPr>
          <w:p w14:paraId="60D208C1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 xml:space="preserve">Counterparty </w:t>
            </w:r>
            <w:r w:rsidRPr="00341A09">
              <w:rPr>
                <w:rFonts w:ascii="Cambria" w:hAnsi="Cambria"/>
                <w:b w:val="0"/>
              </w:rPr>
              <w:t>Risk Matrix</w:t>
            </w:r>
          </w:p>
        </w:tc>
      </w:tr>
      <w:tr w:rsidR="00344C96" w:rsidRPr="00DC4B76" w14:paraId="4F1CC0A2" w14:textId="77777777" w:rsidTr="00DA7DC6">
        <w:tc>
          <w:tcPr>
            <w:tcW w:w="1345" w:type="dxa"/>
            <w:shd w:val="clear" w:color="auto" w:fill="auto"/>
          </w:tcPr>
          <w:p w14:paraId="3C745865" w14:textId="77777777" w:rsidR="00344C96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5</w:t>
            </w:r>
            <w:r w:rsidRPr="00341A09">
              <w:rPr>
                <w:rFonts w:ascii="Cambria" w:hAnsi="Cambria"/>
                <w:b w:val="0"/>
              </w:rPr>
              <w:t>.</w:t>
            </w:r>
            <w:r>
              <w:rPr>
                <w:rFonts w:ascii="Cambria" w:hAnsi="Cambria"/>
                <w:b w:val="0"/>
              </w:rPr>
              <w:t>8</w:t>
            </w:r>
          </w:p>
          <w:p w14:paraId="566FF3EE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5.9</w:t>
            </w:r>
          </w:p>
        </w:tc>
        <w:tc>
          <w:tcPr>
            <w:tcW w:w="7450" w:type="dxa"/>
            <w:shd w:val="clear" w:color="auto" w:fill="auto"/>
          </w:tcPr>
          <w:p w14:paraId="1FEDD81D" w14:textId="77777777" w:rsidR="00344C96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Maintenance of Beneficial Ownership Information</w:t>
            </w:r>
          </w:p>
          <w:p w14:paraId="0288A489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Political Exposed Persons</w:t>
            </w:r>
          </w:p>
        </w:tc>
      </w:tr>
      <w:tr w:rsidR="00344C96" w:rsidRPr="00DC4B76" w14:paraId="28E4E097" w14:textId="77777777" w:rsidTr="00DA7DC6">
        <w:tc>
          <w:tcPr>
            <w:tcW w:w="1345" w:type="dxa"/>
            <w:shd w:val="clear" w:color="auto" w:fill="auto"/>
          </w:tcPr>
          <w:p w14:paraId="1D16EEC8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5</w:t>
            </w:r>
            <w:r w:rsidRPr="00341A09">
              <w:rPr>
                <w:rFonts w:ascii="Cambria" w:hAnsi="Cambria"/>
                <w:b w:val="0"/>
              </w:rPr>
              <w:t>.1</w:t>
            </w:r>
            <w:r>
              <w:rPr>
                <w:rFonts w:ascii="Cambria" w:hAnsi="Cambria"/>
                <w:b w:val="0"/>
              </w:rPr>
              <w:t>0</w:t>
            </w:r>
          </w:p>
        </w:tc>
        <w:tc>
          <w:tcPr>
            <w:tcW w:w="7450" w:type="dxa"/>
            <w:shd w:val="clear" w:color="auto" w:fill="auto"/>
          </w:tcPr>
          <w:p w14:paraId="13D336AA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Reliance on the Third Parties</w:t>
            </w:r>
          </w:p>
        </w:tc>
      </w:tr>
      <w:tr w:rsidR="00344C96" w:rsidRPr="00DC4B76" w14:paraId="5FD55DB5" w14:textId="77777777" w:rsidTr="00DA7DC6">
        <w:tc>
          <w:tcPr>
            <w:tcW w:w="1345" w:type="dxa"/>
            <w:shd w:val="clear" w:color="auto" w:fill="auto"/>
          </w:tcPr>
          <w:p w14:paraId="6F88C99C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5</w:t>
            </w:r>
            <w:r w:rsidRPr="00341A09">
              <w:rPr>
                <w:rFonts w:ascii="Cambria" w:hAnsi="Cambria"/>
                <w:b w:val="0"/>
              </w:rPr>
              <w:t>.1</w:t>
            </w:r>
            <w:r>
              <w:rPr>
                <w:rFonts w:ascii="Cambria" w:hAnsi="Cambria"/>
                <w:b w:val="0"/>
              </w:rPr>
              <w:t>1</w:t>
            </w:r>
          </w:p>
        </w:tc>
        <w:tc>
          <w:tcPr>
            <w:tcW w:w="7450" w:type="dxa"/>
            <w:shd w:val="clear" w:color="auto" w:fill="auto"/>
          </w:tcPr>
          <w:p w14:paraId="6DAB4DD2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Counterparty Acceptance</w:t>
            </w:r>
          </w:p>
        </w:tc>
      </w:tr>
      <w:tr w:rsidR="00344C96" w:rsidRPr="00DC4B76" w14:paraId="7070976B" w14:textId="77777777" w:rsidTr="00DA7DC6">
        <w:tc>
          <w:tcPr>
            <w:tcW w:w="1345" w:type="dxa"/>
            <w:shd w:val="clear" w:color="auto" w:fill="auto"/>
          </w:tcPr>
          <w:p w14:paraId="1778E2AA" w14:textId="77777777" w:rsidR="00344C96" w:rsidRPr="00707480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6</w:t>
            </w:r>
            <w:r w:rsidRPr="00707480">
              <w:rPr>
                <w:rFonts w:ascii="Cambria" w:hAnsi="Cambria"/>
              </w:rPr>
              <w:t>.</w:t>
            </w:r>
          </w:p>
        </w:tc>
        <w:tc>
          <w:tcPr>
            <w:tcW w:w="7450" w:type="dxa"/>
            <w:shd w:val="clear" w:color="auto" w:fill="auto"/>
          </w:tcPr>
          <w:p w14:paraId="139C5B8B" w14:textId="77777777" w:rsidR="00344C96" w:rsidRPr="00707480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</w:rPr>
            </w:pPr>
            <w:r w:rsidRPr="00707480">
              <w:rPr>
                <w:rFonts w:ascii="Cambria" w:hAnsi="Cambria"/>
              </w:rPr>
              <w:t>Monitoring</w:t>
            </w:r>
            <w:r>
              <w:rPr>
                <w:rFonts w:ascii="Cambria" w:hAnsi="Cambria"/>
              </w:rPr>
              <w:t xml:space="preserve"> and Reporting</w:t>
            </w:r>
          </w:p>
        </w:tc>
      </w:tr>
      <w:tr w:rsidR="00344C96" w:rsidRPr="00DC4B76" w14:paraId="6E55AF2F" w14:textId="77777777" w:rsidTr="00DA7DC6">
        <w:tc>
          <w:tcPr>
            <w:tcW w:w="1345" w:type="dxa"/>
            <w:shd w:val="clear" w:color="auto" w:fill="auto"/>
          </w:tcPr>
          <w:p w14:paraId="2A6DDF5B" w14:textId="77777777" w:rsidR="00344C96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6</w:t>
            </w:r>
            <w:r w:rsidRPr="00341A09">
              <w:rPr>
                <w:rFonts w:ascii="Cambria" w:hAnsi="Cambria"/>
                <w:b w:val="0"/>
              </w:rPr>
              <w:t>.</w:t>
            </w:r>
            <w:r>
              <w:rPr>
                <w:rFonts w:ascii="Cambria" w:hAnsi="Cambria"/>
                <w:b w:val="0"/>
              </w:rPr>
              <w:t>1</w:t>
            </w:r>
          </w:p>
          <w:p w14:paraId="541E66B9" w14:textId="77777777" w:rsidR="00344C96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6.2</w:t>
            </w:r>
          </w:p>
          <w:p w14:paraId="2D5797AE" w14:textId="77777777" w:rsidR="00344C96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6.3</w:t>
            </w:r>
          </w:p>
          <w:p w14:paraId="1462CB33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6.4</w:t>
            </w:r>
          </w:p>
        </w:tc>
        <w:tc>
          <w:tcPr>
            <w:tcW w:w="7450" w:type="dxa"/>
            <w:shd w:val="clear" w:color="auto" w:fill="auto"/>
          </w:tcPr>
          <w:p w14:paraId="2D1A26F7" w14:textId="77777777" w:rsidR="00344C96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Activity Monitoring</w:t>
            </w:r>
          </w:p>
          <w:p w14:paraId="5F55977D" w14:textId="77777777" w:rsidR="00344C96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Reporting</w:t>
            </w:r>
          </w:p>
          <w:p w14:paraId="71A1745E" w14:textId="77777777" w:rsidR="00344C96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Red Flag and/or Suspicious Activity Reporting Process</w:t>
            </w:r>
          </w:p>
          <w:p w14:paraId="59FA31CF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Termination of Counterparty Relationship</w:t>
            </w:r>
            <w:r>
              <w:rPr>
                <w:rFonts w:ascii="Cambria" w:hAnsi="Cambria"/>
                <w:b w:val="0"/>
              </w:rPr>
              <w:t>s</w:t>
            </w:r>
          </w:p>
        </w:tc>
      </w:tr>
      <w:tr w:rsidR="00344C96" w:rsidRPr="00DC4B76" w14:paraId="3B049050" w14:textId="77777777" w:rsidTr="00DA7DC6">
        <w:tc>
          <w:tcPr>
            <w:tcW w:w="1345" w:type="dxa"/>
            <w:shd w:val="clear" w:color="auto" w:fill="auto"/>
          </w:tcPr>
          <w:p w14:paraId="682E87DF" w14:textId="77777777" w:rsidR="00344C96" w:rsidRPr="004E5184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7</w:t>
            </w:r>
            <w:r w:rsidRPr="004E5184">
              <w:rPr>
                <w:rFonts w:ascii="Cambria" w:hAnsi="Cambria"/>
              </w:rPr>
              <w:t>.</w:t>
            </w:r>
          </w:p>
        </w:tc>
        <w:tc>
          <w:tcPr>
            <w:tcW w:w="7450" w:type="dxa"/>
            <w:shd w:val="clear" w:color="auto" w:fill="auto"/>
          </w:tcPr>
          <w:p w14:paraId="5C1F6222" w14:textId="77777777" w:rsidR="00344C96" w:rsidRPr="004E5184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</w:rPr>
            </w:pPr>
            <w:r w:rsidRPr="004E5184">
              <w:rPr>
                <w:rFonts w:ascii="Cambria" w:hAnsi="Cambria"/>
              </w:rPr>
              <w:t>Record Keeping</w:t>
            </w:r>
          </w:p>
        </w:tc>
      </w:tr>
      <w:tr w:rsidR="00344C96" w:rsidRPr="00DC4B76" w14:paraId="2A70F333" w14:textId="77777777" w:rsidTr="00DA7DC6">
        <w:tc>
          <w:tcPr>
            <w:tcW w:w="1345" w:type="dxa"/>
            <w:shd w:val="clear" w:color="auto" w:fill="auto"/>
          </w:tcPr>
          <w:p w14:paraId="39211E5C" w14:textId="77777777" w:rsidR="00344C96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A</w:t>
            </w:r>
            <w:r>
              <w:rPr>
                <w:rFonts w:ascii="Cambria" w:hAnsi="Cambria"/>
                <w:b w:val="0"/>
              </w:rPr>
              <w:t>ppendix 1</w:t>
            </w:r>
          </w:p>
          <w:p w14:paraId="46968C55" w14:textId="77777777" w:rsidR="00344C96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Appendix 2</w:t>
            </w:r>
          </w:p>
          <w:p w14:paraId="18927BB6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Appendix 3</w:t>
            </w:r>
          </w:p>
        </w:tc>
        <w:tc>
          <w:tcPr>
            <w:tcW w:w="7450" w:type="dxa"/>
            <w:shd w:val="clear" w:color="auto" w:fill="auto"/>
          </w:tcPr>
          <w:p w14:paraId="46A0BEFF" w14:textId="77777777" w:rsidR="00344C96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 w:rsidRPr="00341A09">
              <w:rPr>
                <w:rFonts w:ascii="Cambria" w:hAnsi="Cambria"/>
                <w:b w:val="0"/>
              </w:rPr>
              <w:t>Counterparty Due Diligence</w:t>
            </w:r>
            <w:r>
              <w:rPr>
                <w:rFonts w:ascii="Cambria" w:hAnsi="Cambria"/>
                <w:b w:val="0"/>
              </w:rPr>
              <w:t xml:space="preserve"> Questionnaire</w:t>
            </w:r>
          </w:p>
          <w:p w14:paraId="1FCC1A39" w14:textId="77777777" w:rsidR="00344C96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Suspicious Activity Reporting Form</w:t>
            </w:r>
          </w:p>
          <w:p w14:paraId="7416D186" w14:textId="77777777" w:rsidR="00344C96" w:rsidRPr="00341A09" w:rsidRDefault="00344C96" w:rsidP="00DA7DC6">
            <w:pPr>
              <w:pStyle w:val="H3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/>
                <w:b w:val="0"/>
              </w:rPr>
            </w:pPr>
            <w:r>
              <w:rPr>
                <w:rFonts w:ascii="Cambria" w:hAnsi="Cambria"/>
                <w:b w:val="0"/>
              </w:rPr>
              <w:t>Counterparty Risk Matrix</w:t>
            </w:r>
          </w:p>
        </w:tc>
      </w:tr>
    </w:tbl>
    <w:p w14:paraId="4A2EA632" w14:textId="77777777" w:rsidR="00344C96" w:rsidRPr="004C4C8A" w:rsidRDefault="00344C96" w:rsidP="00344C96">
      <w:pPr>
        <w:pStyle w:val="H1"/>
        <w:numPr>
          <w:ilvl w:val="0"/>
          <w:numId w:val="0"/>
        </w:numPr>
        <w:spacing w:after="120"/>
        <w:jc w:val="both"/>
        <w:rPr>
          <w:rFonts w:ascii="Cambria" w:hAnsi="Cambria" w:cs="Times New Roman"/>
          <w:b w:val="0"/>
          <w:sz w:val="22"/>
          <w:szCs w:val="22"/>
          <w:lang w:val="en-US"/>
        </w:rPr>
      </w:pPr>
    </w:p>
    <w:p w14:paraId="33ADBBBD" w14:textId="77777777" w:rsidR="00BB5AEE" w:rsidRDefault="00BB5AEE"/>
    <w:sectPr w:rsidR="00BB5AEE" w:rsidSect="0091319D">
      <w:headerReference w:type="even" r:id="rId10"/>
      <w:headerReference w:type="default" r:id="rId11"/>
      <w:headerReference w:type="first" r:id="rId12"/>
      <w:pgSz w:w="11907" w:h="16840" w:code="9"/>
      <w:pgMar w:top="1152" w:right="1440" w:bottom="1152" w:left="1440" w:header="706" w:footer="562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596687" w14:textId="77777777" w:rsidR="00937A61" w:rsidRDefault="00937A61" w:rsidP="00344C96">
      <w:pPr>
        <w:spacing w:before="0" w:after="0" w:line="240" w:lineRule="auto"/>
      </w:pPr>
      <w:r>
        <w:separator/>
      </w:r>
    </w:p>
  </w:endnote>
  <w:endnote w:type="continuationSeparator" w:id="0">
    <w:p w14:paraId="6C0862F9" w14:textId="77777777" w:rsidR="00937A61" w:rsidRDefault="00937A61" w:rsidP="00344C96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7547FD" w14:textId="77777777" w:rsidR="00937A61" w:rsidRDefault="00937A61" w:rsidP="00344C96">
      <w:pPr>
        <w:spacing w:before="0" w:after="0" w:line="240" w:lineRule="auto"/>
      </w:pPr>
      <w:r>
        <w:separator/>
      </w:r>
    </w:p>
  </w:footnote>
  <w:footnote w:type="continuationSeparator" w:id="0">
    <w:p w14:paraId="2F574115" w14:textId="77777777" w:rsidR="00937A61" w:rsidRDefault="00937A61" w:rsidP="00344C96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F9D72B" w14:textId="77777777" w:rsidR="008132B7" w:rsidRDefault="00C54C24">
    <w:pPr>
      <w:pStyle w:val="Header"/>
    </w:pPr>
    <w:r>
      <w:rPr>
        <w:noProof/>
      </w:rPr>
      <w:pict w14:anchorId="7AAAAE9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832124" o:spid="_x0000_s2049" type="#_x0000_t136" style="position:absolute;margin-left:0;margin-top:0;width:454.65pt;height:181.85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Cambria&quot;;font-size:1pt" string="DRAFT"/>
          <w10:wrap anchorx="margin" anchory="margin"/>
        </v:shape>
      </w:pict>
    </w:r>
  </w:p>
  <w:p w14:paraId="0BC0322A" w14:textId="77777777" w:rsidR="008132B7" w:rsidRDefault="00C54C24"/>
  <w:p w14:paraId="675128CF" w14:textId="77777777" w:rsidR="008132B7" w:rsidRDefault="00C54C24"/>
  <w:p w14:paraId="2F977158" w14:textId="77777777" w:rsidR="008132B7" w:rsidRDefault="00C54C24"/>
  <w:p w14:paraId="5FE3FA8F" w14:textId="77777777" w:rsidR="008132B7" w:rsidRDefault="00C54C24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80579F" w14:textId="77777777" w:rsidR="008132B7" w:rsidRPr="000F13B8" w:rsidRDefault="00F76940" w:rsidP="007B1A61">
    <w:pPr>
      <w:pStyle w:val="Header"/>
      <w:tabs>
        <w:tab w:val="right" w:pos="9639"/>
      </w:tabs>
      <w:spacing w:before="0"/>
      <w:rPr>
        <w:sz w:val="16"/>
      </w:rPr>
    </w:pPr>
    <w:r w:rsidRPr="000F13B8">
      <w:rPr>
        <w:noProof/>
        <w:sz w:val="16"/>
      </w:rPr>
      <w:drawing>
        <wp:inline distT="0" distB="0" distL="0" distR="0" wp14:anchorId="6F80F922" wp14:editId="41E27820">
          <wp:extent cx="840289" cy="5334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GCF-blk (1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9902" cy="545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CAE4934" w14:textId="77777777" w:rsidR="008132B7" w:rsidRPr="000F13B8" w:rsidRDefault="00F76940" w:rsidP="007B1A61">
    <w:pPr>
      <w:pStyle w:val="Header"/>
      <w:tabs>
        <w:tab w:val="right" w:pos="9639"/>
      </w:tabs>
      <w:spacing w:before="0"/>
      <w:jc w:val="right"/>
      <w:rPr>
        <w:sz w:val="16"/>
      </w:rPr>
    </w:pPr>
    <w:r w:rsidRPr="000F13B8">
      <w:rPr>
        <w:sz w:val="16"/>
      </w:rPr>
      <w:t xml:space="preserve">Page </w:t>
    </w:r>
    <w:r w:rsidRPr="000F13B8">
      <w:rPr>
        <w:sz w:val="16"/>
      </w:rPr>
      <w:fldChar w:fldCharType="begin"/>
    </w:r>
    <w:r w:rsidRPr="000F13B8">
      <w:rPr>
        <w:sz w:val="16"/>
      </w:rPr>
      <w:instrText xml:space="preserve"> PAGE </w:instrText>
    </w:r>
    <w:r w:rsidRPr="000F13B8">
      <w:rPr>
        <w:sz w:val="16"/>
      </w:rPr>
      <w:fldChar w:fldCharType="separate"/>
    </w:r>
    <w:r w:rsidRPr="000F13B8">
      <w:rPr>
        <w:noProof/>
        <w:sz w:val="16"/>
      </w:rPr>
      <w:t>18</w:t>
    </w:r>
    <w:r w:rsidRPr="000F13B8">
      <w:rPr>
        <w:sz w:val="16"/>
      </w:rPr>
      <w:fldChar w:fldCharType="end"/>
    </w:r>
  </w:p>
  <w:p w14:paraId="153B0C96" w14:textId="77777777" w:rsidR="008132B7" w:rsidRPr="000F13B8" w:rsidRDefault="00C54C24" w:rsidP="000F13B8">
    <w:pPr>
      <w:pStyle w:val="Header"/>
      <w:pBdr>
        <w:bottom w:val="single" w:sz="4" w:space="1" w:color="808080"/>
      </w:pBdr>
      <w:tabs>
        <w:tab w:val="right" w:pos="9639"/>
      </w:tabs>
      <w:spacing w:before="0"/>
      <w:jc w:val="right"/>
      <w:rPr>
        <w:sz w:val="16"/>
      </w:rPr>
    </w:pPr>
  </w:p>
  <w:p w14:paraId="155E8EEB" w14:textId="77777777" w:rsidR="008132B7" w:rsidRPr="0064729D" w:rsidRDefault="00C54C24" w:rsidP="008132B7">
    <w:pPr>
      <w:pStyle w:val="Header"/>
      <w:spacing w:before="0"/>
    </w:pPr>
  </w:p>
  <w:p w14:paraId="679D783A" w14:textId="77777777" w:rsidR="008132B7" w:rsidRDefault="00C54C24"/>
  <w:p w14:paraId="1F1A4561" w14:textId="77777777" w:rsidR="008132B7" w:rsidRDefault="00C54C24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7D4085" w14:textId="77777777" w:rsidR="008132B7" w:rsidRPr="000F13B8" w:rsidRDefault="00C54C24" w:rsidP="008132B7">
    <w:pPr>
      <w:pStyle w:val="GCFDocumentNumber"/>
      <w:spacing w:after="120" w:line="240" w:lineRule="auto"/>
      <w:jc w:val="right"/>
    </w:pPr>
  </w:p>
  <w:p w14:paraId="7C210F6C" w14:textId="77777777" w:rsidR="008132B7" w:rsidRPr="000F13B8" w:rsidRDefault="00F76940" w:rsidP="00F3574B">
    <w:pPr>
      <w:pStyle w:val="Header"/>
      <w:tabs>
        <w:tab w:val="right" w:pos="9639"/>
      </w:tabs>
      <w:spacing w:before="0"/>
      <w:rPr>
        <w:sz w:val="16"/>
      </w:rPr>
    </w:pPr>
    <w:r w:rsidRPr="000F13B8">
      <w:rPr>
        <w:noProof/>
        <w:sz w:val="16"/>
      </w:rPr>
      <w:drawing>
        <wp:inline distT="0" distB="0" distL="0" distR="0" wp14:anchorId="28273752" wp14:editId="03821A83">
          <wp:extent cx="840289" cy="5334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GCF-blk (1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9902" cy="545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B598BA9" w14:textId="77777777" w:rsidR="008132B7" w:rsidRPr="000F13B8" w:rsidRDefault="00F76940" w:rsidP="00F3574B">
    <w:pPr>
      <w:pStyle w:val="Header"/>
      <w:tabs>
        <w:tab w:val="right" w:pos="9639"/>
      </w:tabs>
      <w:spacing w:before="0"/>
      <w:jc w:val="right"/>
      <w:rPr>
        <w:sz w:val="16"/>
      </w:rPr>
    </w:pPr>
    <w:r w:rsidRPr="000F13B8">
      <w:rPr>
        <w:sz w:val="16"/>
      </w:rPr>
      <w:t xml:space="preserve">Page </w:t>
    </w:r>
    <w:r w:rsidRPr="000F13B8">
      <w:rPr>
        <w:sz w:val="16"/>
      </w:rPr>
      <w:fldChar w:fldCharType="begin"/>
    </w:r>
    <w:r w:rsidRPr="000F13B8">
      <w:rPr>
        <w:sz w:val="16"/>
      </w:rPr>
      <w:instrText xml:space="preserve"> PAGE </w:instrText>
    </w:r>
    <w:r w:rsidRPr="000F13B8">
      <w:rPr>
        <w:sz w:val="16"/>
      </w:rPr>
      <w:fldChar w:fldCharType="separate"/>
    </w:r>
    <w:r w:rsidRPr="000F13B8">
      <w:rPr>
        <w:noProof/>
        <w:sz w:val="16"/>
      </w:rPr>
      <w:t>1</w:t>
    </w:r>
    <w:r w:rsidRPr="000F13B8">
      <w:rPr>
        <w:sz w:val="16"/>
      </w:rPr>
      <w:fldChar w:fldCharType="end"/>
    </w:r>
  </w:p>
  <w:p w14:paraId="554F9BC0" w14:textId="77777777" w:rsidR="008132B7" w:rsidRPr="000F13B8" w:rsidRDefault="00C54C24" w:rsidP="000F13B8">
    <w:pPr>
      <w:pStyle w:val="Header"/>
      <w:pBdr>
        <w:bottom w:val="single" w:sz="4" w:space="1" w:color="808080"/>
      </w:pBdr>
      <w:tabs>
        <w:tab w:val="right" w:pos="9639"/>
      </w:tabs>
      <w:spacing w:before="0"/>
      <w:ind w:right="80"/>
      <w:jc w:val="right"/>
      <w:rPr>
        <w:sz w:val="16"/>
      </w:rPr>
    </w:pPr>
  </w:p>
  <w:p w14:paraId="2F298C2A" w14:textId="77777777" w:rsidR="008132B7" w:rsidRDefault="00C54C2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5B3E17"/>
    <w:multiLevelType w:val="multilevel"/>
    <w:tmpl w:val="031A456C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/>
        <w:i w:val="0"/>
        <w:sz w:val="28"/>
      </w:rPr>
    </w:lvl>
    <w:lvl w:ilvl="1">
      <w:start w:val="1"/>
      <w:numFmt w:val="decimal"/>
      <w:pStyle w:val="H2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 w:val="0"/>
        <w:i w:val="0"/>
        <w:sz w:val="16"/>
      </w:rPr>
    </w:lvl>
    <w:lvl w:ilvl="4">
      <w:start w:val="1"/>
      <w:numFmt w:val="decimal"/>
      <w:lvlText w:val="%5."/>
      <w:lvlJc w:val="left"/>
      <w:pPr>
        <w:tabs>
          <w:tab w:val="num" w:pos="720"/>
        </w:tabs>
        <w:ind w:left="0" w:firstLine="0"/>
      </w:pPr>
      <w:rPr>
        <w:rFonts w:ascii="Cambria" w:eastAsia="Malgun Gothic" w:hAnsi="Cambria" w:cs="Times New Roman"/>
        <w:b w:val="0"/>
        <w:i w:val="0"/>
        <w:sz w:val="16"/>
      </w:rPr>
    </w:lvl>
    <w:lvl w:ilvl="5">
      <w:start w:val="1"/>
      <w:numFmt w:val="lowerRoman"/>
      <w:lvlText w:val="(%6)"/>
      <w:lvlJc w:val="left"/>
      <w:pPr>
        <w:tabs>
          <w:tab w:val="num" w:pos="1418"/>
        </w:tabs>
        <w:ind w:left="72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6DB1"/>
    <w:rsid w:val="00076DB1"/>
    <w:rsid w:val="00090DCE"/>
    <w:rsid w:val="00344C96"/>
    <w:rsid w:val="00937A61"/>
    <w:rsid w:val="00AB0AB4"/>
    <w:rsid w:val="00BB5AEE"/>
    <w:rsid w:val="00C54C24"/>
    <w:rsid w:val="00F76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0DA43038"/>
  <w15:chartTrackingRefBased/>
  <w15:docId w15:val="{C809E010-4B53-4A25-B27F-4B86B795A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4C96"/>
    <w:pPr>
      <w:spacing w:before="100" w:after="200" w:line="276" w:lineRule="auto"/>
    </w:pPr>
    <w:rPr>
      <w:rFonts w:ascii="Cambria" w:eastAsiaTheme="minorEastAsia" w:hAnsi="Cambria"/>
      <w:sz w:val="1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1">
    <w:name w:val="H1"/>
    <w:basedOn w:val="ListParagraph"/>
    <w:link w:val="H1Zchn"/>
    <w:qFormat/>
    <w:rsid w:val="00344C96"/>
    <w:pPr>
      <w:numPr>
        <w:numId w:val="1"/>
      </w:numPr>
      <w:spacing w:before="360" w:after="240" w:line="240" w:lineRule="auto"/>
      <w:contextualSpacing w:val="0"/>
    </w:pPr>
    <w:rPr>
      <w:rFonts w:asciiTheme="majorHAnsi" w:hAnsiTheme="majorHAnsi"/>
      <w:b/>
      <w:sz w:val="28"/>
      <w:szCs w:val="28"/>
      <w:lang w:val="en-GB"/>
    </w:rPr>
  </w:style>
  <w:style w:type="paragraph" w:customStyle="1" w:styleId="H2">
    <w:name w:val="H2"/>
    <w:basedOn w:val="H1"/>
    <w:qFormat/>
    <w:rsid w:val="00344C96"/>
    <w:pPr>
      <w:numPr>
        <w:ilvl w:val="1"/>
      </w:numPr>
    </w:pPr>
    <w:rPr>
      <w:b w:val="0"/>
    </w:rPr>
  </w:style>
  <w:style w:type="character" w:customStyle="1" w:styleId="H1Zchn">
    <w:name w:val="H1 Zchn"/>
    <w:basedOn w:val="DefaultParagraphFont"/>
    <w:link w:val="H1"/>
    <w:rsid w:val="00344C96"/>
    <w:rPr>
      <w:rFonts w:asciiTheme="majorHAnsi" w:eastAsiaTheme="minorEastAsia" w:hAnsiTheme="majorHAnsi"/>
      <w:b/>
      <w:sz w:val="28"/>
      <w:szCs w:val="28"/>
      <w:lang w:val="en-GB"/>
    </w:rPr>
  </w:style>
  <w:style w:type="paragraph" w:customStyle="1" w:styleId="H3">
    <w:name w:val="H3"/>
    <w:basedOn w:val="H2"/>
    <w:link w:val="H3Zchn"/>
    <w:qFormat/>
    <w:rsid w:val="00344C96"/>
    <w:pPr>
      <w:numPr>
        <w:ilvl w:val="2"/>
      </w:numPr>
      <w:spacing w:before="240"/>
    </w:pPr>
    <w:rPr>
      <w:b/>
      <w:sz w:val="22"/>
      <w:szCs w:val="22"/>
    </w:rPr>
  </w:style>
  <w:style w:type="paragraph" w:customStyle="1" w:styleId="P1">
    <w:name w:val="P1"/>
    <w:basedOn w:val="H3"/>
    <w:uiPriority w:val="99"/>
    <w:qFormat/>
    <w:rsid w:val="00344C96"/>
    <w:pPr>
      <w:numPr>
        <w:ilvl w:val="3"/>
      </w:numPr>
      <w:spacing w:before="120" w:after="120"/>
    </w:pPr>
    <w:rPr>
      <w:b w:val="0"/>
    </w:rPr>
  </w:style>
  <w:style w:type="character" w:customStyle="1" w:styleId="H3Zchn">
    <w:name w:val="H3 Zchn"/>
    <w:basedOn w:val="DefaultParagraphFont"/>
    <w:link w:val="H3"/>
    <w:rsid w:val="00344C96"/>
    <w:rPr>
      <w:rFonts w:asciiTheme="majorHAnsi" w:eastAsiaTheme="minorEastAsia" w:hAnsiTheme="majorHAnsi"/>
      <w:b/>
      <w:lang w:val="en-GB"/>
    </w:rPr>
  </w:style>
  <w:style w:type="paragraph" w:styleId="Header">
    <w:name w:val="header"/>
    <w:basedOn w:val="Normal"/>
    <w:link w:val="HeaderChar"/>
    <w:uiPriority w:val="99"/>
    <w:unhideWhenUsed/>
    <w:rsid w:val="00344C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4C96"/>
    <w:rPr>
      <w:rFonts w:ascii="Cambria" w:eastAsiaTheme="minorEastAsia" w:hAnsi="Cambria"/>
      <w:sz w:val="18"/>
      <w:szCs w:val="20"/>
    </w:rPr>
  </w:style>
  <w:style w:type="paragraph" w:customStyle="1" w:styleId="GCFDocumentNumber">
    <w:name w:val="GCF Document Number"/>
    <w:basedOn w:val="Normal"/>
    <w:link w:val="GCFDocumentNumberChar"/>
    <w:rsid w:val="00344C96"/>
    <w:pPr>
      <w:tabs>
        <w:tab w:val="left" w:pos="425"/>
        <w:tab w:val="left" w:pos="720"/>
        <w:tab w:val="left" w:pos="1418"/>
        <w:tab w:val="left" w:pos="2126"/>
        <w:tab w:val="left" w:pos="2835"/>
      </w:tabs>
      <w:spacing w:after="0" w:line="213" w:lineRule="atLeast"/>
    </w:pPr>
    <w:rPr>
      <w:rFonts w:eastAsia="SimSun" w:cs="Times New Roman"/>
      <w:sz w:val="16"/>
      <w:szCs w:val="24"/>
    </w:rPr>
  </w:style>
  <w:style w:type="character" w:customStyle="1" w:styleId="GCFDocumentNumberChar">
    <w:name w:val="GCF Document Number Char"/>
    <w:basedOn w:val="DefaultParagraphFont"/>
    <w:link w:val="GCFDocumentNumber"/>
    <w:rsid w:val="00344C96"/>
    <w:rPr>
      <w:rFonts w:ascii="Cambria" w:eastAsia="SimSun" w:hAnsi="Cambria" w:cs="Times New Roman"/>
      <w:sz w:val="16"/>
      <w:szCs w:val="24"/>
    </w:rPr>
  </w:style>
  <w:style w:type="table" w:styleId="TableGrid">
    <w:name w:val="Table Grid"/>
    <w:basedOn w:val="TableNormal"/>
    <w:uiPriority w:val="59"/>
    <w:rsid w:val="00344C96"/>
    <w:pPr>
      <w:spacing w:before="100" w:after="0" w:line="240" w:lineRule="auto"/>
    </w:pPr>
    <w:rPr>
      <w:rFonts w:ascii="Cambria" w:eastAsiaTheme="minorEastAsia" w:hAnsi="Cambria"/>
      <w:sz w:val="18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44C9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44C96"/>
    <w:pPr>
      <w:spacing w:before="0" w:after="0"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4C96"/>
    <w:rPr>
      <w:rFonts w:ascii="Segoe UI" w:eastAsiaTheme="minorEastAsia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344C96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4C96"/>
    <w:rPr>
      <w:rFonts w:ascii="Cambria" w:eastAsiaTheme="minorEastAsia" w:hAnsi="Cambria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0" ma:contentTypeDescription="Create a new document." ma:contentTypeScope="" ma:versionID="09e87825bedc0da2ab0bb8374439dc18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9cc298cd37a6d2e41928ecabdcc91857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469FFC5-F3B4-471F-8CFF-9D66482158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2D6D293-1FA5-451A-9265-646539DD7E9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568C4DA-5DF0-4034-BE93-6ACB0480C1A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1296</Characters>
  <Application>Microsoft Office Word</Application>
  <DocSecurity>4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IIU</dc:creator>
  <cp:keywords/>
  <dc:description/>
  <cp:lastModifiedBy>GCF Procurement </cp:lastModifiedBy>
  <cp:revision>2</cp:revision>
  <dcterms:created xsi:type="dcterms:W3CDTF">2019-11-08T09:41:00Z</dcterms:created>
  <dcterms:modified xsi:type="dcterms:W3CDTF">2019-11-08T09:41:00Z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