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87043" w14:textId="44137E8C" w:rsidR="005439A4" w:rsidRPr="00395C22" w:rsidRDefault="005439A4" w:rsidP="00272E55">
      <w:pPr>
        <w:pStyle w:val="GreenHeading1"/>
        <w:rPr>
          <w:rStyle w:val="Wordboldgreen"/>
          <w:rFonts w:eastAsiaTheme="minorHAnsi" w:cstheme="minorBidi"/>
          <w:b/>
          <w:spacing w:val="0"/>
          <w:szCs w:val="22"/>
          <w:lang w:val="en-GB"/>
        </w:rPr>
      </w:pPr>
      <w:r w:rsidRPr="00395C22">
        <w:rPr>
          <w:rStyle w:val="Wordboldgreen"/>
          <w:b/>
          <w:bCs w:val="0"/>
        </w:rPr>
        <w:t>Guidance Note on</w:t>
      </w:r>
    </w:p>
    <w:p w14:paraId="1CA78A73" w14:textId="556D1FF2" w:rsidR="005439A4" w:rsidRDefault="007A7852" w:rsidP="00272E55">
      <w:pPr>
        <w:pStyle w:val="GreenHeading1"/>
      </w:pPr>
      <w:r>
        <w:t xml:space="preserve">MRV PROTOCOL </w:t>
      </w:r>
      <w:r w:rsidR="001748CD">
        <w:t>SETUP</w:t>
      </w:r>
      <w:r>
        <w:t xml:space="preserve"> AND APPLICATION </w:t>
      </w:r>
    </w:p>
    <w:p w14:paraId="29F6E53D" w14:textId="77777777" w:rsidR="007B2A1C" w:rsidRDefault="007B2A1C" w:rsidP="007C6D82">
      <w:pPr>
        <w:rPr>
          <w:rFonts w:ascii="Open Sans" w:hAnsi="Open Sans" w:cs="Open Sans"/>
          <w:sz w:val="20"/>
          <w:szCs w:val="20"/>
          <w:lang w:val="en-GB"/>
        </w:rPr>
      </w:pPr>
    </w:p>
    <w:p w14:paraId="65C4CA35" w14:textId="73EB4F98" w:rsidR="00A14493" w:rsidRDefault="00C34E40" w:rsidP="0095520A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This Guidance Note complements the KPI </w:t>
      </w:r>
      <w:r w:rsidR="004D2C6D">
        <w:rPr>
          <w:rFonts w:ascii="Open Sans" w:hAnsi="Open Sans" w:cs="Open Sans"/>
          <w:sz w:val="20"/>
          <w:szCs w:val="20"/>
          <w:lang w:val="en-GB"/>
        </w:rPr>
        <w:t>Framework (also called Impact Framework)</w:t>
      </w:r>
      <w:r w:rsidR="0081045D">
        <w:rPr>
          <w:rFonts w:ascii="Open Sans" w:hAnsi="Open Sans" w:cs="Open Sans"/>
          <w:sz w:val="20"/>
          <w:szCs w:val="20"/>
          <w:lang w:val="en-GB"/>
        </w:rPr>
        <w:t xml:space="preserve"> and related SOPs on specific KPIs</w:t>
      </w:r>
      <w:r w:rsidR="0087302B">
        <w:rPr>
          <w:rFonts w:ascii="Open Sans" w:hAnsi="Open Sans" w:cs="Open Sans"/>
          <w:sz w:val="20"/>
          <w:szCs w:val="20"/>
          <w:lang w:val="en-GB"/>
        </w:rPr>
        <w:t xml:space="preserve">. </w:t>
      </w:r>
      <w:r w:rsidR="00F315D5">
        <w:rPr>
          <w:rFonts w:ascii="Open Sans" w:hAnsi="Open Sans" w:cs="Open Sans"/>
          <w:sz w:val="20"/>
          <w:szCs w:val="20"/>
          <w:lang w:val="en-GB"/>
        </w:rPr>
        <w:t>It</w:t>
      </w:r>
      <w:r w:rsidR="009358B6">
        <w:rPr>
          <w:rFonts w:ascii="Open Sans" w:hAnsi="Open Sans" w:cs="Open Sans"/>
          <w:sz w:val="20"/>
          <w:szCs w:val="20"/>
          <w:lang w:val="en-GB"/>
        </w:rPr>
        <w:t xml:space="preserve"> provides </w:t>
      </w:r>
      <w:r w:rsidR="00F13518">
        <w:rPr>
          <w:rFonts w:ascii="Open Sans" w:hAnsi="Open Sans" w:cs="Open Sans"/>
          <w:sz w:val="20"/>
          <w:szCs w:val="20"/>
          <w:lang w:val="en-GB"/>
        </w:rPr>
        <w:t>an outline of</w:t>
      </w:r>
      <w:r w:rsidR="00DB575C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9358B6">
        <w:rPr>
          <w:rFonts w:ascii="Open Sans" w:hAnsi="Open Sans" w:cs="Open Sans"/>
          <w:sz w:val="20"/>
          <w:szCs w:val="20"/>
          <w:lang w:val="en-GB"/>
        </w:rPr>
        <w:t>the MRV process within the Investment Process of &amp;Green as well</w:t>
      </w:r>
      <w:r w:rsidR="00F315D5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AB022F">
        <w:rPr>
          <w:rFonts w:ascii="Open Sans" w:hAnsi="Open Sans" w:cs="Open Sans"/>
          <w:sz w:val="20"/>
          <w:szCs w:val="20"/>
          <w:lang w:val="en-GB"/>
        </w:rPr>
        <w:t xml:space="preserve">as </w:t>
      </w:r>
      <w:r w:rsidR="00F315D5">
        <w:rPr>
          <w:rFonts w:ascii="Open Sans" w:hAnsi="Open Sans" w:cs="Open Sans"/>
          <w:sz w:val="20"/>
          <w:szCs w:val="20"/>
          <w:lang w:val="en-GB"/>
        </w:rPr>
        <w:t>specif</w:t>
      </w:r>
      <w:r w:rsidR="00361F9E">
        <w:rPr>
          <w:rFonts w:ascii="Open Sans" w:hAnsi="Open Sans" w:cs="Open Sans"/>
          <w:sz w:val="20"/>
          <w:szCs w:val="20"/>
          <w:lang w:val="en-GB"/>
        </w:rPr>
        <w:t>ying</w:t>
      </w:r>
      <w:r w:rsidR="00F315D5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7B2A1C">
        <w:rPr>
          <w:rFonts w:ascii="Open Sans" w:hAnsi="Open Sans" w:cs="Open Sans"/>
          <w:sz w:val="20"/>
          <w:szCs w:val="20"/>
          <w:lang w:val="en-GB"/>
        </w:rPr>
        <w:t xml:space="preserve">the </w:t>
      </w:r>
      <w:r w:rsidR="00DB575C">
        <w:rPr>
          <w:rFonts w:ascii="Open Sans" w:hAnsi="Open Sans" w:cs="Open Sans"/>
          <w:sz w:val="20"/>
          <w:szCs w:val="20"/>
          <w:lang w:val="en-GB"/>
        </w:rPr>
        <w:t>procedure of data collection, aggregation and output within the MRV system.</w:t>
      </w:r>
      <w:r w:rsidR="00B42060">
        <w:rPr>
          <w:rFonts w:ascii="Open Sans" w:hAnsi="Open Sans" w:cs="Open Sans"/>
          <w:sz w:val="20"/>
          <w:szCs w:val="20"/>
          <w:lang w:val="en-GB"/>
        </w:rPr>
        <w:t xml:space="preserve"> This protocol does not cover the </w:t>
      </w:r>
      <w:r w:rsidR="00731A24">
        <w:rPr>
          <w:rFonts w:ascii="Open Sans" w:hAnsi="Open Sans" w:cs="Open Sans"/>
          <w:sz w:val="20"/>
          <w:szCs w:val="20"/>
          <w:lang w:val="en-GB"/>
        </w:rPr>
        <w:t>target setting and performance monitoring process, these are addressed in the Portfolio Monitoring Protocol.</w:t>
      </w:r>
    </w:p>
    <w:p w14:paraId="335C3260" w14:textId="77777777" w:rsidR="00281236" w:rsidRDefault="00281236" w:rsidP="0095520A">
      <w:pPr>
        <w:rPr>
          <w:rFonts w:ascii="Open Sans" w:hAnsi="Open Sans" w:cs="Open Sans"/>
          <w:sz w:val="20"/>
          <w:szCs w:val="20"/>
          <w:lang w:val="en-GB"/>
        </w:rPr>
      </w:pPr>
    </w:p>
    <w:p w14:paraId="76BC4E41" w14:textId="77777777" w:rsidR="00EE472A" w:rsidRPr="005732CA" w:rsidRDefault="00EE472A">
      <w:pPr>
        <w:pStyle w:val="SailSubHeading1"/>
      </w:pPr>
      <w:r>
        <w:t>Components of the MRV system</w:t>
      </w:r>
    </w:p>
    <w:p w14:paraId="62B9F3B8" w14:textId="7C2608C2" w:rsidR="00DB20B9" w:rsidRDefault="000405AE" w:rsidP="007C6D82">
      <w:pPr>
        <w:rPr>
          <w:rFonts w:ascii="Open Sans" w:hAnsi="Open Sans" w:cs="Open Sans"/>
          <w:sz w:val="20"/>
          <w:szCs w:val="20"/>
          <w:lang w:val="en-GB"/>
        </w:rPr>
      </w:pPr>
      <w:r w:rsidRPr="000405AE">
        <w:rPr>
          <w:rFonts w:ascii="Open Sans" w:hAnsi="Open Sans" w:cs="Open Sans"/>
          <w:sz w:val="20"/>
          <w:szCs w:val="20"/>
          <w:lang w:val="en-GB"/>
        </w:rPr>
        <w:t xml:space="preserve">Measurement, Reporting, and Verification (MRV) refers to the multi-step </w:t>
      </w:r>
      <w:r w:rsidR="00240380" w:rsidRPr="000405AE">
        <w:rPr>
          <w:rFonts w:ascii="Open Sans" w:hAnsi="Open Sans" w:cs="Open Sans"/>
          <w:sz w:val="20"/>
          <w:szCs w:val="20"/>
          <w:lang w:val="en-GB"/>
        </w:rPr>
        <w:t>proce</w:t>
      </w:r>
      <w:r w:rsidR="00240380">
        <w:rPr>
          <w:rFonts w:ascii="Open Sans" w:hAnsi="Open Sans" w:cs="Open Sans"/>
          <w:sz w:val="20"/>
          <w:szCs w:val="20"/>
          <w:lang w:val="en-GB"/>
        </w:rPr>
        <w:t>dure</w:t>
      </w:r>
      <w:r w:rsidRPr="000405AE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550E1B">
        <w:rPr>
          <w:rFonts w:ascii="Open Sans" w:hAnsi="Open Sans" w:cs="Open Sans"/>
          <w:sz w:val="20"/>
          <w:szCs w:val="20"/>
          <w:lang w:val="en-GB"/>
        </w:rPr>
        <w:t xml:space="preserve">which </w:t>
      </w:r>
      <w:r w:rsidR="00DD3DEA">
        <w:rPr>
          <w:rFonts w:ascii="Open Sans" w:hAnsi="Open Sans" w:cs="Open Sans"/>
          <w:sz w:val="20"/>
          <w:szCs w:val="20"/>
          <w:lang w:val="en-GB"/>
        </w:rPr>
        <w:t xml:space="preserve">ensures </w:t>
      </w:r>
      <w:r w:rsidR="00A347E9">
        <w:rPr>
          <w:rFonts w:ascii="Open Sans" w:hAnsi="Open Sans" w:cs="Open Sans"/>
          <w:sz w:val="20"/>
          <w:szCs w:val="20"/>
          <w:lang w:val="en-GB"/>
        </w:rPr>
        <w:t xml:space="preserve">a </w:t>
      </w:r>
      <w:r w:rsidR="008A30D9">
        <w:rPr>
          <w:rFonts w:ascii="Open Sans" w:hAnsi="Open Sans" w:cs="Open Sans"/>
          <w:sz w:val="20"/>
          <w:szCs w:val="20"/>
          <w:lang w:val="en-GB"/>
        </w:rPr>
        <w:t>consistent process of collection, aggregation and output of quality data for the Impact Framework of &amp;Green.</w:t>
      </w:r>
    </w:p>
    <w:p w14:paraId="4AF3A553" w14:textId="5A2B02B2" w:rsidR="002B3E24" w:rsidRDefault="00240380" w:rsidP="005356F9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The </w:t>
      </w:r>
      <w:r w:rsidR="00223CFC" w:rsidRPr="00AA3D36">
        <w:rPr>
          <w:rFonts w:ascii="Open Sans" w:hAnsi="Open Sans" w:cs="Open Sans"/>
          <w:sz w:val="20"/>
          <w:szCs w:val="20"/>
          <w:lang w:val="en-GB"/>
        </w:rPr>
        <w:t>MRV System</w:t>
      </w:r>
      <w:r w:rsidR="00AA3D36" w:rsidRPr="00AA3D36">
        <w:rPr>
          <w:rFonts w:ascii="Open Sans" w:hAnsi="Open Sans" w:cs="Open Sans"/>
          <w:sz w:val="20"/>
          <w:szCs w:val="20"/>
          <w:lang w:val="en-GB"/>
        </w:rPr>
        <w:t xml:space="preserve"> is the </w:t>
      </w:r>
      <w:r w:rsidR="004C5772">
        <w:rPr>
          <w:rFonts w:ascii="Open Sans" w:hAnsi="Open Sans" w:cs="Open Sans"/>
          <w:sz w:val="20"/>
          <w:szCs w:val="20"/>
          <w:lang w:val="en-GB"/>
        </w:rPr>
        <w:t>data management system of &amp;Green</w:t>
      </w:r>
      <w:r w:rsidR="00A347E9">
        <w:rPr>
          <w:rFonts w:ascii="Open Sans" w:hAnsi="Open Sans" w:cs="Open Sans"/>
          <w:sz w:val="20"/>
          <w:szCs w:val="20"/>
          <w:lang w:val="en-GB"/>
        </w:rPr>
        <w:t>,</w:t>
      </w:r>
      <w:r w:rsidR="004C5772">
        <w:rPr>
          <w:rFonts w:ascii="Open Sans" w:hAnsi="Open Sans" w:cs="Open Sans"/>
          <w:sz w:val="20"/>
          <w:szCs w:val="20"/>
          <w:lang w:val="en-GB"/>
        </w:rPr>
        <w:t xml:space="preserve"> composed of standard data collection</w:t>
      </w:r>
      <w:r w:rsidR="000E1244">
        <w:rPr>
          <w:rFonts w:ascii="Open Sans" w:hAnsi="Open Sans" w:cs="Open Sans"/>
          <w:sz w:val="20"/>
          <w:szCs w:val="20"/>
          <w:lang w:val="en-GB"/>
        </w:rPr>
        <w:t xml:space="preserve"> protocols</w:t>
      </w:r>
      <w:r w:rsidR="00713BDD">
        <w:rPr>
          <w:rFonts w:ascii="Open Sans" w:hAnsi="Open Sans" w:cs="Open Sans"/>
          <w:sz w:val="20"/>
          <w:szCs w:val="20"/>
          <w:lang w:val="en-GB"/>
        </w:rPr>
        <w:t xml:space="preserve">, </w:t>
      </w:r>
      <w:r w:rsidR="000E1244">
        <w:rPr>
          <w:rFonts w:ascii="Open Sans" w:hAnsi="Open Sans" w:cs="Open Sans"/>
          <w:sz w:val="20"/>
          <w:szCs w:val="20"/>
          <w:lang w:val="en-GB"/>
        </w:rPr>
        <w:t>templates</w:t>
      </w:r>
      <w:r w:rsidR="008034DA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713BDD">
        <w:rPr>
          <w:rFonts w:ascii="Open Sans" w:hAnsi="Open Sans" w:cs="Open Sans"/>
          <w:sz w:val="20"/>
          <w:szCs w:val="20"/>
          <w:lang w:val="en-GB"/>
        </w:rPr>
        <w:t xml:space="preserve">and the MRV database </w:t>
      </w:r>
      <w:r w:rsidR="008034DA">
        <w:rPr>
          <w:rFonts w:ascii="Open Sans" w:hAnsi="Open Sans" w:cs="Open Sans"/>
          <w:sz w:val="20"/>
          <w:szCs w:val="20"/>
          <w:lang w:val="en-GB"/>
        </w:rPr>
        <w:t xml:space="preserve">with </w:t>
      </w:r>
      <w:r w:rsidR="005356F9">
        <w:rPr>
          <w:rFonts w:ascii="Open Sans" w:hAnsi="Open Sans" w:cs="Open Sans"/>
          <w:sz w:val="20"/>
          <w:szCs w:val="20"/>
          <w:lang w:val="en-GB"/>
        </w:rPr>
        <w:t>an</w:t>
      </w:r>
      <w:r w:rsidR="000E1244">
        <w:rPr>
          <w:rFonts w:ascii="Open Sans" w:hAnsi="Open Sans" w:cs="Open Sans"/>
          <w:sz w:val="20"/>
          <w:szCs w:val="20"/>
          <w:lang w:val="en-GB"/>
        </w:rPr>
        <w:t xml:space="preserve"> automated data aggregation </w:t>
      </w:r>
      <w:r w:rsidR="008034DA">
        <w:rPr>
          <w:rFonts w:ascii="Open Sans" w:hAnsi="Open Sans" w:cs="Open Sans"/>
          <w:sz w:val="20"/>
          <w:szCs w:val="20"/>
          <w:lang w:val="en-GB"/>
        </w:rPr>
        <w:t xml:space="preserve">feature. The inputs to the MRV </w:t>
      </w:r>
      <w:r w:rsidR="00713BDD">
        <w:rPr>
          <w:rFonts w:ascii="Open Sans" w:hAnsi="Open Sans" w:cs="Open Sans"/>
          <w:sz w:val="20"/>
          <w:szCs w:val="20"/>
          <w:lang w:val="en-GB"/>
        </w:rPr>
        <w:t>database</w:t>
      </w:r>
      <w:r w:rsidR="008034DA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9E288C">
        <w:rPr>
          <w:rFonts w:ascii="Open Sans" w:hAnsi="Open Sans" w:cs="Open Sans"/>
          <w:sz w:val="20"/>
          <w:szCs w:val="20"/>
          <w:lang w:val="en-GB"/>
        </w:rPr>
        <w:t xml:space="preserve">can be of three types: </w:t>
      </w:r>
      <w:r w:rsidR="008034DA" w:rsidRPr="008E7D56">
        <w:rPr>
          <w:rFonts w:ascii="Open Sans" w:hAnsi="Open Sans" w:cs="Open Sans"/>
          <w:i/>
          <w:iCs/>
          <w:sz w:val="20"/>
          <w:szCs w:val="20"/>
          <w:lang w:val="en-GB"/>
        </w:rPr>
        <w:t>datapoints</w:t>
      </w:r>
      <w:r w:rsidR="009E288C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</w:t>
      </w:r>
      <w:r w:rsidR="009E288C" w:rsidRPr="009E288C">
        <w:rPr>
          <w:rFonts w:ascii="Open Sans" w:hAnsi="Open Sans" w:cs="Open Sans"/>
          <w:sz w:val="20"/>
          <w:szCs w:val="20"/>
          <w:lang w:val="en-GB"/>
        </w:rPr>
        <w:t xml:space="preserve">(data collected by </w:t>
      </w:r>
      <w:r w:rsidR="009907CF">
        <w:rPr>
          <w:rFonts w:ascii="Open Sans" w:hAnsi="Open Sans" w:cs="Open Sans"/>
          <w:sz w:val="20"/>
          <w:szCs w:val="20"/>
          <w:lang w:val="en-GB"/>
        </w:rPr>
        <w:t>c</w:t>
      </w:r>
      <w:r w:rsidR="009E288C" w:rsidRPr="009E288C">
        <w:rPr>
          <w:rFonts w:ascii="Open Sans" w:hAnsi="Open Sans" w:cs="Open Sans"/>
          <w:sz w:val="20"/>
          <w:szCs w:val="20"/>
          <w:lang w:val="en-GB"/>
        </w:rPr>
        <w:t>lients and subject to external review)</w:t>
      </w:r>
      <w:r w:rsidR="00713BDD">
        <w:rPr>
          <w:rFonts w:ascii="Open Sans" w:hAnsi="Open Sans" w:cs="Open Sans"/>
          <w:i/>
          <w:iCs/>
          <w:sz w:val="20"/>
          <w:szCs w:val="20"/>
          <w:lang w:val="en-GB"/>
        </w:rPr>
        <w:t xml:space="preserve">, </w:t>
      </w:r>
      <w:r w:rsidR="009E288C">
        <w:rPr>
          <w:rFonts w:ascii="Open Sans" w:hAnsi="Open Sans" w:cs="Open Sans"/>
          <w:i/>
          <w:iCs/>
          <w:sz w:val="20"/>
          <w:szCs w:val="20"/>
          <w:lang w:val="en-GB"/>
        </w:rPr>
        <w:t xml:space="preserve">sector indicators </w:t>
      </w:r>
      <w:r w:rsidR="009E288C" w:rsidRPr="009E288C">
        <w:rPr>
          <w:rFonts w:ascii="Open Sans" w:hAnsi="Open Sans" w:cs="Open Sans"/>
          <w:sz w:val="20"/>
          <w:szCs w:val="20"/>
          <w:lang w:val="en-GB"/>
        </w:rPr>
        <w:t>and</w:t>
      </w:r>
      <w:r w:rsidR="009E288C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emission factors </w:t>
      </w:r>
      <w:r w:rsidR="009E288C" w:rsidRPr="009E288C">
        <w:rPr>
          <w:rFonts w:ascii="Open Sans" w:hAnsi="Open Sans" w:cs="Open Sans"/>
          <w:sz w:val="20"/>
          <w:szCs w:val="20"/>
          <w:lang w:val="en-GB"/>
        </w:rPr>
        <w:t xml:space="preserve">(collected from credible </w:t>
      </w:r>
      <w:r w:rsidR="009907CF">
        <w:rPr>
          <w:rFonts w:ascii="Open Sans" w:hAnsi="Open Sans" w:cs="Open Sans"/>
          <w:sz w:val="20"/>
          <w:szCs w:val="20"/>
          <w:lang w:val="en-GB"/>
        </w:rPr>
        <w:t>sources</w:t>
      </w:r>
      <w:r w:rsidR="009907CF" w:rsidRPr="009E288C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9E288C" w:rsidRPr="009E288C">
        <w:rPr>
          <w:rFonts w:ascii="Open Sans" w:hAnsi="Open Sans" w:cs="Open Sans"/>
          <w:sz w:val="20"/>
          <w:szCs w:val="20"/>
          <w:lang w:val="en-GB"/>
        </w:rPr>
        <w:t>by</w:t>
      </w:r>
      <w:r w:rsidR="009907CF">
        <w:rPr>
          <w:rFonts w:ascii="Open Sans" w:hAnsi="Open Sans" w:cs="Open Sans"/>
          <w:sz w:val="20"/>
          <w:szCs w:val="20"/>
          <w:lang w:val="en-GB"/>
        </w:rPr>
        <w:t xml:space="preserve"> the</w:t>
      </w:r>
      <w:r w:rsidR="009E288C" w:rsidRPr="009E288C">
        <w:rPr>
          <w:rFonts w:ascii="Open Sans" w:hAnsi="Open Sans" w:cs="Open Sans"/>
          <w:sz w:val="20"/>
          <w:szCs w:val="20"/>
          <w:lang w:val="en-GB"/>
        </w:rPr>
        <w:t xml:space="preserve"> &amp;Green team)</w:t>
      </w:r>
      <w:r w:rsidR="005356F9">
        <w:rPr>
          <w:rFonts w:ascii="Open Sans" w:hAnsi="Open Sans" w:cs="Open Sans"/>
          <w:sz w:val="20"/>
          <w:szCs w:val="20"/>
          <w:lang w:val="en-GB"/>
        </w:rPr>
        <w:t xml:space="preserve">, see </w:t>
      </w:r>
      <w:r w:rsidR="005356F9">
        <w:rPr>
          <w:rFonts w:ascii="Open Sans" w:hAnsi="Open Sans" w:cs="Open Sans"/>
          <w:sz w:val="20"/>
          <w:szCs w:val="20"/>
          <w:lang w:val="en-GB"/>
        </w:rPr>
        <w:fldChar w:fldCharType="begin"/>
      </w:r>
      <w:r w:rsidR="005356F9">
        <w:rPr>
          <w:rFonts w:ascii="Open Sans" w:hAnsi="Open Sans" w:cs="Open Sans"/>
          <w:sz w:val="20"/>
          <w:szCs w:val="20"/>
          <w:lang w:val="en-GB"/>
        </w:rPr>
        <w:instrText xml:space="preserve"> REF _Ref129172533 \h </w:instrText>
      </w:r>
      <w:r w:rsidR="005356F9">
        <w:rPr>
          <w:rFonts w:ascii="Open Sans" w:hAnsi="Open Sans" w:cs="Open Sans"/>
          <w:sz w:val="20"/>
          <w:szCs w:val="20"/>
          <w:lang w:val="en-GB"/>
        </w:rPr>
      </w:r>
      <w:r w:rsidR="005356F9">
        <w:rPr>
          <w:rFonts w:ascii="Open Sans" w:hAnsi="Open Sans" w:cs="Open Sans"/>
          <w:sz w:val="20"/>
          <w:szCs w:val="20"/>
          <w:lang w:val="en-GB"/>
        </w:rPr>
        <w:fldChar w:fldCharType="separate"/>
      </w:r>
      <w:r w:rsidR="005356F9">
        <w:t xml:space="preserve">Figure </w:t>
      </w:r>
      <w:r w:rsidR="005356F9">
        <w:rPr>
          <w:noProof/>
        </w:rPr>
        <w:t>1</w:t>
      </w:r>
      <w:r w:rsidR="005356F9">
        <w:rPr>
          <w:rFonts w:ascii="Open Sans" w:hAnsi="Open Sans" w:cs="Open Sans"/>
          <w:sz w:val="20"/>
          <w:szCs w:val="20"/>
          <w:lang w:val="en-GB"/>
        </w:rPr>
        <w:fldChar w:fldCharType="end"/>
      </w:r>
      <w:r w:rsidR="005356F9">
        <w:rPr>
          <w:rFonts w:ascii="Open Sans" w:hAnsi="Open Sans" w:cs="Open Sans"/>
          <w:sz w:val="20"/>
          <w:szCs w:val="20"/>
          <w:lang w:val="en-GB"/>
        </w:rPr>
        <w:t xml:space="preserve">. </w:t>
      </w:r>
    </w:p>
    <w:p w14:paraId="39E1FE62" w14:textId="3F134932" w:rsidR="00687152" w:rsidRDefault="00687152" w:rsidP="00687152">
      <w:pPr>
        <w:pStyle w:val="Caption"/>
        <w:keepNext/>
      </w:pPr>
      <w:bookmarkStart w:id="0" w:name="_Ref129172533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EE2E51">
        <w:rPr>
          <w:noProof/>
        </w:rPr>
        <w:t>1</w:t>
      </w:r>
      <w:r>
        <w:fldChar w:fldCharType="end"/>
      </w:r>
      <w:bookmarkEnd w:id="0"/>
      <w:r>
        <w:rPr>
          <w:lang w:val="en-GB"/>
        </w:rPr>
        <w:t>. Components of the MRV system in terms of data input, output and usage.</w:t>
      </w:r>
      <w:r w:rsidR="00C42621">
        <w:rPr>
          <w:lang w:val="en-GB"/>
        </w:rPr>
        <w:t>.</w:t>
      </w:r>
    </w:p>
    <w:p w14:paraId="54930D37" w14:textId="0D8936C3" w:rsidR="00687152" w:rsidRDefault="005E639C" w:rsidP="007C6D82">
      <w:pPr>
        <w:rPr>
          <w:rFonts w:ascii="Open Sans" w:hAnsi="Open Sans" w:cs="Open Sans"/>
          <w:sz w:val="20"/>
          <w:szCs w:val="20"/>
          <w:lang w:val="en-GB"/>
        </w:rPr>
      </w:pPr>
      <w:r w:rsidRPr="005E639C">
        <w:rPr>
          <w:rFonts w:ascii="Open Sans" w:hAnsi="Open Sans" w:cs="Open Sans"/>
          <w:noProof/>
          <w:sz w:val="20"/>
          <w:szCs w:val="20"/>
          <w:lang w:val="en-GB"/>
        </w:rPr>
        <w:drawing>
          <wp:inline distT="0" distB="0" distL="0" distR="0" wp14:anchorId="1FA85617" wp14:editId="17FB7A9D">
            <wp:extent cx="4600609" cy="4148168"/>
            <wp:effectExtent l="0" t="0" r="0" b="5080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00609" cy="4148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B3772" w14:textId="63D7BA49" w:rsidR="00F740A5" w:rsidRDefault="00F740A5" w:rsidP="001B4E44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lastRenderedPageBreak/>
        <w:t>The</w:t>
      </w:r>
      <w:r w:rsidR="001B1C7A">
        <w:rPr>
          <w:rFonts w:ascii="Open Sans" w:hAnsi="Open Sans" w:cs="Open Sans"/>
          <w:sz w:val="20"/>
          <w:szCs w:val="20"/>
          <w:lang w:val="en-GB"/>
        </w:rPr>
        <w:t xml:space="preserve">re is a standard set of </w:t>
      </w:r>
      <w:r>
        <w:rPr>
          <w:rFonts w:ascii="Open Sans" w:hAnsi="Open Sans" w:cs="Open Sans"/>
          <w:sz w:val="20"/>
          <w:szCs w:val="20"/>
          <w:lang w:val="en-GB"/>
        </w:rPr>
        <w:t xml:space="preserve">datapoints </w:t>
      </w:r>
      <w:r w:rsidR="00A347E9">
        <w:rPr>
          <w:rFonts w:ascii="Open Sans" w:hAnsi="Open Sans" w:cs="Open Sans"/>
          <w:sz w:val="20"/>
          <w:szCs w:val="20"/>
          <w:lang w:val="en-GB"/>
        </w:rPr>
        <w:t xml:space="preserve">that are collected </w:t>
      </w:r>
      <w:r w:rsidR="001B1C7A">
        <w:rPr>
          <w:rFonts w:ascii="Open Sans" w:hAnsi="Open Sans" w:cs="Open Sans"/>
          <w:sz w:val="20"/>
          <w:szCs w:val="20"/>
          <w:lang w:val="en-GB"/>
        </w:rPr>
        <w:t xml:space="preserve">by &amp;Green’s clients. </w:t>
      </w:r>
      <w:r w:rsidR="00807342">
        <w:rPr>
          <w:rFonts w:ascii="Open Sans" w:hAnsi="Open Sans" w:cs="Open Sans"/>
          <w:sz w:val="20"/>
          <w:szCs w:val="20"/>
          <w:lang w:val="en-GB"/>
        </w:rPr>
        <w:t>This standard list can be complemented with</w:t>
      </w:r>
      <w:r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FC4B4C">
        <w:rPr>
          <w:rFonts w:ascii="Open Sans" w:hAnsi="Open Sans" w:cs="Open Sans"/>
          <w:sz w:val="20"/>
          <w:szCs w:val="20"/>
          <w:lang w:val="en-GB"/>
        </w:rPr>
        <w:t>client</w:t>
      </w:r>
      <w:r w:rsidR="005C1B0C">
        <w:rPr>
          <w:rFonts w:ascii="Open Sans" w:hAnsi="Open Sans" w:cs="Open Sans"/>
          <w:sz w:val="20"/>
          <w:szCs w:val="20"/>
          <w:lang w:val="en-GB"/>
        </w:rPr>
        <w:t>-</w:t>
      </w:r>
      <w:r>
        <w:rPr>
          <w:rFonts w:ascii="Open Sans" w:hAnsi="Open Sans" w:cs="Open Sans"/>
          <w:sz w:val="20"/>
          <w:szCs w:val="20"/>
          <w:lang w:val="en-GB"/>
        </w:rPr>
        <w:t>specific</w:t>
      </w:r>
      <w:r w:rsidR="00807342">
        <w:rPr>
          <w:rFonts w:ascii="Open Sans" w:hAnsi="Open Sans" w:cs="Open Sans"/>
          <w:sz w:val="20"/>
          <w:szCs w:val="20"/>
          <w:lang w:val="en-GB"/>
        </w:rPr>
        <w:t xml:space="preserve"> datapoints,</w:t>
      </w:r>
      <w:r>
        <w:rPr>
          <w:rFonts w:ascii="Open Sans" w:hAnsi="Open Sans" w:cs="Open Sans"/>
          <w:sz w:val="20"/>
          <w:szCs w:val="20"/>
          <w:lang w:val="en-GB"/>
        </w:rPr>
        <w:t xml:space="preserve"> defined in order to capture performance of specific </w:t>
      </w:r>
      <w:r w:rsidR="006779E7">
        <w:rPr>
          <w:rFonts w:ascii="Open Sans" w:hAnsi="Open Sans" w:cs="Open Sans"/>
          <w:sz w:val="20"/>
          <w:szCs w:val="20"/>
          <w:lang w:val="en-GB"/>
        </w:rPr>
        <w:t xml:space="preserve">targets </w:t>
      </w:r>
      <w:r w:rsidR="00FB03F7">
        <w:rPr>
          <w:rFonts w:ascii="Open Sans" w:hAnsi="Open Sans" w:cs="Open Sans"/>
          <w:sz w:val="20"/>
          <w:szCs w:val="20"/>
          <w:lang w:val="en-GB"/>
        </w:rPr>
        <w:t xml:space="preserve">which are </w:t>
      </w:r>
      <w:r w:rsidR="006779E7">
        <w:rPr>
          <w:rFonts w:ascii="Open Sans" w:hAnsi="Open Sans" w:cs="Open Sans"/>
          <w:sz w:val="20"/>
          <w:szCs w:val="20"/>
          <w:lang w:val="en-GB"/>
        </w:rPr>
        <w:t xml:space="preserve">not reflected in the standard datapoints, but </w:t>
      </w:r>
      <w:r w:rsidR="00FB03F7">
        <w:rPr>
          <w:rFonts w:ascii="Open Sans" w:hAnsi="Open Sans" w:cs="Open Sans"/>
          <w:sz w:val="20"/>
          <w:szCs w:val="20"/>
          <w:lang w:val="en-GB"/>
        </w:rPr>
        <w:t xml:space="preserve">are </w:t>
      </w:r>
      <w:r w:rsidR="006779E7">
        <w:rPr>
          <w:rFonts w:ascii="Open Sans" w:hAnsi="Open Sans" w:cs="Open Sans"/>
          <w:sz w:val="20"/>
          <w:szCs w:val="20"/>
          <w:lang w:val="en-GB"/>
        </w:rPr>
        <w:t xml:space="preserve">essential </w:t>
      </w:r>
      <w:r w:rsidR="009E1CE7">
        <w:rPr>
          <w:rFonts w:ascii="Open Sans" w:hAnsi="Open Sans" w:cs="Open Sans"/>
          <w:sz w:val="20"/>
          <w:szCs w:val="20"/>
          <w:lang w:val="en-GB"/>
        </w:rPr>
        <w:t xml:space="preserve">to support </w:t>
      </w:r>
      <w:r w:rsidR="00FC4B4C">
        <w:rPr>
          <w:rFonts w:ascii="Open Sans" w:hAnsi="Open Sans" w:cs="Open Sans"/>
          <w:sz w:val="20"/>
          <w:szCs w:val="20"/>
          <w:lang w:val="en-GB"/>
        </w:rPr>
        <w:t xml:space="preserve">the </w:t>
      </w:r>
      <w:r w:rsidR="006779E7">
        <w:rPr>
          <w:rFonts w:ascii="Open Sans" w:hAnsi="Open Sans" w:cs="Open Sans"/>
          <w:sz w:val="20"/>
          <w:szCs w:val="20"/>
          <w:lang w:val="en-GB"/>
        </w:rPr>
        <w:t>transformational change</w:t>
      </w:r>
      <w:r w:rsidR="00FC4B4C">
        <w:rPr>
          <w:rFonts w:ascii="Open Sans" w:hAnsi="Open Sans" w:cs="Open Sans"/>
          <w:sz w:val="20"/>
          <w:szCs w:val="20"/>
          <w:lang w:val="en-GB"/>
        </w:rPr>
        <w:t xml:space="preserve"> pathway of the client</w:t>
      </w:r>
      <w:r w:rsidR="006779E7">
        <w:rPr>
          <w:rFonts w:ascii="Open Sans" w:hAnsi="Open Sans" w:cs="Open Sans"/>
          <w:sz w:val="20"/>
          <w:szCs w:val="20"/>
          <w:lang w:val="en-GB"/>
        </w:rPr>
        <w:t>.</w:t>
      </w:r>
    </w:p>
    <w:p w14:paraId="79422E6F" w14:textId="77777777" w:rsidR="0039020D" w:rsidRDefault="00061FF9" w:rsidP="00F4651F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&amp;Green collects </w:t>
      </w:r>
      <w:r w:rsidR="0075791A">
        <w:rPr>
          <w:rFonts w:ascii="Open Sans" w:hAnsi="Open Sans" w:cs="Open Sans"/>
          <w:sz w:val="20"/>
          <w:szCs w:val="20"/>
          <w:lang w:val="en-GB"/>
        </w:rPr>
        <w:t xml:space="preserve">these data to evaluate </w:t>
      </w:r>
      <w:r w:rsidR="00506E11">
        <w:rPr>
          <w:rFonts w:ascii="Open Sans" w:hAnsi="Open Sans" w:cs="Open Sans"/>
          <w:sz w:val="20"/>
          <w:szCs w:val="20"/>
          <w:lang w:val="en-GB"/>
        </w:rPr>
        <w:t xml:space="preserve">impact </w:t>
      </w:r>
      <w:r w:rsidR="0075791A">
        <w:rPr>
          <w:rFonts w:ascii="Open Sans" w:hAnsi="Open Sans" w:cs="Open Sans"/>
          <w:sz w:val="20"/>
          <w:szCs w:val="20"/>
          <w:lang w:val="en-GB"/>
        </w:rPr>
        <w:t xml:space="preserve">performance at the fund level, as well as at the client level. </w:t>
      </w:r>
    </w:p>
    <w:p w14:paraId="58917E60" w14:textId="3233C8EC" w:rsidR="006779E7" w:rsidRDefault="00457715" w:rsidP="00F4651F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The fund level </w:t>
      </w:r>
      <w:r w:rsidR="00F4651F">
        <w:rPr>
          <w:rFonts w:ascii="Open Sans" w:hAnsi="Open Sans" w:cs="Open Sans"/>
          <w:sz w:val="20"/>
          <w:szCs w:val="20"/>
          <w:lang w:val="en-GB"/>
        </w:rPr>
        <w:t>calculations are based on aggregated data from all portfolio clients</w:t>
      </w:r>
      <w:r w:rsidR="004A2841">
        <w:rPr>
          <w:rFonts w:ascii="Open Sans" w:hAnsi="Open Sans" w:cs="Open Sans"/>
          <w:sz w:val="20"/>
          <w:szCs w:val="20"/>
          <w:lang w:val="en-GB"/>
        </w:rPr>
        <w:t>,</w:t>
      </w:r>
      <w:r w:rsidR="00F4651F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D23269">
        <w:rPr>
          <w:rFonts w:ascii="Open Sans" w:hAnsi="Open Sans" w:cs="Open Sans"/>
          <w:sz w:val="20"/>
          <w:szCs w:val="20"/>
          <w:lang w:val="en-GB"/>
        </w:rPr>
        <w:t>informing the fund’s</w:t>
      </w:r>
      <w:r w:rsidR="004A2841">
        <w:rPr>
          <w:rFonts w:ascii="Open Sans" w:hAnsi="Open Sans" w:cs="Open Sans"/>
          <w:sz w:val="20"/>
          <w:szCs w:val="20"/>
          <w:lang w:val="en-GB"/>
        </w:rPr>
        <w:t xml:space="preserve"> O</w:t>
      </w:r>
      <w:r w:rsidR="00D23269">
        <w:rPr>
          <w:rFonts w:ascii="Open Sans" w:hAnsi="Open Sans" w:cs="Open Sans"/>
          <w:sz w:val="20"/>
          <w:szCs w:val="20"/>
          <w:lang w:val="en-GB"/>
        </w:rPr>
        <w:t xml:space="preserve">perational </w:t>
      </w:r>
      <w:r w:rsidR="004A2841">
        <w:rPr>
          <w:rFonts w:ascii="Open Sans" w:hAnsi="Open Sans" w:cs="Open Sans"/>
          <w:sz w:val="20"/>
          <w:szCs w:val="20"/>
          <w:lang w:val="en-GB"/>
        </w:rPr>
        <w:t>P</w:t>
      </w:r>
      <w:r w:rsidR="00D23269">
        <w:rPr>
          <w:rFonts w:ascii="Open Sans" w:hAnsi="Open Sans" w:cs="Open Sans"/>
          <w:sz w:val="20"/>
          <w:szCs w:val="20"/>
          <w:lang w:val="en-GB"/>
        </w:rPr>
        <w:t xml:space="preserve">erformance </w:t>
      </w:r>
      <w:r w:rsidR="004A2841">
        <w:rPr>
          <w:rFonts w:ascii="Open Sans" w:hAnsi="Open Sans" w:cs="Open Sans"/>
          <w:sz w:val="20"/>
          <w:szCs w:val="20"/>
          <w:lang w:val="en-GB"/>
        </w:rPr>
        <w:t>I</w:t>
      </w:r>
      <w:r w:rsidR="00D23269">
        <w:rPr>
          <w:rFonts w:ascii="Open Sans" w:hAnsi="Open Sans" w:cs="Open Sans"/>
          <w:sz w:val="20"/>
          <w:szCs w:val="20"/>
          <w:lang w:val="en-GB"/>
        </w:rPr>
        <w:t>ndicator</w:t>
      </w:r>
      <w:r w:rsidR="004A2841">
        <w:rPr>
          <w:rFonts w:ascii="Open Sans" w:hAnsi="Open Sans" w:cs="Open Sans"/>
          <w:sz w:val="20"/>
          <w:szCs w:val="20"/>
          <w:lang w:val="en-GB"/>
        </w:rPr>
        <w:t>s</w:t>
      </w:r>
      <w:r w:rsidR="00D23269">
        <w:rPr>
          <w:rFonts w:ascii="Open Sans" w:hAnsi="Open Sans" w:cs="Open Sans"/>
          <w:sz w:val="20"/>
          <w:szCs w:val="20"/>
          <w:lang w:val="en-GB"/>
        </w:rPr>
        <w:t xml:space="preserve"> (OPIs)</w:t>
      </w:r>
      <w:r w:rsidR="004A2841">
        <w:rPr>
          <w:rFonts w:ascii="Open Sans" w:hAnsi="Open Sans" w:cs="Open Sans"/>
          <w:sz w:val="20"/>
          <w:szCs w:val="20"/>
          <w:lang w:val="en-GB"/>
        </w:rPr>
        <w:t xml:space="preserve"> and K</w:t>
      </w:r>
      <w:r w:rsidR="00D23269">
        <w:rPr>
          <w:rFonts w:ascii="Open Sans" w:hAnsi="Open Sans" w:cs="Open Sans"/>
          <w:sz w:val="20"/>
          <w:szCs w:val="20"/>
          <w:lang w:val="en-GB"/>
        </w:rPr>
        <w:t xml:space="preserve">ey </w:t>
      </w:r>
      <w:r w:rsidR="004A2841">
        <w:rPr>
          <w:rFonts w:ascii="Open Sans" w:hAnsi="Open Sans" w:cs="Open Sans"/>
          <w:sz w:val="20"/>
          <w:szCs w:val="20"/>
          <w:lang w:val="en-GB"/>
        </w:rPr>
        <w:t>P</w:t>
      </w:r>
      <w:r w:rsidR="00D23269">
        <w:rPr>
          <w:rFonts w:ascii="Open Sans" w:hAnsi="Open Sans" w:cs="Open Sans"/>
          <w:sz w:val="20"/>
          <w:szCs w:val="20"/>
          <w:lang w:val="en-GB"/>
        </w:rPr>
        <w:t xml:space="preserve">erformance </w:t>
      </w:r>
      <w:r w:rsidR="004A2841">
        <w:rPr>
          <w:rFonts w:ascii="Open Sans" w:hAnsi="Open Sans" w:cs="Open Sans"/>
          <w:sz w:val="20"/>
          <w:szCs w:val="20"/>
          <w:lang w:val="en-GB"/>
        </w:rPr>
        <w:t>I</w:t>
      </w:r>
      <w:r w:rsidR="00D23269">
        <w:rPr>
          <w:rFonts w:ascii="Open Sans" w:hAnsi="Open Sans" w:cs="Open Sans"/>
          <w:sz w:val="20"/>
          <w:szCs w:val="20"/>
          <w:lang w:val="en-GB"/>
        </w:rPr>
        <w:t>ndicator</w:t>
      </w:r>
      <w:r w:rsidR="004A2841">
        <w:rPr>
          <w:rFonts w:ascii="Open Sans" w:hAnsi="Open Sans" w:cs="Open Sans"/>
          <w:sz w:val="20"/>
          <w:szCs w:val="20"/>
          <w:lang w:val="en-GB"/>
        </w:rPr>
        <w:t>s</w:t>
      </w:r>
      <w:r w:rsidR="00D23269">
        <w:rPr>
          <w:rFonts w:ascii="Open Sans" w:hAnsi="Open Sans" w:cs="Open Sans"/>
          <w:sz w:val="20"/>
          <w:szCs w:val="20"/>
          <w:lang w:val="en-GB"/>
        </w:rPr>
        <w:t xml:space="preserve"> (KPIs)</w:t>
      </w:r>
      <w:r w:rsidR="004A2841">
        <w:rPr>
          <w:rFonts w:ascii="Open Sans" w:hAnsi="Open Sans" w:cs="Open Sans"/>
          <w:sz w:val="20"/>
          <w:szCs w:val="20"/>
          <w:lang w:val="en-GB"/>
        </w:rPr>
        <w:t xml:space="preserve">. These outputs are used for the </w:t>
      </w:r>
      <w:r w:rsidR="00FF62D2">
        <w:rPr>
          <w:rFonts w:ascii="Open Sans" w:hAnsi="Open Sans" w:cs="Open Sans"/>
          <w:sz w:val="20"/>
          <w:szCs w:val="20"/>
          <w:lang w:val="en-GB"/>
        </w:rPr>
        <w:t>f</w:t>
      </w:r>
      <w:r w:rsidR="004A2841">
        <w:rPr>
          <w:rFonts w:ascii="Open Sans" w:hAnsi="Open Sans" w:cs="Open Sans"/>
          <w:sz w:val="20"/>
          <w:szCs w:val="20"/>
          <w:lang w:val="en-GB"/>
        </w:rPr>
        <w:t xml:space="preserve">und’s </w:t>
      </w:r>
      <w:r w:rsidR="000C7AEE">
        <w:rPr>
          <w:rFonts w:ascii="Open Sans" w:hAnsi="Open Sans" w:cs="Open Sans"/>
          <w:sz w:val="20"/>
          <w:szCs w:val="20"/>
          <w:lang w:val="en-GB"/>
        </w:rPr>
        <w:t>i</w:t>
      </w:r>
      <w:r w:rsidR="004A2841">
        <w:rPr>
          <w:rFonts w:ascii="Open Sans" w:hAnsi="Open Sans" w:cs="Open Sans"/>
          <w:sz w:val="20"/>
          <w:szCs w:val="20"/>
          <w:lang w:val="en-GB"/>
        </w:rPr>
        <w:t xml:space="preserve">mpact </w:t>
      </w:r>
      <w:r w:rsidR="000C7AEE">
        <w:rPr>
          <w:rFonts w:ascii="Open Sans" w:hAnsi="Open Sans" w:cs="Open Sans"/>
          <w:sz w:val="20"/>
          <w:szCs w:val="20"/>
          <w:lang w:val="en-GB"/>
        </w:rPr>
        <w:t>r</w:t>
      </w:r>
      <w:r w:rsidR="004A2841">
        <w:rPr>
          <w:rFonts w:ascii="Open Sans" w:hAnsi="Open Sans" w:cs="Open Sans"/>
          <w:sz w:val="20"/>
          <w:szCs w:val="20"/>
          <w:lang w:val="en-GB"/>
        </w:rPr>
        <w:t>eporting</w:t>
      </w:r>
      <w:r w:rsidR="006E60BE">
        <w:rPr>
          <w:rFonts w:ascii="Open Sans" w:hAnsi="Open Sans" w:cs="Open Sans"/>
          <w:sz w:val="20"/>
          <w:szCs w:val="20"/>
          <w:lang w:val="en-GB"/>
        </w:rPr>
        <w:t>.</w:t>
      </w:r>
      <w:r w:rsidR="004A2841">
        <w:rPr>
          <w:rFonts w:ascii="Open Sans" w:hAnsi="Open Sans" w:cs="Open Sans"/>
          <w:sz w:val="20"/>
          <w:szCs w:val="20"/>
          <w:lang w:val="en-GB"/>
        </w:rPr>
        <w:t>. Certain OPIs</w:t>
      </w:r>
      <w:r w:rsidR="000C7AEE">
        <w:rPr>
          <w:rFonts w:ascii="Open Sans" w:hAnsi="Open Sans" w:cs="Open Sans"/>
          <w:sz w:val="20"/>
          <w:szCs w:val="20"/>
          <w:lang w:val="en-GB"/>
        </w:rPr>
        <w:t xml:space="preserve"> are</w:t>
      </w:r>
      <w:r w:rsidR="00B04689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4A2841">
        <w:rPr>
          <w:rFonts w:ascii="Open Sans" w:hAnsi="Open Sans" w:cs="Open Sans"/>
          <w:sz w:val="20"/>
          <w:szCs w:val="20"/>
          <w:lang w:val="en-GB"/>
        </w:rPr>
        <w:t xml:space="preserve">scoped differently </w:t>
      </w:r>
      <w:r w:rsidR="004D4987">
        <w:rPr>
          <w:rFonts w:ascii="Open Sans" w:hAnsi="Open Sans" w:cs="Open Sans"/>
          <w:sz w:val="20"/>
          <w:szCs w:val="20"/>
          <w:lang w:val="en-GB"/>
        </w:rPr>
        <w:t xml:space="preserve">at the </w:t>
      </w:r>
      <w:r w:rsidR="004A2841">
        <w:rPr>
          <w:rFonts w:ascii="Open Sans" w:hAnsi="Open Sans" w:cs="Open Sans"/>
          <w:sz w:val="20"/>
          <w:szCs w:val="20"/>
          <w:lang w:val="en-GB"/>
        </w:rPr>
        <w:t xml:space="preserve">request </w:t>
      </w:r>
      <w:r w:rsidR="004D4987">
        <w:rPr>
          <w:rFonts w:ascii="Open Sans" w:hAnsi="Open Sans" w:cs="Open Sans"/>
          <w:sz w:val="20"/>
          <w:szCs w:val="20"/>
          <w:lang w:val="en-GB"/>
        </w:rPr>
        <w:t xml:space="preserve">of </w:t>
      </w:r>
      <w:r w:rsidR="00EA57EA">
        <w:rPr>
          <w:rFonts w:ascii="Open Sans" w:hAnsi="Open Sans" w:cs="Open Sans"/>
          <w:sz w:val="20"/>
          <w:szCs w:val="20"/>
          <w:lang w:val="en-GB"/>
        </w:rPr>
        <w:t xml:space="preserve">some stakeholders (e.g. FMO) </w:t>
      </w:r>
      <w:r w:rsidR="007A385D">
        <w:rPr>
          <w:rFonts w:ascii="Open Sans" w:hAnsi="Open Sans" w:cs="Open Sans"/>
          <w:sz w:val="20"/>
          <w:szCs w:val="20"/>
          <w:lang w:val="en-GB"/>
        </w:rPr>
        <w:t xml:space="preserve">and </w:t>
      </w:r>
      <w:r w:rsidR="00EA57EA">
        <w:rPr>
          <w:rFonts w:ascii="Open Sans" w:hAnsi="Open Sans" w:cs="Open Sans"/>
          <w:sz w:val="20"/>
          <w:szCs w:val="20"/>
          <w:lang w:val="en-GB"/>
        </w:rPr>
        <w:t xml:space="preserve">are used for stakeholder-specific reporting, but they still rely on the </w:t>
      </w:r>
      <w:r w:rsidR="00A769E9">
        <w:rPr>
          <w:rFonts w:ascii="Open Sans" w:hAnsi="Open Sans" w:cs="Open Sans"/>
          <w:sz w:val="20"/>
          <w:szCs w:val="20"/>
          <w:lang w:val="en-GB"/>
        </w:rPr>
        <w:t>same datapoints as the KPIs.</w:t>
      </w:r>
    </w:p>
    <w:p w14:paraId="081F7687" w14:textId="68E4397D" w:rsidR="00A769E9" w:rsidRDefault="00A769E9" w:rsidP="00CC2C3B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The datapoints are also used to track the performance of the </w:t>
      </w:r>
      <w:r w:rsidR="0039020D">
        <w:rPr>
          <w:rFonts w:ascii="Open Sans" w:hAnsi="Open Sans" w:cs="Open Sans"/>
          <w:sz w:val="20"/>
          <w:szCs w:val="20"/>
          <w:lang w:val="en-GB"/>
        </w:rPr>
        <w:t xml:space="preserve">clients </w:t>
      </w:r>
      <w:r>
        <w:rPr>
          <w:rFonts w:ascii="Open Sans" w:hAnsi="Open Sans" w:cs="Open Sans"/>
          <w:sz w:val="20"/>
          <w:szCs w:val="20"/>
          <w:lang w:val="en-GB"/>
        </w:rPr>
        <w:t xml:space="preserve">against their </w:t>
      </w:r>
      <w:r w:rsidR="005369D2">
        <w:rPr>
          <w:rFonts w:ascii="Open Sans" w:hAnsi="Open Sans" w:cs="Open Sans"/>
          <w:sz w:val="20"/>
          <w:szCs w:val="20"/>
          <w:lang w:val="en-GB"/>
        </w:rPr>
        <w:t xml:space="preserve">annual </w:t>
      </w:r>
      <w:r w:rsidR="00B703AE">
        <w:rPr>
          <w:rFonts w:ascii="Open Sans" w:hAnsi="Open Sans" w:cs="Open Sans"/>
          <w:sz w:val="20"/>
          <w:szCs w:val="20"/>
          <w:lang w:val="en-GB"/>
        </w:rPr>
        <w:t>contractually binding</w:t>
      </w:r>
      <w:r>
        <w:rPr>
          <w:rFonts w:ascii="Open Sans" w:hAnsi="Open Sans" w:cs="Open Sans"/>
          <w:sz w:val="20"/>
          <w:szCs w:val="20"/>
          <w:lang w:val="en-GB"/>
        </w:rPr>
        <w:t xml:space="preserve"> targets.</w:t>
      </w:r>
      <w:r w:rsidR="001A4772">
        <w:rPr>
          <w:rFonts w:ascii="Open Sans" w:hAnsi="Open Sans" w:cs="Open Sans"/>
          <w:sz w:val="20"/>
          <w:szCs w:val="20"/>
          <w:lang w:val="en-GB"/>
        </w:rPr>
        <w:t xml:space="preserve"> The </w:t>
      </w:r>
      <w:r w:rsidR="0039020D">
        <w:rPr>
          <w:rFonts w:ascii="Open Sans" w:hAnsi="Open Sans" w:cs="Open Sans"/>
          <w:sz w:val="20"/>
          <w:szCs w:val="20"/>
          <w:lang w:val="en-GB"/>
        </w:rPr>
        <w:t>client</w:t>
      </w:r>
      <w:r w:rsidR="001A4772">
        <w:rPr>
          <w:rFonts w:ascii="Open Sans" w:hAnsi="Open Sans" w:cs="Open Sans"/>
          <w:sz w:val="20"/>
          <w:szCs w:val="20"/>
          <w:lang w:val="en-GB"/>
        </w:rPr>
        <w:t xml:space="preserve">-specific data points are used only for </w:t>
      </w:r>
      <w:r w:rsidR="0039020D">
        <w:rPr>
          <w:rFonts w:ascii="Open Sans" w:hAnsi="Open Sans" w:cs="Open Sans"/>
          <w:sz w:val="20"/>
          <w:szCs w:val="20"/>
          <w:lang w:val="en-GB"/>
        </w:rPr>
        <w:t xml:space="preserve">client </w:t>
      </w:r>
      <w:r w:rsidR="001A4772">
        <w:rPr>
          <w:rFonts w:ascii="Open Sans" w:hAnsi="Open Sans" w:cs="Open Sans"/>
          <w:sz w:val="20"/>
          <w:szCs w:val="20"/>
          <w:lang w:val="en-GB"/>
        </w:rPr>
        <w:t xml:space="preserve">performance overview, </w:t>
      </w:r>
      <w:r w:rsidR="0039020D">
        <w:rPr>
          <w:rFonts w:ascii="Open Sans" w:hAnsi="Open Sans" w:cs="Open Sans"/>
          <w:sz w:val="20"/>
          <w:szCs w:val="20"/>
          <w:lang w:val="en-GB"/>
        </w:rPr>
        <w:t xml:space="preserve">and are </w:t>
      </w:r>
      <w:r w:rsidR="001A4772">
        <w:rPr>
          <w:rFonts w:ascii="Open Sans" w:hAnsi="Open Sans" w:cs="Open Sans"/>
          <w:sz w:val="20"/>
          <w:szCs w:val="20"/>
          <w:lang w:val="en-GB"/>
        </w:rPr>
        <w:t xml:space="preserve">not aggregated to </w:t>
      </w:r>
      <w:r w:rsidR="0039020D">
        <w:rPr>
          <w:rFonts w:ascii="Open Sans" w:hAnsi="Open Sans" w:cs="Open Sans"/>
          <w:sz w:val="20"/>
          <w:szCs w:val="20"/>
          <w:lang w:val="en-GB"/>
        </w:rPr>
        <w:t xml:space="preserve">inform </w:t>
      </w:r>
      <w:r w:rsidR="00E376CC">
        <w:rPr>
          <w:rFonts w:ascii="Open Sans" w:hAnsi="Open Sans" w:cs="Open Sans"/>
          <w:sz w:val="20"/>
          <w:szCs w:val="20"/>
          <w:lang w:val="en-GB"/>
        </w:rPr>
        <w:t xml:space="preserve">OPIs and KPIs at </w:t>
      </w:r>
      <w:r w:rsidR="001A4772">
        <w:rPr>
          <w:rFonts w:ascii="Open Sans" w:hAnsi="Open Sans" w:cs="Open Sans"/>
          <w:sz w:val="20"/>
          <w:szCs w:val="20"/>
          <w:lang w:val="en-GB"/>
        </w:rPr>
        <w:t xml:space="preserve">the </w:t>
      </w:r>
      <w:r w:rsidR="00601414">
        <w:rPr>
          <w:rFonts w:ascii="Open Sans" w:hAnsi="Open Sans" w:cs="Open Sans"/>
          <w:sz w:val="20"/>
          <w:szCs w:val="20"/>
          <w:lang w:val="en-GB"/>
        </w:rPr>
        <w:t>f</w:t>
      </w:r>
      <w:r w:rsidR="001A4772">
        <w:rPr>
          <w:rFonts w:ascii="Open Sans" w:hAnsi="Open Sans" w:cs="Open Sans"/>
          <w:sz w:val="20"/>
          <w:szCs w:val="20"/>
          <w:lang w:val="en-GB"/>
        </w:rPr>
        <w:t xml:space="preserve">und level. </w:t>
      </w:r>
    </w:p>
    <w:p w14:paraId="45363EC4" w14:textId="070A1E62" w:rsidR="001B4E44" w:rsidRDefault="00CC2C3B" w:rsidP="007C6D82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The annual performance tracking of the </w:t>
      </w:r>
      <w:r w:rsidR="00E376CC">
        <w:rPr>
          <w:rFonts w:ascii="Open Sans" w:hAnsi="Open Sans" w:cs="Open Sans"/>
          <w:sz w:val="20"/>
          <w:szCs w:val="20"/>
          <w:lang w:val="en-GB"/>
        </w:rPr>
        <w:t xml:space="preserve">clients </w:t>
      </w:r>
      <w:r>
        <w:rPr>
          <w:rFonts w:ascii="Open Sans" w:hAnsi="Open Sans" w:cs="Open Sans"/>
          <w:sz w:val="20"/>
          <w:szCs w:val="20"/>
          <w:lang w:val="en-GB"/>
        </w:rPr>
        <w:t xml:space="preserve">and the </w:t>
      </w:r>
      <w:r w:rsidR="00E013D0">
        <w:rPr>
          <w:rFonts w:ascii="Open Sans" w:hAnsi="Open Sans" w:cs="Open Sans"/>
          <w:sz w:val="20"/>
          <w:szCs w:val="20"/>
          <w:lang w:val="en-GB"/>
        </w:rPr>
        <w:t>f</w:t>
      </w:r>
      <w:r>
        <w:rPr>
          <w:rFonts w:ascii="Open Sans" w:hAnsi="Open Sans" w:cs="Open Sans"/>
          <w:sz w:val="20"/>
          <w:szCs w:val="20"/>
          <w:lang w:val="en-GB"/>
        </w:rPr>
        <w:t>und</w:t>
      </w:r>
      <w:r w:rsidR="00E013D0">
        <w:rPr>
          <w:rFonts w:ascii="Open Sans" w:hAnsi="Open Sans" w:cs="Open Sans"/>
          <w:sz w:val="20"/>
          <w:szCs w:val="20"/>
          <w:lang w:val="en-GB"/>
        </w:rPr>
        <w:t xml:space="preserve"> as a whole</w:t>
      </w:r>
      <w:r>
        <w:rPr>
          <w:rFonts w:ascii="Open Sans" w:hAnsi="Open Sans" w:cs="Open Sans"/>
          <w:sz w:val="20"/>
          <w:szCs w:val="20"/>
          <w:lang w:val="en-GB"/>
        </w:rPr>
        <w:t xml:space="preserve"> is addressed in a separate Portfolio Monitoring Protocol</w:t>
      </w:r>
      <w:r w:rsidR="00132284">
        <w:rPr>
          <w:rFonts w:ascii="Open Sans" w:hAnsi="Open Sans" w:cs="Open Sans"/>
          <w:sz w:val="20"/>
          <w:szCs w:val="20"/>
          <w:lang w:val="en-GB"/>
        </w:rPr>
        <w:t xml:space="preserve"> which outlines how the </w:t>
      </w:r>
      <w:r w:rsidR="006B6509">
        <w:rPr>
          <w:rFonts w:ascii="Open Sans" w:hAnsi="Open Sans" w:cs="Open Sans"/>
          <w:sz w:val="20"/>
          <w:szCs w:val="20"/>
          <w:lang w:val="en-GB"/>
        </w:rPr>
        <w:t xml:space="preserve">data is </w:t>
      </w:r>
      <w:proofErr w:type="spellStart"/>
      <w:r w:rsidR="006B6509">
        <w:rPr>
          <w:rFonts w:ascii="Open Sans" w:hAnsi="Open Sans" w:cs="Open Sans"/>
          <w:sz w:val="20"/>
          <w:szCs w:val="20"/>
          <w:lang w:val="en-GB"/>
        </w:rPr>
        <w:t>analyzed</w:t>
      </w:r>
      <w:proofErr w:type="spellEnd"/>
      <w:r>
        <w:rPr>
          <w:rFonts w:ascii="Open Sans" w:hAnsi="Open Sans" w:cs="Open Sans"/>
          <w:sz w:val="20"/>
          <w:szCs w:val="20"/>
          <w:lang w:val="en-GB"/>
        </w:rPr>
        <w:t xml:space="preserve">. The concepts of the targets used by &amp;Green are summarized in the box below.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6"/>
      </w:tblGrid>
      <w:tr w:rsidR="008B4DF8" w14:paraId="31B32E6D" w14:textId="77777777" w:rsidTr="008B4DF8">
        <w:tc>
          <w:tcPr>
            <w:tcW w:w="9016" w:type="dxa"/>
            <w:shd w:val="clear" w:color="auto" w:fill="F2F2F2" w:themeFill="background1" w:themeFillShade="F2"/>
          </w:tcPr>
          <w:p w14:paraId="74BA7F51" w14:textId="601AB704" w:rsidR="008B4DF8" w:rsidRDefault="008B4DF8" w:rsidP="006B1205">
            <w:pPr>
              <w:pStyle w:val="Caption"/>
              <w:keepNext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t xml:space="preserve">Box </w:t>
            </w:r>
            <w:r>
              <w:fldChar w:fldCharType="begin"/>
            </w:r>
            <w:r>
              <w:instrText xml:space="preserve"> SEQ Box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 xml:space="preserve">. </w:t>
            </w:r>
            <w:r w:rsidRPr="000D7410">
              <w:rPr>
                <w:lang w:val="en-GB"/>
              </w:rPr>
              <w:t xml:space="preserve">Measuring </w:t>
            </w:r>
            <w:r w:rsidR="002658A4">
              <w:rPr>
                <w:lang w:val="en-GB"/>
              </w:rPr>
              <w:t xml:space="preserve">the </w:t>
            </w:r>
            <w:r w:rsidRPr="000D7410">
              <w:rPr>
                <w:lang w:val="en-GB"/>
              </w:rPr>
              <w:t>performance of &amp;Green Fund: targets, transaction and fund performance. The details on target setting and performance measurement are set in the Portfolio Monitoring Protocol.</w:t>
            </w:r>
            <w:r w:rsidRPr="00FD119E">
              <w:rPr>
                <w:rFonts w:ascii="Open Sans" w:hAnsi="Open Sans" w:cs="Open Sans"/>
                <w:noProof/>
                <w:sz w:val="20"/>
                <w:szCs w:val="20"/>
                <w:lang w:val="en-GB"/>
              </w:rPr>
              <w:drawing>
                <wp:inline distT="0" distB="0" distL="0" distR="0" wp14:anchorId="3DC7B45C" wp14:editId="39B23A37">
                  <wp:extent cx="5588635" cy="2430245"/>
                  <wp:effectExtent l="38100" t="38100" r="88265" b="103505"/>
                  <wp:docPr id="8" name="Afbeelding 8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text, application&#10;&#10;Description automatically generated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1913" cy="244906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A10AB3" w14:textId="0D8682E7" w:rsidR="00687152" w:rsidRDefault="00687152" w:rsidP="007C6D82">
      <w:pPr>
        <w:rPr>
          <w:rFonts w:ascii="Open Sans" w:hAnsi="Open Sans" w:cs="Open Sans"/>
          <w:sz w:val="20"/>
          <w:szCs w:val="20"/>
          <w:lang w:val="en-GB"/>
        </w:rPr>
      </w:pPr>
    </w:p>
    <w:p w14:paraId="2F6A8CA4" w14:textId="150D0C2F" w:rsidR="00D7688D" w:rsidRDefault="005732CA" w:rsidP="007C6D82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The MRV system </w:t>
      </w:r>
      <w:r w:rsidR="0073022A">
        <w:rPr>
          <w:rFonts w:ascii="Open Sans" w:hAnsi="Open Sans" w:cs="Open Sans"/>
          <w:sz w:val="20"/>
          <w:szCs w:val="20"/>
          <w:lang w:val="en-GB"/>
        </w:rPr>
        <w:t>u</w:t>
      </w:r>
      <w:r w:rsidR="00E43410">
        <w:rPr>
          <w:rFonts w:ascii="Open Sans" w:hAnsi="Open Sans" w:cs="Open Sans"/>
          <w:sz w:val="20"/>
          <w:szCs w:val="20"/>
          <w:lang w:val="en-GB"/>
        </w:rPr>
        <w:t>tilises</w:t>
      </w:r>
      <w:r>
        <w:rPr>
          <w:rFonts w:ascii="Open Sans" w:hAnsi="Open Sans" w:cs="Open Sans"/>
          <w:sz w:val="20"/>
          <w:szCs w:val="20"/>
          <w:lang w:val="en-GB"/>
        </w:rPr>
        <w:t xml:space="preserve"> a number of templates and standard processes  to maintain quality and</w:t>
      </w:r>
      <w:r w:rsidR="00E43410">
        <w:rPr>
          <w:rFonts w:ascii="Open Sans" w:hAnsi="Open Sans" w:cs="Open Sans"/>
          <w:sz w:val="20"/>
          <w:szCs w:val="20"/>
          <w:lang w:val="en-GB"/>
        </w:rPr>
        <w:t xml:space="preserve"> ensure </w:t>
      </w:r>
      <w:r w:rsidR="00007AE0">
        <w:rPr>
          <w:rFonts w:ascii="Open Sans" w:hAnsi="Open Sans" w:cs="Open Sans"/>
          <w:sz w:val="20"/>
          <w:szCs w:val="20"/>
          <w:lang w:val="en-GB"/>
        </w:rPr>
        <w:t>reporting</w:t>
      </w:r>
      <w:r>
        <w:rPr>
          <w:rFonts w:ascii="Open Sans" w:hAnsi="Open Sans" w:cs="Open Sans"/>
          <w:sz w:val="20"/>
          <w:szCs w:val="20"/>
          <w:lang w:val="en-GB"/>
        </w:rPr>
        <w:t xml:space="preserve"> consistency. These include:</w:t>
      </w:r>
    </w:p>
    <w:p w14:paraId="4A186BFA" w14:textId="5581A996" w:rsidR="005732CA" w:rsidRDefault="0087267D" w:rsidP="007C6D82">
      <w:pPr>
        <w:rPr>
          <w:rFonts w:ascii="Open Sans" w:hAnsi="Open Sans" w:cs="Open Sans"/>
          <w:sz w:val="20"/>
          <w:szCs w:val="20"/>
          <w:lang w:val="en-GB"/>
        </w:rPr>
      </w:pPr>
      <w:r w:rsidRPr="0050098E">
        <w:rPr>
          <w:rFonts w:ascii="Open Sans" w:hAnsi="Open Sans" w:cs="Open Sans"/>
          <w:b/>
          <w:bCs/>
          <w:sz w:val="20"/>
          <w:szCs w:val="20"/>
          <w:lang w:val="en-GB"/>
        </w:rPr>
        <w:t xml:space="preserve">MRV </w:t>
      </w:r>
      <w:r w:rsidR="0061110C">
        <w:rPr>
          <w:rFonts w:ascii="Open Sans" w:hAnsi="Open Sans" w:cs="Open Sans"/>
          <w:b/>
          <w:bCs/>
          <w:sz w:val="20"/>
          <w:szCs w:val="20"/>
          <w:lang w:val="en-GB"/>
        </w:rPr>
        <w:t xml:space="preserve">datapoints </w:t>
      </w:r>
      <w:r w:rsidRPr="0050098E">
        <w:rPr>
          <w:rFonts w:ascii="Open Sans" w:hAnsi="Open Sans" w:cs="Open Sans"/>
          <w:b/>
          <w:bCs/>
          <w:sz w:val="20"/>
          <w:szCs w:val="20"/>
          <w:lang w:val="en-GB"/>
        </w:rPr>
        <w:t>template</w:t>
      </w:r>
      <w:r w:rsidRPr="0050098E">
        <w:rPr>
          <w:rFonts w:ascii="Open Sans" w:hAnsi="Open Sans" w:cs="Open Sans"/>
          <w:sz w:val="20"/>
          <w:szCs w:val="20"/>
          <w:lang w:val="en-GB"/>
        </w:rPr>
        <w:t xml:space="preserve">: a </w:t>
      </w:r>
      <w:r w:rsidR="00F640F2">
        <w:rPr>
          <w:rFonts w:ascii="Open Sans" w:hAnsi="Open Sans" w:cs="Open Sans"/>
          <w:sz w:val="20"/>
          <w:szCs w:val="20"/>
          <w:lang w:val="en-GB"/>
        </w:rPr>
        <w:t xml:space="preserve">template </w:t>
      </w:r>
      <w:r w:rsidR="00890E0C">
        <w:rPr>
          <w:rFonts w:ascii="Open Sans" w:hAnsi="Open Sans" w:cs="Open Sans"/>
          <w:sz w:val="20"/>
          <w:szCs w:val="20"/>
          <w:lang w:val="en-GB"/>
        </w:rPr>
        <w:t xml:space="preserve">containing the list of standard datapoints </w:t>
      </w:r>
      <w:r w:rsidR="00836892">
        <w:rPr>
          <w:rFonts w:ascii="Open Sans" w:hAnsi="Open Sans" w:cs="Open Sans"/>
          <w:sz w:val="20"/>
          <w:szCs w:val="20"/>
          <w:lang w:val="en-GB"/>
        </w:rPr>
        <w:t xml:space="preserve">with </w:t>
      </w:r>
      <w:r w:rsidR="00945558">
        <w:rPr>
          <w:rFonts w:ascii="Open Sans" w:hAnsi="Open Sans" w:cs="Open Sans"/>
          <w:sz w:val="20"/>
          <w:szCs w:val="20"/>
          <w:lang w:val="en-GB"/>
        </w:rPr>
        <w:t xml:space="preserve">description of the scope of each, measurement units, frequency of data collection, </w:t>
      </w:r>
      <w:r w:rsidR="00281D12">
        <w:rPr>
          <w:rFonts w:ascii="Open Sans" w:hAnsi="Open Sans" w:cs="Open Sans"/>
          <w:sz w:val="20"/>
          <w:szCs w:val="20"/>
          <w:lang w:val="en-GB"/>
        </w:rPr>
        <w:t>means of verification (data sources</w:t>
      </w:r>
      <w:r w:rsidR="00224196">
        <w:rPr>
          <w:rFonts w:ascii="Open Sans" w:hAnsi="Open Sans" w:cs="Open Sans"/>
          <w:sz w:val="20"/>
          <w:szCs w:val="20"/>
          <w:lang w:val="en-GB"/>
        </w:rPr>
        <w:t xml:space="preserve">, reporting figures and scope of verification). The </w:t>
      </w:r>
      <w:r w:rsidR="00890E0C">
        <w:rPr>
          <w:rFonts w:ascii="Open Sans" w:hAnsi="Open Sans" w:cs="Open Sans"/>
          <w:sz w:val="20"/>
          <w:szCs w:val="20"/>
          <w:lang w:val="en-GB"/>
        </w:rPr>
        <w:t>client-specific datapoints</w:t>
      </w:r>
      <w:r w:rsidR="00224196">
        <w:rPr>
          <w:rFonts w:ascii="Open Sans" w:hAnsi="Open Sans" w:cs="Open Sans"/>
          <w:sz w:val="20"/>
          <w:szCs w:val="20"/>
          <w:lang w:val="en-GB"/>
        </w:rPr>
        <w:t xml:space="preserve"> will be described by the Deal Team, when applicable</w:t>
      </w:r>
      <w:r w:rsidR="00890E0C">
        <w:rPr>
          <w:rFonts w:ascii="Open Sans" w:hAnsi="Open Sans" w:cs="Open Sans"/>
          <w:sz w:val="20"/>
          <w:szCs w:val="20"/>
          <w:lang w:val="en-GB"/>
        </w:rPr>
        <w:t>. The resulting MRV datapoints list is</w:t>
      </w:r>
      <w:r w:rsidR="006F5E17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890E0C">
        <w:rPr>
          <w:rFonts w:ascii="Open Sans" w:hAnsi="Open Sans" w:cs="Open Sans"/>
          <w:sz w:val="20"/>
          <w:szCs w:val="20"/>
          <w:lang w:val="en-GB"/>
        </w:rPr>
        <w:t>included</w:t>
      </w:r>
      <w:r w:rsidR="006F5E17">
        <w:rPr>
          <w:rFonts w:ascii="Open Sans" w:hAnsi="Open Sans" w:cs="Open Sans"/>
          <w:sz w:val="20"/>
          <w:szCs w:val="20"/>
          <w:lang w:val="en-GB"/>
        </w:rPr>
        <w:t xml:space="preserve"> as part of </w:t>
      </w:r>
      <w:r w:rsidR="00EC6BEE">
        <w:rPr>
          <w:rFonts w:ascii="Open Sans" w:hAnsi="Open Sans" w:cs="Open Sans"/>
          <w:sz w:val="20"/>
          <w:szCs w:val="20"/>
          <w:lang w:val="en-GB"/>
        </w:rPr>
        <w:t xml:space="preserve">a </w:t>
      </w:r>
      <w:r w:rsidR="00890E0C">
        <w:rPr>
          <w:rFonts w:ascii="Open Sans" w:hAnsi="Open Sans" w:cs="Open Sans"/>
          <w:sz w:val="20"/>
          <w:szCs w:val="20"/>
          <w:lang w:val="en-GB"/>
        </w:rPr>
        <w:t>clients</w:t>
      </w:r>
      <w:r w:rsidR="006F5E17">
        <w:rPr>
          <w:rFonts w:ascii="Open Sans" w:hAnsi="Open Sans" w:cs="Open Sans"/>
          <w:sz w:val="20"/>
          <w:szCs w:val="20"/>
          <w:lang w:val="en-GB"/>
        </w:rPr>
        <w:t xml:space="preserve"> loan documentation package. </w:t>
      </w:r>
      <w:r w:rsidR="00EC6BEE">
        <w:rPr>
          <w:rFonts w:ascii="Open Sans" w:hAnsi="Open Sans" w:cs="Open Sans"/>
          <w:sz w:val="20"/>
          <w:szCs w:val="20"/>
          <w:lang w:val="en-GB"/>
        </w:rPr>
        <w:t>Preparation of the MRV datapoint list</w:t>
      </w:r>
      <w:r w:rsidR="006F5E17">
        <w:rPr>
          <w:rFonts w:ascii="Open Sans" w:hAnsi="Open Sans" w:cs="Open Sans"/>
          <w:sz w:val="20"/>
          <w:szCs w:val="20"/>
          <w:lang w:val="en-GB"/>
        </w:rPr>
        <w:t xml:space="preserve"> is the final step of the LPP design process (see </w:t>
      </w:r>
      <w:r w:rsidR="00F6785C">
        <w:rPr>
          <w:rFonts w:ascii="Open Sans" w:hAnsi="Open Sans" w:cs="Open Sans"/>
          <w:sz w:val="20"/>
          <w:szCs w:val="20"/>
          <w:lang w:val="en-GB"/>
        </w:rPr>
        <w:t>the “LPP Process” of ESMS Manual</w:t>
      </w:r>
      <w:r w:rsidR="006F5E17">
        <w:rPr>
          <w:rFonts w:ascii="Open Sans" w:hAnsi="Open Sans" w:cs="Open Sans"/>
          <w:sz w:val="20"/>
          <w:szCs w:val="20"/>
          <w:lang w:val="en-GB"/>
        </w:rPr>
        <w:t>).</w:t>
      </w:r>
    </w:p>
    <w:p w14:paraId="330154BF" w14:textId="6D8E67CE" w:rsidR="00C7489F" w:rsidRDefault="00C7489F" w:rsidP="00C7489F">
      <w:pPr>
        <w:pStyle w:val="Caption"/>
        <w:keepNext/>
      </w:pPr>
      <w:r>
        <w:lastRenderedPageBreak/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EE2E51">
        <w:rPr>
          <w:noProof/>
        </w:rPr>
        <w:t>2</w:t>
      </w:r>
      <w:r>
        <w:fldChar w:fldCharType="end"/>
      </w:r>
      <w:r>
        <w:t xml:space="preserve">. </w:t>
      </w:r>
      <w:r w:rsidR="00362462">
        <w:t>A sample view of the MRV template that is sent to the client.</w:t>
      </w:r>
    </w:p>
    <w:p w14:paraId="7F5AAD39" w14:textId="292656FA" w:rsidR="00EF3A3F" w:rsidRPr="006B1205" w:rsidRDefault="00DC7B62" w:rsidP="007C6D82">
      <w:pPr>
        <w:rPr>
          <w:rFonts w:ascii="Open Sans" w:hAnsi="Open Sans" w:cs="Open Sans"/>
          <w:sz w:val="20"/>
          <w:szCs w:val="20"/>
          <w:lang w:val="en-GB"/>
        </w:rPr>
      </w:pPr>
      <w:r w:rsidRPr="00DC7B62">
        <w:rPr>
          <w:rFonts w:ascii="Open Sans" w:hAnsi="Open Sans" w:cs="Open Sans"/>
          <w:noProof/>
          <w:sz w:val="20"/>
          <w:szCs w:val="20"/>
          <w:lang w:val="en-GB"/>
        </w:rPr>
        <w:drawing>
          <wp:inline distT="0" distB="0" distL="0" distR="0" wp14:anchorId="01B0E29D" wp14:editId="34F59FB8">
            <wp:extent cx="5731510" cy="3044190"/>
            <wp:effectExtent l="38100" t="38100" r="97790" b="99060"/>
            <wp:docPr id="13" name="Afbeelding 13" descr="Graphical user interfac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table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4419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ACD3CBC" w14:textId="1ADFF9F8" w:rsidR="0087267D" w:rsidRPr="0050098E" w:rsidRDefault="0087267D" w:rsidP="007C6D82">
      <w:pPr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50098E">
        <w:rPr>
          <w:rFonts w:ascii="Open Sans" w:hAnsi="Open Sans" w:cs="Open Sans"/>
          <w:b/>
          <w:bCs/>
          <w:sz w:val="20"/>
          <w:szCs w:val="20"/>
          <w:lang w:val="en-GB"/>
        </w:rPr>
        <w:t xml:space="preserve">MRV </w:t>
      </w:r>
      <w:r w:rsidR="00B35BE5">
        <w:rPr>
          <w:rFonts w:ascii="Open Sans" w:hAnsi="Open Sans" w:cs="Open Sans"/>
          <w:b/>
          <w:bCs/>
          <w:sz w:val="20"/>
          <w:szCs w:val="20"/>
          <w:lang w:val="en-GB"/>
        </w:rPr>
        <w:t>database</w:t>
      </w:r>
      <w:r w:rsidR="0050098E" w:rsidRPr="0050098E">
        <w:rPr>
          <w:rFonts w:ascii="Open Sans" w:hAnsi="Open Sans" w:cs="Open Sans"/>
          <w:sz w:val="20"/>
          <w:szCs w:val="20"/>
          <w:lang w:val="en-GB"/>
        </w:rPr>
        <w:t xml:space="preserve">: </w:t>
      </w:r>
      <w:r w:rsidR="0096439C">
        <w:rPr>
          <w:rFonts w:ascii="Open Sans" w:hAnsi="Open Sans" w:cs="Open Sans"/>
          <w:sz w:val="20"/>
          <w:szCs w:val="20"/>
          <w:lang w:val="en-GB"/>
        </w:rPr>
        <w:t xml:space="preserve">an excel database that </w:t>
      </w:r>
      <w:r w:rsidR="00B8570B">
        <w:rPr>
          <w:rFonts w:ascii="Open Sans" w:hAnsi="Open Sans" w:cs="Open Sans"/>
          <w:sz w:val="20"/>
          <w:szCs w:val="20"/>
          <w:lang w:val="en-GB"/>
        </w:rPr>
        <w:t xml:space="preserve">combines </w:t>
      </w:r>
      <w:r w:rsidR="00FD7DED">
        <w:rPr>
          <w:rFonts w:ascii="Open Sans" w:hAnsi="Open Sans" w:cs="Open Sans"/>
          <w:sz w:val="20"/>
          <w:szCs w:val="20"/>
          <w:lang w:val="en-GB"/>
        </w:rPr>
        <w:t xml:space="preserve">all transaction data, </w:t>
      </w:r>
      <w:r w:rsidR="003F4674">
        <w:rPr>
          <w:rFonts w:ascii="Open Sans" w:hAnsi="Open Sans" w:cs="Open Sans"/>
          <w:sz w:val="20"/>
          <w:szCs w:val="20"/>
          <w:lang w:val="en-GB"/>
        </w:rPr>
        <w:t xml:space="preserve">LPP targets and integrates all formulae </w:t>
      </w:r>
      <w:r w:rsidR="00FD7DED">
        <w:rPr>
          <w:rFonts w:ascii="Open Sans" w:hAnsi="Open Sans" w:cs="Open Sans"/>
          <w:sz w:val="20"/>
          <w:szCs w:val="20"/>
          <w:lang w:val="en-GB"/>
        </w:rPr>
        <w:t>necessary to produce OPIs</w:t>
      </w:r>
      <w:r w:rsidR="00AA7A4C">
        <w:rPr>
          <w:rFonts w:ascii="Open Sans" w:hAnsi="Open Sans" w:cs="Open Sans"/>
          <w:sz w:val="20"/>
          <w:szCs w:val="20"/>
          <w:lang w:val="en-GB"/>
        </w:rPr>
        <w:t xml:space="preserve">, </w:t>
      </w:r>
      <w:r w:rsidR="00FD7DED">
        <w:rPr>
          <w:rFonts w:ascii="Open Sans" w:hAnsi="Open Sans" w:cs="Open Sans"/>
          <w:sz w:val="20"/>
          <w:szCs w:val="20"/>
          <w:lang w:val="en-GB"/>
        </w:rPr>
        <w:t>KPIs</w:t>
      </w:r>
      <w:r w:rsidR="00AA7A4C">
        <w:rPr>
          <w:rFonts w:ascii="Open Sans" w:hAnsi="Open Sans" w:cs="Open Sans"/>
          <w:sz w:val="20"/>
          <w:szCs w:val="20"/>
          <w:lang w:val="en-GB"/>
        </w:rPr>
        <w:t xml:space="preserve"> and performance data</w:t>
      </w:r>
      <w:r w:rsidR="00FD7DED">
        <w:rPr>
          <w:rFonts w:ascii="Open Sans" w:hAnsi="Open Sans" w:cs="Open Sans"/>
          <w:sz w:val="20"/>
          <w:szCs w:val="20"/>
          <w:lang w:val="en-GB"/>
        </w:rPr>
        <w:t>.</w:t>
      </w:r>
    </w:p>
    <w:p w14:paraId="714CD2FA" w14:textId="1D8571F8" w:rsidR="00FB2131" w:rsidRDefault="00FB2131" w:rsidP="00FB2131">
      <w:pPr>
        <w:pStyle w:val="Caption"/>
        <w:keepNext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EE2E51">
        <w:rPr>
          <w:noProof/>
        </w:rPr>
        <w:t>3</w:t>
      </w:r>
      <w:r>
        <w:fldChar w:fldCharType="end"/>
      </w:r>
      <w:r>
        <w:rPr>
          <w:lang w:val="en-GB"/>
        </w:rPr>
        <w:t>.</w:t>
      </w:r>
      <w:r w:rsidR="000448AF">
        <w:rPr>
          <w:lang w:val="en-GB"/>
        </w:rPr>
        <w:t xml:space="preserve"> </w:t>
      </w:r>
      <w:r w:rsidR="00AA7A4C">
        <w:rPr>
          <w:lang w:val="en-GB"/>
        </w:rPr>
        <w:t xml:space="preserve">The MRV database contains all types of inputs as well as LPP-defined targets and allows for both impact and performance tracking. The data from </w:t>
      </w:r>
      <w:r w:rsidR="000448AF">
        <w:rPr>
          <w:lang w:val="en-GB"/>
        </w:rPr>
        <w:t xml:space="preserve">the </w:t>
      </w:r>
      <w:r w:rsidR="00AA7A4C">
        <w:rPr>
          <w:lang w:val="en-GB"/>
        </w:rPr>
        <w:t xml:space="preserve">MRV template is inserted </w:t>
      </w:r>
      <w:r w:rsidR="000448AF">
        <w:rPr>
          <w:lang w:val="en-GB"/>
        </w:rPr>
        <w:t xml:space="preserve">into </w:t>
      </w:r>
      <w:r w:rsidR="00AA7A4C">
        <w:rPr>
          <w:lang w:val="en-GB"/>
        </w:rPr>
        <w:t>this database.</w:t>
      </w:r>
    </w:p>
    <w:p w14:paraId="029CFAF6" w14:textId="16DCAABD" w:rsidR="00DC7B62" w:rsidRDefault="00FB2131" w:rsidP="007C6D82">
      <w:pPr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FB2131">
        <w:rPr>
          <w:rFonts w:ascii="Open Sans" w:hAnsi="Open Sans" w:cs="Open Sans"/>
          <w:b/>
          <w:bCs/>
          <w:noProof/>
          <w:sz w:val="20"/>
          <w:szCs w:val="20"/>
          <w:lang w:val="en-GB"/>
        </w:rPr>
        <w:drawing>
          <wp:inline distT="0" distB="0" distL="0" distR="0" wp14:anchorId="2A8ECC2F" wp14:editId="6B2A4EB0">
            <wp:extent cx="5731510" cy="2378710"/>
            <wp:effectExtent l="38100" t="38100" r="97790" b="97790"/>
            <wp:docPr id="14" name="Afbeelding 1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abl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7871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01FF882" w14:textId="5E6F5904" w:rsidR="00EF3A3F" w:rsidRDefault="00EF3A3F">
      <w:pPr>
        <w:rPr>
          <w:rFonts w:ascii="Open Sans" w:hAnsi="Open Sans" w:cs="Open Sans"/>
          <w:b/>
          <w:bCs/>
          <w:sz w:val="20"/>
          <w:szCs w:val="20"/>
          <w:lang w:val="en-GB"/>
        </w:rPr>
      </w:pPr>
      <w:r>
        <w:rPr>
          <w:rFonts w:ascii="Open Sans" w:hAnsi="Open Sans" w:cs="Open Sans"/>
          <w:b/>
          <w:bCs/>
          <w:sz w:val="20"/>
          <w:szCs w:val="20"/>
          <w:lang w:val="en-GB"/>
        </w:rPr>
        <w:br w:type="page"/>
      </w:r>
    </w:p>
    <w:p w14:paraId="47141BFE" w14:textId="63A57BB1" w:rsidR="0087267D" w:rsidRDefault="0087267D" w:rsidP="007C6D82">
      <w:pPr>
        <w:rPr>
          <w:rFonts w:ascii="Open Sans" w:hAnsi="Open Sans" w:cs="Open Sans"/>
          <w:sz w:val="20"/>
          <w:szCs w:val="20"/>
          <w:lang w:val="en-GB"/>
        </w:rPr>
      </w:pPr>
      <w:r w:rsidRPr="0050098E">
        <w:rPr>
          <w:rFonts w:ascii="Open Sans" w:hAnsi="Open Sans" w:cs="Open Sans"/>
          <w:b/>
          <w:bCs/>
          <w:sz w:val="20"/>
          <w:szCs w:val="20"/>
          <w:lang w:val="en-GB"/>
        </w:rPr>
        <w:lastRenderedPageBreak/>
        <w:t>MRV dashboards</w:t>
      </w:r>
      <w:r w:rsidR="0050098E" w:rsidRPr="0050098E">
        <w:rPr>
          <w:rFonts w:ascii="Open Sans" w:hAnsi="Open Sans" w:cs="Open Sans"/>
          <w:sz w:val="20"/>
          <w:szCs w:val="20"/>
          <w:lang w:val="en-GB"/>
        </w:rPr>
        <w:t xml:space="preserve">: </w:t>
      </w:r>
      <w:r w:rsidR="002C2103">
        <w:rPr>
          <w:rFonts w:ascii="Open Sans" w:hAnsi="Open Sans" w:cs="Open Sans"/>
          <w:sz w:val="20"/>
          <w:szCs w:val="20"/>
          <w:lang w:val="en-GB"/>
        </w:rPr>
        <w:t>dynamic dashboard that allow</w:t>
      </w:r>
      <w:r w:rsidR="00CB37FA">
        <w:rPr>
          <w:rFonts w:ascii="Open Sans" w:hAnsi="Open Sans" w:cs="Open Sans"/>
          <w:sz w:val="20"/>
          <w:szCs w:val="20"/>
          <w:lang w:val="en-GB"/>
        </w:rPr>
        <w:t>s</w:t>
      </w:r>
      <w:r w:rsidR="002C2103">
        <w:rPr>
          <w:rFonts w:ascii="Open Sans" w:hAnsi="Open Sans" w:cs="Open Sans"/>
          <w:sz w:val="20"/>
          <w:szCs w:val="20"/>
          <w:lang w:val="en-GB"/>
        </w:rPr>
        <w:t xml:space="preserve"> for</w:t>
      </w:r>
      <w:r w:rsidR="009E1CBD">
        <w:rPr>
          <w:rFonts w:ascii="Open Sans" w:hAnsi="Open Sans" w:cs="Open Sans"/>
          <w:sz w:val="20"/>
          <w:szCs w:val="20"/>
          <w:lang w:val="en-GB"/>
        </w:rPr>
        <w:t xml:space="preserve"> the graphical representation of</w:t>
      </w:r>
      <w:r w:rsidR="002C2103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572884">
        <w:rPr>
          <w:rFonts w:ascii="Open Sans" w:hAnsi="Open Sans" w:cs="Open Sans"/>
          <w:sz w:val="20"/>
          <w:szCs w:val="20"/>
          <w:lang w:val="en-GB"/>
        </w:rPr>
        <w:t>OPIs and KPIs.</w:t>
      </w:r>
    </w:p>
    <w:p w14:paraId="33CBD896" w14:textId="5E872D69" w:rsidR="00EE2E51" w:rsidRDefault="00EE2E51" w:rsidP="00EE2E51">
      <w:pPr>
        <w:pStyle w:val="Caption"/>
        <w:keepNext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. Sample of </w:t>
      </w:r>
      <w:r w:rsidR="00763E84">
        <w:t>transaction-level</w:t>
      </w:r>
      <w:r>
        <w:t xml:space="preserve"> dashboards.</w:t>
      </w:r>
    </w:p>
    <w:p w14:paraId="2F0E2424" w14:textId="29CEE978" w:rsidR="0093573D" w:rsidRDefault="000A2C9D" w:rsidP="007C6D82">
      <w:pPr>
        <w:rPr>
          <w:noProof/>
        </w:rPr>
      </w:pPr>
      <w:r w:rsidRPr="000A2C9D">
        <w:rPr>
          <w:rFonts w:ascii="Open Sans" w:hAnsi="Open Sans" w:cs="Open Sans"/>
          <w:noProof/>
          <w:sz w:val="20"/>
          <w:szCs w:val="20"/>
          <w:lang w:val="en-GB"/>
        </w:rPr>
        <w:drawing>
          <wp:inline distT="0" distB="0" distL="0" distR="0" wp14:anchorId="0C7191FA" wp14:editId="0E9A416C">
            <wp:extent cx="2628101" cy="1535519"/>
            <wp:effectExtent l="38100" t="38100" r="96520" b="102870"/>
            <wp:docPr id="16" name="Afbeelding 16" descr="Char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hart&#10;&#10;Description automatically generated with low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48447" cy="1547406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EE2E51" w:rsidRPr="00EE2E51">
        <w:rPr>
          <w:noProof/>
        </w:rPr>
        <w:t xml:space="preserve"> </w:t>
      </w:r>
      <w:r w:rsidR="00EE2E51" w:rsidRPr="00EE2E51">
        <w:rPr>
          <w:rFonts w:ascii="Open Sans" w:hAnsi="Open Sans" w:cs="Open Sans"/>
          <w:noProof/>
          <w:sz w:val="20"/>
          <w:szCs w:val="20"/>
          <w:lang w:val="en-GB"/>
        </w:rPr>
        <w:drawing>
          <wp:inline distT="0" distB="0" distL="0" distR="0" wp14:anchorId="503EAF58" wp14:editId="14FEC9CB">
            <wp:extent cx="2685126" cy="1573412"/>
            <wp:effectExtent l="38100" t="38100" r="96520" b="103505"/>
            <wp:docPr id="17" name="Afbeelding 17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88434" cy="1575351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7CCDBCD" w14:textId="0C5369E0" w:rsidR="00ED6918" w:rsidRPr="00DC40B5" w:rsidRDefault="00ED6918" w:rsidP="00ED6918">
      <w:pPr>
        <w:rPr>
          <w:rFonts w:ascii="Open Sans" w:hAnsi="Open Sans" w:cs="Open Sans"/>
          <w:sz w:val="20"/>
          <w:szCs w:val="20"/>
          <w:lang w:val="en-GB"/>
        </w:rPr>
      </w:pPr>
      <w:r w:rsidRPr="00996017">
        <w:rPr>
          <w:rFonts w:ascii="Open Sans" w:hAnsi="Open Sans" w:cs="Open Sans"/>
          <w:b/>
          <w:bCs/>
          <w:sz w:val="20"/>
          <w:szCs w:val="20"/>
          <w:lang w:val="en-GB"/>
        </w:rPr>
        <w:t xml:space="preserve">IFC PS </w:t>
      </w:r>
      <w:r>
        <w:rPr>
          <w:rFonts w:ascii="Open Sans" w:hAnsi="Open Sans" w:cs="Open Sans"/>
          <w:b/>
          <w:bCs/>
          <w:sz w:val="20"/>
          <w:szCs w:val="20"/>
          <w:lang w:val="en-GB"/>
        </w:rPr>
        <w:t>Compliance M</w:t>
      </w:r>
      <w:r w:rsidRPr="00996017">
        <w:rPr>
          <w:rFonts w:ascii="Open Sans" w:hAnsi="Open Sans" w:cs="Open Sans"/>
          <w:b/>
          <w:bCs/>
          <w:sz w:val="20"/>
          <w:szCs w:val="20"/>
          <w:lang w:val="en-GB"/>
        </w:rPr>
        <w:t>atrix</w:t>
      </w:r>
      <w:r w:rsidR="00AA4B7B">
        <w:rPr>
          <w:rFonts w:ascii="Open Sans" w:hAnsi="Open Sans" w:cs="Open Sans"/>
          <w:b/>
          <w:bCs/>
          <w:sz w:val="20"/>
          <w:szCs w:val="20"/>
          <w:lang w:val="en-GB"/>
        </w:rPr>
        <w:t xml:space="preserve">: </w:t>
      </w:r>
      <w:r w:rsidR="00AA4B7B">
        <w:rPr>
          <w:rFonts w:ascii="Open Sans" w:hAnsi="Open Sans" w:cs="Open Sans"/>
          <w:sz w:val="20"/>
          <w:szCs w:val="20"/>
          <w:lang w:val="en-GB"/>
        </w:rPr>
        <w:t>a spreadsheet that allows for a detailed, qualitative and quant</w:t>
      </w:r>
      <w:r w:rsidR="00224DE0">
        <w:rPr>
          <w:rFonts w:ascii="Open Sans" w:hAnsi="Open Sans" w:cs="Open Sans"/>
          <w:sz w:val="20"/>
          <w:szCs w:val="20"/>
          <w:lang w:val="en-GB"/>
        </w:rPr>
        <w:t>itative</w:t>
      </w:r>
      <w:r w:rsidR="00AA4B7B">
        <w:rPr>
          <w:rFonts w:ascii="Open Sans" w:hAnsi="Open Sans" w:cs="Open Sans"/>
          <w:sz w:val="20"/>
          <w:szCs w:val="20"/>
          <w:lang w:val="en-GB"/>
        </w:rPr>
        <w:t xml:space="preserve"> gap assessment against</w:t>
      </w:r>
      <w:r w:rsidR="00224DE0">
        <w:rPr>
          <w:rFonts w:ascii="Open Sans" w:hAnsi="Open Sans" w:cs="Open Sans"/>
          <w:sz w:val="20"/>
          <w:szCs w:val="20"/>
          <w:lang w:val="en-GB"/>
        </w:rPr>
        <w:t xml:space="preserve"> the IFC Performance Standards, generating compliance scores in percentages per Performance Standards, and against the IFC PS as a whole.</w:t>
      </w:r>
      <w:r w:rsidR="00AA4B7B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3E077B">
        <w:rPr>
          <w:rFonts w:ascii="Open Sans" w:hAnsi="Open Sans" w:cs="Open Sans"/>
          <w:sz w:val="20"/>
          <w:szCs w:val="20"/>
          <w:lang w:val="en-GB"/>
        </w:rPr>
        <w:t>IFC PS compliance</w:t>
      </w:r>
      <w:r w:rsidRPr="002633C9">
        <w:rPr>
          <w:rFonts w:ascii="Open Sans" w:hAnsi="Open Sans" w:cs="Open Sans"/>
          <w:sz w:val="20"/>
          <w:szCs w:val="20"/>
          <w:lang w:val="en-GB"/>
        </w:rPr>
        <w:t xml:space="preserve"> scores </w:t>
      </w:r>
      <w:r w:rsidRPr="008E001B">
        <w:rPr>
          <w:rFonts w:ascii="Open Sans" w:hAnsi="Open Sans" w:cs="Open Sans"/>
          <w:sz w:val="20"/>
          <w:szCs w:val="20"/>
          <w:lang w:val="en-GB"/>
        </w:rPr>
        <w:t xml:space="preserve">are another type of data covered by the </w:t>
      </w:r>
      <w:r>
        <w:rPr>
          <w:rFonts w:ascii="Open Sans" w:hAnsi="Open Sans" w:cs="Open Sans"/>
          <w:sz w:val="20"/>
          <w:szCs w:val="20"/>
          <w:lang w:val="en-GB"/>
        </w:rPr>
        <w:t xml:space="preserve">MRV system. </w:t>
      </w:r>
      <w:r w:rsidR="00561B96">
        <w:rPr>
          <w:rFonts w:ascii="Open Sans" w:hAnsi="Open Sans" w:cs="Open Sans"/>
          <w:sz w:val="20"/>
          <w:szCs w:val="20"/>
          <w:lang w:val="en-GB"/>
        </w:rPr>
        <w:t>They are used not for the impact measurement, but rather for the transaction performance in terms of risk management</w:t>
      </w:r>
      <w:r>
        <w:rPr>
          <w:rFonts w:ascii="Open Sans" w:hAnsi="Open Sans" w:cs="Open Sans"/>
          <w:sz w:val="20"/>
          <w:szCs w:val="20"/>
          <w:lang w:val="en-GB"/>
        </w:rPr>
        <w:t>.</w:t>
      </w:r>
    </w:p>
    <w:p w14:paraId="61B53B2F" w14:textId="77777777" w:rsidR="00EE2E51" w:rsidRDefault="00EE2E51" w:rsidP="007C6D82">
      <w:pPr>
        <w:rPr>
          <w:rFonts w:ascii="Open Sans" w:hAnsi="Open Sans" w:cs="Open Sans"/>
          <w:sz w:val="20"/>
          <w:szCs w:val="20"/>
          <w:lang w:val="en-GB"/>
        </w:rPr>
      </w:pPr>
    </w:p>
    <w:p w14:paraId="41EE38C7" w14:textId="77777777" w:rsidR="00EF3A3F" w:rsidRDefault="00EF3A3F" w:rsidP="007C6D82">
      <w:pPr>
        <w:rPr>
          <w:rFonts w:ascii="Open Sans" w:hAnsi="Open Sans" w:cs="Open Sans"/>
          <w:sz w:val="20"/>
          <w:szCs w:val="20"/>
          <w:lang w:val="en-GB"/>
        </w:rPr>
      </w:pPr>
    </w:p>
    <w:p w14:paraId="220C5BC6" w14:textId="7F82131E" w:rsidR="00F315D5" w:rsidRDefault="009358B6">
      <w:pPr>
        <w:pStyle w:val="SailSubHeading1"/>
      </w:pPr>
      <w:r>
        <w:t>MRV process within the Investment Process of &amp;Green</w:t>
      </w:r>
    </w:p>
    <w:p w14:paraId="158D0C1E" w14:textId="23FB3F19" w:rsidR="005C789D" w:rsidRDefault="006B734F" w:rsidP="00EE2E51">
      <w:pPr>
        <w:pStyle w:val="Body"/>
      </w:pPr>
      <w:r w:rsidRPr="00EE2E51">
        <w:t xml:space="preserve">The </w:t>
      </w:r>
      <w:r w:rsidR="00E67FA9" w:rsidRPr="00EE2E51">
        <w:t xml:space="preserve">MRV process is </w:t>
      </w:r>
      <w:r w:rsidR="00D7688D" w:rsidRPr="00EE2E51">
        <w:t>an integral part of</w:t>
      </w:r>
      <w:r w:rsidR="005C789D">
        <w:t xml:space="preserve"> &amp;Green Fund’s </w:t>
      </w:r>
      <w:r w:rsidR="00D7688D" w:rsidRPr="00EE2E51">
        <w:t xml:space="preserve">Investment Process. </w:t>
      </w:r>
    </w:p>
    <w:p w14:paraId="316A5D93" w14:textId="7B26E966" w:rsidR="00043EDA" w:rsidRPr="00EE2E51" w:rsidRDefault="00AA792F" w:rsidP="00EE2E51">
      <w:pPr>
        <w:pStyle w:val="Body"/>
      </w:pPr>
      <w:r w:rsidRPr="00EE2E51">
        <w:t xml:space="preserve">It starts with the customization of the MRV </w:t>
      </w:r>
      <w:r w:rsidR="005C789D">
        <w:t xml:space="preserve">datapoint </w:t>
      </w:r>
      <w:r w:rsidRPr="00EE2E51">
        <w:t xml:space="preserve">template </w:t>
      </w:r>
      <w:r w:rsidR="00103BB8">
        <w:t xml:space="preserve">to </w:t>
      </w:r>
      <w:r w:rsidR="00852320">
        <w:t>reflect</w:t>
      </w:r>
      <w:r w:rsidR="00103BB8" w:rsidRPr="00EE2E51">
        <w:t xml:space="preserve"> </w:t>
      </w:r>
      <w:r w:rsidR="00852320">
        <w:t>the</w:t>
      </w:r>
      <w:r w:rsidRPr="00EE2E51">
        <w:t xml:space="preserve"> scope, context and targets</w:t>
      </w:r>
      <w:r w:rsidR="00852320">
        <w:t xml:space="preserve"> of a client’s LPP</w:t>
      </w:r>
      <w:r w:rsidR="00103BB8">
        <w:t>. This is done</w:t>
      </w:r>
      <w:r w:rsidR="001340D8" w:rsidRPr="00EE2E51">
        <w:t xml:space="preserve"> </w:t>
      </w:r>
      <w:r w:rsidR="00103BB8">
        <w:t xml:space="preserve">by the </w:t>
      </w:r>
      <w:r w:rsidR="005E6408">
        <w:t xml:space="preserve">deal team, </w:t>
      </w:r>
      <w:r w:rsidR="001340D8" w:rsidRPr="00EE2E51">
        <w:t>as part of the LPP design</w:t>
      </w:r>
      <w:r w:rsidR="00262870">
        <w:t xml:space="preserve"> prior to investment</w:t>
      </w:r>
      <w:r w:rsidR="001340D8" w:rsidRPr="00EE2E51">
        <w:t xml:space="preserve">. </w:t>
      </w:r>
      <w:r w:rsidR="005E6408">
        <w:t>Upon investment, t</w:t>
      </w:r>
      <w:r w:rsidR="001340D8" w:rsidRPr="00EE2E51">
        <w:t xml:space="preserve">he </w:t>
      </w:r>
      <w:r w:rsidR="005E6408">
        <w:t xml:space="preserve">customized </w:t>
      </w:r>
      <w:r w:rsidR="001340D8" w:rsidRPr="00EE2E51">
        <w:t xml:space="preserve">MRV </w:t>
      </w:r>
      <w:r w:rsidR="00F640F2">
        <w:t xml:space="preserve">datapoint list </w:t>
      </w:r>
      <w:r w:rsidR="00043EDA" w:rsidRPr="00EE2E51">
        <w:t xml:space="preserve">is </w:t>
      </w:r>
      <w:r w:rsidR="005E6408">
        <w:t>a</w:t>
      </w:r>
      <w:r w:rsidR="00043EDA" w:rsidRPr="00EE2E51">
        <w:t>nnex</w:t>
      </w:r>
      <w:r w:rsidR="005E6408">
        <w:t>ed</w:t>
      </w:r>
      <w:r w:rsidR="00043EDA" w:rsidRPr="00EE2E51">
        <w:t xml:space="preserve"> </w:t>
      </w:r>
      <w:r w:rsidR="00E5416B">
        <w:t>as part of</w:t>
      </w:r>
      <w:r w:rsidR="00043EDA" w:rsidRPr="00EE2E51">
        <w:t xml:space="preserve"> the loan documentation package</w:t>
      </w:r>
      <w:r w:rsidR="00F2589F">
        <w:t xml:space="preserve"> for the client</w:t>
      </w:r>
      <w:r w:rsidR="00043EDA" w:rsidRPr="00EE2E51">
        <w:t xml:space="preserve">. </w:t>
      </w:r>
    </w:p>
    <w:p w14:paraId="16A802B9" w14:textId="79B10C9D" w:rsidR="00A95B87" w:rsidRDefault="00F2589F" w:rsidP="00EE2E51">
      <w:pPr>
        <w:pStyle w:val="Body"/>
      </w:pPr>
      <w:r>
        <w:t>&amp;Green’s c</w:t>
      </w:r>
      <w:r w:rsidR="00043EDA" w:rsidRPr="00EE2E51">
        <w:t>lient</w:t>
      </w:r>
      <w:r>
        <w:t>s</w:t>
      </w:r>
      <w:r w:rsidR="00043EDA" w:rsidRPr="00EE2E51">
        <w:t xml:space="preserve"> </w:t>
      </w:r>
      <w:r w:rsidR="00571A66" w:rsidRPr="00EE2E51">
        <w:t xml:space="preserve">contract </w:t>
      </w:r>
      <w:r w:rsidR="00E5416B">
        <w:t>external expert</w:t>
      </w:r>
      <w:r>
        <w:t>s</w:t>
      </w:r>
      <w:r w:rsidR="00E5416B">
        <w:t xml:space="preserve"> to carry out </w:t>
      </w:r>
      <w:r>
        <w:t>an</w:t>
      </w:r>
      <w:r w:rsidR="00262870">
        <w:t xml:space="preserve"> </w:t>
      </w:r>
      <w:r w:rsidR="00571A66" w:rsidRPr="00EE2E51">
        <w:t xml:space="preserve">annual independent </w:t>
      </w:r>
      <w:r w:rsidR="00993A80">
        <w:t>Environmental &amp; Social (E&amp;S) R</w:t>
      </w:r>
      <w:r w:rsidR="00571A66" w:rsidRPr="00EE2E51">
        <w:t>eview</w:t>
      </w:r>
      <w:r w:rsidR="00932B17">
        <w:t xml:space="preserve">. The </w:t>
      </w:r>
      <w:r w:rsidR="00993A80">
        <w:t>E&amp;S R</w:t>
      </w:r>
      <w:r w:rsidR="00932B17">
        <w:t xml:space="preserve">eview </w:t>
      </w:r>
      <w:r w:rsidR="000E2E67">
        <w:t>covers</w:t>
      </w:r>
      <w:r w:rsidR="00932B17">
        <w:t xml:space="preserve"> a</w:t>
      </w:r>
      <w:r w:rsidR="000E2E67">
        <w:t xml:space="preserve">n assessment of the client’s progress against the </w:t>
      </w:r>
      <w:r w:rsidR="00571A66" w:rsidRPr="00EE2E51">
        <w:t>ESAP</w:t>
      </w:r>
      <w:r w:rsidR="000E2E67">
        <w:t xml:space="preserve">, </w:t>
      </w:r>
      <w:r w:rsidR="006728AC">
        <w:t xml:space="preserve">assessment of their compliance with the IFC Performance Standards, </w:t>
      </w:r>
      <w:r w:rsidR="000E2E67">
        <w:t xml:space="preserve">as well as </w:t>
      </w:r>
      <w:r w:rsidR="004C4A83">
        <w:t xml:space="preserve">a verification of </w:t>
      </w:r>
      <w:r w:rsidR="00571A66" w:rsidRPr="00EE2E51">
        <w:t>the MRV datapoin</w:t>
      </w:r>
      <w:r w:rsidR="00202BBD" w:rsidRPr="00EE2E51">
        <w:t>t</w:t>
      </w:r>
      <w:r w:rsidR="00571A66" w:rsidRPr="00EE2E51">
        <w:t>s</w:t>
      </w:r>
      <w:r w:rsidR="004C4A83">
        <w:t xml:space="preserve"> reported by the client. This review process is detailed in a </w:t>
      </w:r>
      <w:r w:rsidR="00571A66" w:rsidRPr="00EE2E51">
        <w:t>standard</w:t>
      </w:r>
      <w:r w:rsidR="004C4A83">
        <w:t>ized</w:t>
      </w:r>
      <w:r w:rsidR="00571A66" w:rsidRPr="00EE2E51">
        <w:t xml:space="preserve"> T</w:t>
      </w:r>
      <w:r w:rsidR="004C4A83">
        <w:t xml:space="preserve">erms </w:t>
      </w:r>
      <w:r w:rsidR="00571A66" w:rsidRPr="00EE2E51">
        <w:t>o</w:t>
      </w:r>
      <w:r w:rsidR="004C4A83">
        <w:t xml:space="preserve">f </w:t>
      </w:r>
      <w:r w:rsidR="00202BBD" w:rsidRPr="00EE2E51">
        <w:t>R</w:t>
      </w:r>
      <w:r w:rsidR="004C4A83">
        <w:t>eference</w:t>
      </w:r>
      <w:r w:rsidR="00202BBD" w:rsidRPr="00EE2E51">
        <w:t xml:space="preserve">. The </w:t>
      </w:r>
      <w:r w:rsidR="004C4A83">
        <w:t>external experts</w:t>
      </w:r>
      <w:r w:rsidR="00D25634" w:rsidRPr="00EE2E51">
        <w:t xml:space="preserve"> are expected to finalize the </w:t>
      </w:r>
      <w:r w:rsidR="00993A80">
        <w:t>E&amp;S R</w:t>
      </w:r>
      <w:r w:rsidR="00D25634" w:rsidRPr="00EE2E51">
        <w:t xml:space="preserve">eview by </w:t>
      </w:r>
      <w:r w:rsidR="00202BBD" w:rsidRPr="00EE2E51">
        <w:t>May 31</w:t>
      </w:r>
      <w:r w:rsidR="00993A80" w:rsidRPr="002633C9">
        <w:rPr>
          <w:vertAlign w:val="superscript"/>
        </w:rPr>
        <w:t>st</w:t>
      </w:r>
      <w:r w:rsidR="00993A80">
        <w:t xml:space="preserve"> </w:t>
      </w:r>
      <w:r w:rsidR="000E6963" w:rsidRPr="00EE2E51">
        <w:t>each year</w:t>
      </w:r>
      <w:r w:rsidR="009320AF">
        <w:t xml:space="preserve">, and the final report is submitted to both the client and </w:t>
      </w:r>
      <w:r w:rsidR="00510B77">
        <w:t>&amp;Green’s Portfolio Monitoring Team (PMT)</w:t>
      </w:r>
      <w:r w:rsidR="00D25634" w:rsidRPr="00EE2E51">
        <w:t xml:space="preserve">. </w:t>
      </w:r>
      <w:r w:rsidR="00510B77">
        <w:t>The PMT</w:t>
      </w:r>
      <w:r w:rsidR="007A22E1" w:rsidRPr="00EE2E51">
        <w:t xml:space="preserve"> </w:t>
      </w:r>
      <w:r w:rsidR="00D25634" w:rsidRPr="00EE2E51">
        <w:t xml:space="preserve">runs a quality check </w:t>
      </w:r>
      <w:r w:rsidR="00E40ABD">
        <w:t xml:space="preserve">on the </w:t>
      </w:r>
      <w:r w:rsidR="009A0B0C">
        <w:t xml:space="preserve">E&amp;S Review </w:t>
      </w:r>
      <w:r w:rsidR="00E40ABD">
        <w:t>report</w:t>
      </w:r>
      <w:r w:rsidR="009A0B0C">
        <w:t>s from all clients,</w:t>
      </w:r>
      <w:r w:rsidR="00E40ABD">
        <w:t xml:space="preserve"> and the MRV datapoints </w:t>
      </w:r>
      <w:r w:rsidR="00EC6BEE">
        <w:t>list</w:t>
      </w:r>
      <w:r w:rsidR="009A0B0C">
        <w:t>s</w:t>
      </w:r>
      <w:r w:rsidR="00EC6BEE">
        <w:t xml:space="preserve"> </w:t>
      </w:r>
      <w:r w:rsidR="00E40ABD">
        <w:t xml:space="preserve">in particular, </w:t>
      </w:r>
      <w:r w:rsidR="009A0B0C">
        <w:t>in accordance with</w:t>
      </w:r>
      <w:r w:rsidR="009A0B0C" w:rsidRPr="00EE2E51">
        <w:t xml:space="preserve"> </w:t>
      </w:r>
      <w:r w:rsidR="00D25634" w:rsidRPr="00EE2E51">
        <w:t xml:space="preserve">internal </w:t>
      </w:r>
      <w:r w:rsidR="000A7C1A" w:rsidRPr="00EE2E51">
        <w:t>Q</w:t>
      </w:r>
      <w:r w:rsidR="00CA10F0">
        <w:t xml:space="preserve">uality </w:t>
      </w:r>
      <w:r w:rsidR="000A7C1A" w:rsidRPr="00EE2E51">
        <w:t>C</w:t>
      </w:r>
      <w:r w:rsidR="00CA10F0">
        <w:t>ontrol (QC)</w:t>
      </w:r>
      <w:r w:rsidR="000A7C1A" w:rsidRPr="00EE2E51">
        <w:t xml:space="preserve"> </w:t>
      </w:r>
      <w:r w:rsidR="00CA10F0">
        <w:t>Protocol</w:t>
      </w:r>
      <w:r w:rsidR="00CA10F0" w:rsidRPr="00EE2E51">
        <w:t xml:space="preserve"> </w:t>
      </w:r>
      <w:r w:rsidR="000A7C1A" w:rsidRPr="00EE2E51">
        <w:t>(</w:t>
      </w:r>
      <w:r w:rsidR="00E40ABD">
        <w:t>under</w:t>
      </w:r>
      <w:r w:rsidR="000A7C1A" w:rsidRPr="00EE2E51">
        <w:t xml:space="preserve"> development). </w:t>
      </w:r>
    </w:p>
    <w:p w14:paraId="7311D654" w14:textId="6E651F74" w:rsidR="00E12DAE" w:rsidRDefault="000A7C1A" w:rsidP="00EE2E51">
      <w:pPr>
        <w:pStyle w:val="Body"/>
      </w:pPr>
      <w:r w:rsidRPr="00EE2E51">
        <w:t xml:space="preserve">The </w:t>
      </w:r>
      <w:r w:rsidR="00673B3D" w:rsidRPr="00EE2E51">
        <w:t xml:space="preserve">data from the </w:t>
      </w:r>
      <w:r w:rsidR="00F640F2">
        <w:t>MRV datapoints</w:t>
      </w:r>
      <w:r w:rsidR="009A0B0C">
        <w:t xml:space="preserve"> lists</w:t>
      </w:r>
      <w:r w:rsidR="00F640F2" w:rsidRPr="00EE2E51">
        <w:t xml:space="preserve"> </w:t>
      </w:r>
      <w:r w:rsidR="00E12DAE">
        <w:t>from all clients are</w:t>
      </w:r>
      <w:r w:rsidR="00673B3D" w:rsidRPr="00EE2E51">
        <w:t xml:space="preserve"> then </w:t>
      </w:r>
      <w:r w:rsidR="009A0B0C">
        <w:t>copied into</w:t>
      </w:r>
      <w:r w:rsidR="00673B3D" w:rsidRPr="00EE2E51">
        <w:t xml:space="preserve"> the MRV database</w:t>
      </w:r>
      <w:r w:rsidR="00E24A6C">
        <w:t>,</w:t>
      </w:r>
      <w:r w:rsidR="00673B3D" w:rsidRPr="00EE2E51">
        <w:t xml:space="preserve"> </w:t>
      </w:r>
      <w:r w:rsidR="00E24A6C" w:rsidRPr="00EE2E51">
        <w:t>wh</w:t>
      </w:r>
      <w:r w:rsidR="00E24A6C">
        <w:t>ich</w:t>
      </w:r>
      <w:r w:rsidR="00E24A6C" w:rsidRPr="00EE2E51">
        <w:t xml:space="preserve"> </w:t>
      </w:r>
      <w:r w:rsidR="00673B3D" w:rsidRPr="00EE2E51">
        <w:t xml:space="preserve">automatically </w:t>
      </w:r>
      <w:r w:rsidR="00E24A6C">
        <w:t>generates</w:t>
      </w:r>
      <w:r w:rsidR="00673B3D" w:rsidRPr="00EE2E51">
        <w:t xml:space="preserve"> OPI and KPI</w:t>
      </w:r>
      <w:r w:rsidR="00A95B87">
        <w:t xml:space="preserve"> values</w:t>
      </w:r>
      <w:r w:rsidR="00E24A6C">
        <w:t xml:space="preserve"> through pre-defined calculations</w:t>
      </w:r>
      <w:r w:rsidR="00A86945" w:rsidRPr="00EE2E51">
        <w:t xml:space="preserve">. </w:t>
      </w:r>
    </w:p>
    <w:p w14:paraId="0AAB315A" w14:textId="1E55C3A4" w:rsidR="000A7C1A" w:rsidRDefault="00F10C44" w:rsidP="00EE2E51">
      <w:pPr>
        <w:pStyle w:val="Body"/>
      </w:pPr>
      <w:r>
        <w:t>These values are reported in</w:t>
      </w:r>
      <w:r w:rsidR="008728B7">
        <w:t xml:space="preserve"> a</w:t>
      </w:r>
      <w:r w:rsidR="00A86945" w:rsidRPr="00EE2E51">
        <w:t xml:space="preserve">nnual </w:t>
      </w:r>
      <w:r w:rsidR="008728B7">
        <w:t>r</w:t>
      </w:r>
      <w:r w:rsidR="00A86945" w:rsidRPr="00EE2E51">
        <w:t>eport and</w:t>
      </w:r>
      <w:r>
        <w:t>, where relevant,</w:t>
      </w:r>
      <w:r w:rsidR="00A86945" w:rsidRPr="00EE2E51">
        <w:t xml:space="preserve"> </w:t>
      </w:r>
      <w:r w:rsidR="003E7BDA">
        <w:t xml:space="preserve">other </w:t>
      </w:r>
      <w:r w:rsidR="00A86945" w:rsidRPr="00EE2E51">
        <w:t>stakeholder reports by June 30</w:t>
      </w:r>
      <w:r w:rsidRPr="002633C9">
        <w:rPr>
          <w:vertAlign w:val="superscript"/>
        </w:rPr>
        <w:t>th</w:t>
      </w:r>
      <w:r>
        <w:t xml:space="preserve"> each year</w:t>
      </w:r>
      <w:r w:rsidR="00A86945" w:rsidRPr="00EE2E51">
        <w:t xml:space="preserve"> (see </w:t>
      </w:r>
      <w:r w:rsidR="00A86945" w:rsidRPr="00EE2E51">
        <w:fldChar w:fldCharType="begin"/>
      </w:r>
      <w:r w:rsidR="00A86945" w:rsidRPr="00EE2E51">
        <w:instrText xml:space="preserve"> REF _Ref129144648 \h </w:instrText>
      </w:r>
      <w:r w:rsidR="00FC7E77" w:rsidRPr="00EE2E51">
        <w:instrText xml:space="preserve"> \* MERGEFORMAT </w:instrText>
      </w:r>
      <w:r w:rsidR="00A86945" w:rsidRPr="00EE2E51">
        <w:fldChar w:fldCharType="separate"/>
      </w:r>
      <w:r w:rsidR="00EE2E51" w:rsidRPr="00EE2E51">
        <w:t>Figure 5</w:t>
      </w:r>
      <w:r w:rsidR="00A86945" w:rsidRPr="00EE2E51">
        <w:fldChar w:fldCharType="end"/>
      </w:r>
      <w:r w:rsidR="00A86945" w:rsidRPr="00EE2E51">
        <w:t>).</w:t>
      </w:r>
    </w:p>
    <w:p w14:paraId="17E613EC" w14:textId="77777777" w:rsidR="009511F4" w:rsidRDefault="009511F4" w:rsidP="00EE2E51">
      <w:pPr>
        <w:pStyle w:val="Body"/>
      </w:pPr>
    </w:p>
    <w:p w14:paraId="3A0A1D22" w14:textId="77777777" w:rsidR="00C40942" w:rsidRPr="00B86890" w:rsidRDefault="00C40942" w:rsidP="00C40942">
      <w:pPr>
        <w:pStyle w:val="Body"/>
        <w:rPr>
          <w:lang w:val="en-GB"/>
        </w:rPr>
      </w:pPr>
    </w:p>
    <w:p w14:paraId="310C853B" w14:textId="77777777" w:rsidR="00C40942" w:rsidRDefault="00C40942" w:rsidP="00C40942">
      <w:pPr>
        <w:pStyle w:val="Caption"/>
        <w:keepNext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1AFEE6BB" wp14:editId="3FE65426">
                <wp:simplePos x="0" y="0"/>
                <wp:positionH relativeFrom="column">
                  <wp:posOffset>1626781</wp:posOffset>
                </wp:positionH>
                <wp:positionV relativeFrom="paragraph">
                  <wp:posOffset>270643</wp:posOffset>
                </wp:positionV>
                <wp:extent cx="3872285" cy="2297927"/>
                <wp:effectExtent l="0" t="0" r="13970" b="2667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2285" cy="2297927"/>
                          <a:chOff x="0" y="0"/>
                          <a:chExt cx="3872285" cy="2297927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0" y="0"/>
                            <a:ext cx="3872285" cy="22979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2945219" y="723014"/>
                            <a:ext cx="874588" cy="683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28A5DE" w14:textId="77777777" w:rsidR="00C40942" w:rsidRPr="00187BD7" w:rsidRDefault="00C40942" w:rsidP="00C40942">
                              <w:pPr>
                                <w:jc w:val="center"/>
                                <w:rPr>
                                  <w:rFonts w:ascii="Open Sans" w:hAnsi="Open Sans" w:cs="Open Sans"/>
                                  <w:color w:val="000000" w:themeColor="text1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187BD7">
                                <w:rPr>
                                  <w:rFonts w:ascii="Open Sans" w:hAnsi="Open Sans" w:cs="Open Sans"/>
                                  <w:color w:val="000000" w:themeColor="text1"/>
                                  <w:sz w:val="16"/>
                                  <w:szCs w:val="16"/>
                                  <w:lang w:val="en-GB"/>
                                </w:rPr>
                                <w:t>Deal Team responsibility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EE6BB" id="Group 15" o:spid="_x0000_s1026" style="position:absolute;margin-left:128.1pt;margin-top:21.3pt;width:304.9pt;height:180.95pt;z-index:251658242" coordsize="38722,22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">
                <v:rect id="Rectangle 18" o:spid="_x0000_s1027" style="position:absolute;width:38722;height:22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" filled="f" strokecolor="gray [1629]" strokeweight=".5pt"/>
                <v:rect id="Rectangle 19" o:spid="_x0000_s1028" style="position:absolute;left:29452;top:7230;width:8746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" filled="f" stroked="f" strokeweight="1pt">
                  <v:textbox>
                    <w:txbxContent>
                      <w:p w14:paraId="6828A5DE" w14:textId="77777777" w:rsidR="00C40942" w:rsidRPr="00187BD7" w:rsidRDefault="00C40942" w:rsidP="00C40942">
                        <w:pPr>
                          <w:jc w:val="center"/>
                          <w:rPr>
                            <w:rFonts w:ascii="Open Sans" w:hAnsi="Open Sans" w:cs="Open Sans"/>
                            <w:color w:val="000000" w:themeColor="text1"/>
                            <w:sz w:val="16"/>
                            <w:szCs w:val="16"/>
                            <w:lang w:val="en-GB"/>
                          </w:rPr>
                        </w:pPr>
                        <w:r w:rsidRPr="00187BD7">
                          <w:rPr>
                            <w:rFonts w:ascii="Open Sans" w:hAnsi="Open Sans" w:cs="Open Sans"/>
                            <w:color w:val="000000" w:themeColor="text1"/>
                            <w:sz w:val="16"/>
                            <w:szCs w:val="16"/>
                            <w:lang w:val="en-GB"/>
                          </w:rPr>
                          <w:t>Deal Team responsibility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rPr>
          <w:lang w:val="en-GB"/>
        </w:rPr>
        <w:t>. Overview of the MRV process and responsibilities of the Deal Team and Portfolio Monitoring Team.</w:t>
      </w:r>
    </w:p>
    <w:p w14:paraId="48600725" w14:textId="77777777" w:rsidR="00C40942" w:rsidRDefault="00C40942" w:rsidP="00C40942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noProof/>
          <w:sz w:val="20"/>
          <w:szCs w:val="20"/>
          <w:lang w:val="en-GB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023702D6" wp14:editId="137474BB">
                <wp:simplePos x="0" y="0"/>
                <wp:positionH relativeFrom="column">
                  <wp:posOffset>1626781</wp:posOffset>
                </wp:positionH>
                <wp:positionV relativeFrom="paragraph">
                  <wp:posOffset>2417534</wp:posOffset>
                </wp:positionV>
                <wp:extent cx="3872230" cy="3181599"/>
                <wp:effectExtent l="0" t="0" r="13970" b="1905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2230" cy="3181599"/>
                          <a:chOff x="0" y="0"/>
                          <a:chExt cx="3872230" cy="3181599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0"/>
                            <a:ext cx="3872230" cy="31815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945219" y="1116418"/>
                            <a:ext cx="874588" cy="683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64B9AC" w14:textId="77777777" w:rsidR="00C40942" w:rsidRPr="00187BD7" w:rsidRDefault="00C40942" w:rsidP="00C40942">
                              <w:pPr>
                                <w:jc w:val="center"/>
                                <w:rPr>
                                  <w:rFonts w:ascii="Open Sans" w:hAnsi="Open Sans" w:cs="Open Sans"/>
                                  <w:color w:val="000000" w:themeColor="text1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color w:val="000000" w:themeColor="text1"/>
                                  <w:sz w:val="16"/>
                                  <w:szCs w:val="16"/>
                                  <w:lang w:val="en-GB"/>
                                </w:rPr>
                                <w:t xml:space="preserve">Portfolio Monitoring </w:t>
                              </w:r>
                              <w:r w:rsidRPr="00187BD7">
                                <w:rPr>
                                  <w:rFonts w:ascii="Open Sans" w:hAnsi="Open Sans" w:cs="Open Sans"/>
                                  <w:color w:val="000000" w:themeColor="text1"/>
                                  <w:sz w:val="16"/>
                                  <w:szCs w:val="16"/>
                                  <w:lang w:val="en-GB"/>
                                </w:rPr>
                                <w:t>Team responsibility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702D6" id="Group 20" o:spid="_x0000_s1029" style="position:absolute;margin-left:128.1pt;margin-top:190.35pt;width:304.9pt;height:250.5pt;z-index:251658243" coordsize="38722,3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">
                <v:rect id="Rectangle 21" o:spid="_x0000_s1030" style="position:absolute;width:38722;height:318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" filled="f" strokecolor="gray [1629]" strokeweight=".5pt"/>
                <v:rect id="Rectangle 22" o:spid="_x0000_s1031" style="position:absolute;left:29452;top:11164;width:8746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<v:textbox>
                    <w:txbxContent>
                      <w:p w14:paraId="3B64B9AC" w14:textId="77777777" w:rsidR="00C40942" w:rsidRPr="00187BD7" w:rsidRDefault="00C40942" w:rsidP="00C40942">
                        <w:pPr>
                          <w:jc w:val="center"/>
                          <w:rPr>
                            <w:rFonts w:ascii="Open Sans" w:hAnsi="Open Sans" w:cs="Open Sans"/>
                            <w:color w:val="000000" w:themeColor="text1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Open Sans" w:hAnsi="Open Sans" w:cs="Open Sans"/>
                            <w:color w:val="000000" w:themeColor="text1"/>
                            <w:sz w:val="16"/>
                            <w:szCs w:val="16"/>
                            <w:lang w:val="en-GB"/>
                          </w:rPr>
                          <w:t xml:space="preserve">Portfolio Monitoring </w:t>
                        </w:r>
                        <w:r w:rsidRPr="00187BD7">
                          <w:rPr>
                            <w:rFonts w:ascii="Open Sans" w:hAnsi="Open Sans" w:cs="Open Sans"/>
                            <w:color w:val="000000" w:themeColor="text1"/>
                            <w:sz w:val="16"/>
                            <w:szCs w:val="16"/>
                            <w:lang w:val="en-GB"/>
                          </w:rPr>
                          <w:t>Team responsibility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D23D03">
        <w:rPr>
          <w:rFonts w:ascii="Open Sans" w:hAnsi="Open Sans" w:cs="Open Sans"/>
          <w:noProof/>
          <w:sz w:val="20"/>
          <w:szCs w:val="20"/>
          <w:lang w:val="en-GB"/>
        </w:rPr>
        <w:drawing>
          <wp:inline distT="0" distB="0" distL="0" distR="0" wp14:anchorId="75AEEB1F" wp14:editId="527EF627">
            <wp:extent cx="4619625" cy="5598867"/>
            <wp:effectExtent l="0" t="0" r="0" b="1905"/>
            <wp:docPr id="23" name="Picture 23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imeline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28445" cy="5609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EE0B2" w14:textId="77777777" w:rsidR="00C40942" w:rsidRDefault="00C40942" w:rsidP="00C40942">
      <w:pPr>
        <w:rPr>
          <w:rFonts w:ascii="Open Sans" w:hAnsi="Open Sans" w:cs="Open Sans"/>
          <w:bCs/>
          <w:sz w:val="20"/>
          <w:szCs w:val="24"/>
          <w:lang w:val="en-IE"/>
        </w:rPr>
      </w:pPr>
      <w:r>
        <w:br w:type="page"/>
      </w:r>
    </w:p>
    <w:p w14:paraId="266768B5" w14:textId="77777777" w:rsidR="00C40942" w:rsidRDefault="00C40942" w:rsidP="00EE2E51">
      <w:pPr>
        <w:pStyle w:val="Body"/>
      </w:pPr>
    </w:p>
    <w:p w14:paraId="76172C63" w14:textId="3AF594A5" w:rsidR="009511F4" w:rsidRDefault="009511F4">
      <w:pPr>
        <w:pStyle w:val="SailSubHeading1"/>
      </w:pPr>
      <w:r>
        <w:t>MRV system structure</w:t>
      </w:r>
    </w:p>
    <w:p w14:paraId="720EC4FA" w14:textId="2F9BC283" w:rsidR="009511F4" w:rsidRDefault="009511F4" w:rsidP="009511F4">
      <w:pPr>
        <w:pStyle w:val="Body"/>
      </w:pPr>
      <w:r>
        <w:t xml:space="preserve">The </w:t>
      </w:r>
      <w:r w:rsidR="00F51DC0">
        <w:t xml:space="preserve">standard </w:t>
      </w:r>
      <w:r>
        <w:t xml:space="preserve">MRV </w:t>
      </w:r>
      <w:r w:rsidR="00F51DC0">
        <w:t>datapoints include both</w:t>
      </w:r>
      <w:r>
        <w:t xml:space="preserve"> environmental and social </w:t>
      </w:r>
      <w:r w:rsidR="002B488B">
        <w:t xml:space="preserve">impact </w:t>
      </w:r>
      <w:r w:rsidR="008F5E55">
        <w:t>datapoints</w:t>
      </w:r>
      <w:r w:rsidR="00724218">
        <w:t>:</w:t>
      </w:r>
    </w:p>
    <w:p w14:paraId="5EFB8405" w14:textId="6DCB0F0A" w:rsidR="002B79B2" w:rsidRDefault="009511F4" w:rsidP="009511F4">
      <w:pPr>
        <w:pStyle w:val="Body"/>
      </w:pPr>
      <w:r>
        <w:t xml:space="preserve">The </w:t>
      </w:r>
      <w:r w:rsidRPr="6C685D7D">
        <w:rPr>
          <w:b/>
        </w:rPr>
        <w:t>environmental</w:t>
      </w:r>
      <w:r>
        <w:t xml:space="preserve"> </w:t>
      </w:r>
      <w:r w:rsidR="008F5E55">
        <w:t>datapoints</w:t>
      </w:r>
      <w:r>
        <w:t xml:space="preserve"> are related to land cover and land use management. </w:t>
      </w:r>
      <w:r w:rsidR="00492491">
        <w:t xml:space="preserve">Environmental datapoints </w:t>
      </w:r>
      <w:r w:rsidR="002B79B2">
        <w:t xml:space="preserve">are categorized in three main variables, see </w:t>
      </w:r>
      <w:r w:rsidR="002B79B2">
        <w:fldChar w:fldCharType="begin"/>
      </w:r>
      <w:r w:rsidR="002B79B2">
        <w:instrText xml:space="preserve"> REF _Ref129148926 \h </w:instrText>
      </w:r>
      <w:r w:rsidR="002B79B2">
        <w:fldChar w:fldCharType="separate"/>
      </w:r>
      <w:r w:rsidR="002B79B2">
        <w:t xml:space="preserve">Figure </w:t>
      </w:r>
      <w:r w:rsidR="002B79B2">
        <w:rPr>
          <w:noProof/>
        </w:rPr>
        <w:t>2</w:t>
      </w:r>
      <w:r w:rsidR="002B79B2">
        <w:fldChar w:fldCharType="end"/>
      </w:r>
      <w:r w:rsidR="002B79B2">
        <w:t>:</w:t>
      </w:r>
    </w:p>
    <w:p w14:paraId="4FB8D099" w14:textId="6684C536" w:rsidR="002B79B2" w:rsidRDefault="009511F4" w:rsidP="009511F4">
      <w:pPr>
        <w:pStyle w:val="Body"/>
      </w:pPr>
      <w:r>
        <w:t xml:space="preserve">(1) control over the land (directly owned by the </w:t>
      </w:r>
      <w:r w:rsidR="006751DA">
        <w:t>c</w:t>
      </w:r>
      <w:r>
        <w:t xml:space="preserve">lient, controlled by direct supplier, by indirect suppliers or under a specific program not belonging to any of the three previous categories), </w:t>
      </w:r>
    </w:p>
    <w:p w14:paraId="5250D820" w14:textId="77777777" w:rsidR="002B79B2" w:rsidRDefault="009511F4" w:rsidP="009511F4">
      <w:pPr>
        <w:pStyle w:val="Body"/>
      </w:pPr>
      <w:r>
        <w:t xml:space="preserve">(2) type of ecosystem/land use (forest, woodland, peatland or agriculture) and </w:t>
      </w:r>
    </w:p>
    <w:p w14:paraId="384B044C" w14:textId="0DE1A0A7" w:rsidR="009116D5" w:rsidRDefault="009511F4" w:rsidP="009511F4">
      <w:pPr>
        <w:pStyle w:val="Body"/>
      </w:pPr>
      <w:r>
        <w:t xml:space="preserve">(3) land use management (conservation, restoration, and in case of agriculture production, intensification or idle). </w:t>
      </w:r>
    </w:p>
    <w:p w14:paraId="3BA7A421" w14:textId="0D1E0377" w:rsidR="009511F4" w:rsidRDefault="009511F4" w:rsidP="009511F4">
      <w:pPr>
        <w:pStyle w:val="Body"/>
      </w:pPr>
      <w:r>
        <w:t xml:space="preserve">All land-related </w:t>
      </w:r>
      <w:r w:rsidR="00C656B9">
        <w:t>data points</w:t>
      </w:r>
      <w:r>
        <w:t xml:space="preserve"> are measured in hectares</w:t>
      </w:r>
      <w:r w:rsidR="00B5480A">
        <w:t>.</w:t>
      </w:r>
      <w:r>
        <w:t xml:space="preserve"> </w:t>
      </w:r>
      <w:r w:rsidR="008E7813">
        <w:t xml:space="preserve">Depending on the </w:t>
      </w:r>
      <w:r w:rsidR="004C61D3">
        <w:t>theme</w:t>
      </w:r>
      <w:r w:rsidR="008E7813">
        <w:t>, datapoints might differ in granularity</w:t>
      </w:r>
      <w:r w:rsidR="004C61D3">
        <w:t>.</w:t>
      </w:r>
      <w:r>
        <w:t xml:space="preserve"> </w:t>
      </w:r>
      <w:r w:rsidR="004C61D3">
        <w:t>T</w:t>
      </w:r>
      <w:r>
        <w:t xml:space="preserve">he “woodlands” and “peatlands” </w:t>
      </w:r>
      <w:r w:rsidR="004C61D3">
        <w:t xml:space="preserve">themes </w:t>
      </w:r>
      <w:r>
        <w:t xml:space="preserve">have 8 </w:t>
      </w:r>
      <w:r w:rsidR="004C61D3">
        <w:t xml:space="preserve">standard </w:t>
      </w:r>
      <w:r>
        <w:t>datapoints each</w:t>
      </w:r>
      <w:r w:rsidR="009E7461">
        <w:t>.</w:t>
      </w:r>
      <w:r>
        <w:t xml:space="preserve"> “</w:t>
      </w:r>
      <w:r w:rsidR="009E7461">
        <w:t>F</w:t>
      </w:r>
      <w:r>
        <w:t>orest” ha</w:t>
      </w:r>
      <w:r w:rsidR="004C61D3">
        <w:t>s</w:t>
      </w:r>
      <w:r>
        <w:t xml:space="preserve"> 12 </w:t>
      </w:r>
      <w:r w:rsidR="004C61D3">
        <w:t>standard datapoints</w:t>
      </w:r>
      <w:r w:rsidR="009E7461">
        <w:t>,</w:t>
      </w:r>
      <w:r w:rsidR="004C61D3">
        <w:t xml:space="preserve"> </w:t>
      </w:r>
      <w:r>
        <w:t xml:space="preserve">with 4 additional </w:t>
      </w:r>
      <w:r w:rsidR="00C91C96">
        <w:t xml:space="preserve">datapoints </w:t>
      </w:r>
      <w:r>
        <w:t xml:space="preserve">to reflect the status of the restoration against the national definition of forest. </w:t>
      </w:r>
      <w:r w:rsidR="00BF00B8">
        <w:t>“</w:t>
      </w:r>
      <w:r w:rsidR="00AA7420">
        <w:t>Agriculture</w:t>
      </w:r>
      <w:r w:rsidR="00BF00B8">
        <w:t>”</w:t>
      </w:r>
      <w:r w:rsidR="00AA7420">
        <w:t xml:space="preserve"> has </w:t>
      </w:r>
      <w:r>
        <w:t xml:space="preserve">9 </w:t>
      </w:r>
      <w:r w:rsidR="00C656B9">
        <w:t>data points</w:t>
      </w:r>
      <w:r>
        <w:t xml:space="preserve">, resulting in </w:t>
      </w:r>
      <w:r w:rsidR="00C91C96">
        <w:t xml:space="preserve">a </w:t>
      </w:r>
      <w:r>
        <w:t xml:space="preserve">total of 37 standard </w:t>
      </w:r>
      <w:r w:rsidR="00B5480A">
        <w:t xml:space="preserve">environmental </w:t>
      </w:r>
      <w:r>
        <w:t xml:space="preserve">datapoints. </w:t>
      </w:r>
    </w:p>
    <w:p w14:paraId="457215DD" w14:textId="2FFA2BA2" w:rsidR="00EF3A3F" w:rsidRDefault="00EF3A3F" w:rsidP="00EF3A3F">
      <w:pPr>
        <w:pStyle w:val="Body"/>
      </w:pPr>
      <w:r>
        <w:t xml:space="preserve">Depending on the </w:t>
      </w:r>
      <w:r w:rsidR="005C2C2E">
        <w:t>context of the project</w:t>
      </w:r>
      <w:r>
        <w:t>, the information can be further broken down in</w:t>
      </w:r>
      <w:r w:rsidR="00AA7420">
        <w:t>to</w:t>
      </w:r>
      <w:r>
        <w:t xml:space="preserve"> biomes, specific regions and similar</w:t>
      </w:r>
      <w:r w:rsidR="00DA718A">
        <w:t xml:space="preserve"> geogra</w:t>
      </w:r>
      <w:r w:rsidR="00670543">
        <w:t>p</w:t>
      </w:r>
      <w:r w:rsidR="00DA718A">
        <w:t xml:space="preserve">hical </w:t>
      </w:r>
      <w:r w:rsidR="00670543">
        <w:t>distinctions</w:t>
      </w:r>
      <w:r w:rsidR="00AA7420">
        <w:t>.</w:t>
      </w:r>
    </w:p>
    <w:p w14:paraId="40887D26" w14:textId="77777777" w:rsidR="009511F4" w:rsidRDefault="009511F4" w:rsidP="00EE2E51">
      <w:pPr>
        <w:pStyle w:val="Body"/>
      </w:pPr>
    </w:p>
    <w:p w14:paraId="300B764A" w14:textId="2B68B38E" w:rsidR="00B86890" w:rsidRDefault="00B86890" w:rsidP="00B86890">
      <w:pPr>
        <w:pStyle w:val="Caption"/>
        <w:keepNext/>
      </w:pPr>
      <w:bookmarkStart w:id="1" w:name="_Ref129148926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C40942">
        <w:rPr>
          <w:noProof/>
        </w:rPr>
        <w:t>5</w:t>
      </w:r>
      <w:r>
        <w:fldChar w:fldCharType="end"/>
      </w:r>
      <w:bookmarkEnd w:id="1"/>
      <w:r>
        <w:rPr>
          <w:lang w:val="en-GB"/>
        </w:rPr>
        <w:t>. Structure and granularity of land cover and land use data.</w:t>
      </w:r>
    </w:p>
    <w:p w14:paraId="42C5CDE6" w14:textId="77777777" w:rsidR="00B86890" w:rsidRDefault="00B86890" w:rsidP="00B86890">
      <w:pPr>
        <w:rPr>
          <w:rFonts w:ascii="Open Sans" w:hAnsi="Open Sans" w:cs="Open Sans"/>
          <w:sz w:val="20"/>
          <w:szCs w:val="20"/>
          <w:lang w:val="en-GB"/>
        </w:rPr>
      </w:pPr>
      <w:r w:rsidRPr="00604959">
        <w:rPr>
          <w:rFonts w:ascii="Open Sans" w:hAnsi="Open Sans" w:cs="Open Sans"/>
          <w:noProof/>
          <w:sz w:val="20"/>
          <w:szCs w:val="20"/>
          <w:lang w:val="en-GB"/>
        </w:rPr>
        <w:drawing>
          <wp:inline distT="0" distB="0" distL="0" distR="0" wp14:anchorId="3978C24D" wp14:editId="68C2E454">
            <wp:extent cx="5387612" cy="3476846"/>
            <wp:effectExtent l="0" t="0" r="3810" b="9525"/>
            <wp:docPr id="12" name="Afbeelding 1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10753" cy="349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45A9C" w14:textId="77777777" w:rsidR="00B86890" w:rsidRDefault="00B86890" w:rsidP="00EE2E51">
      <w:pPr>
        <w:pStyle w:val="Body"/>
      </w:pPr>
    </w:p>
    <w:p w14:paraId="60509134" w14:textId="5B42FE8B" w:rsidR="00B86890" w:rsidRDefault="00B86890" w:rsidP="00B86890">
      <w:pPr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The </w:t>
      </w:r>
      <w:r w:rsidRPr="001E4F53">
        <w:rPr>
          <w:rFonts w:ascii="Open Sans" w:hAnsi="Open Sans" w:cs="Open Sans"/>
          <w:b/>
          <w:bCs/>
          <w:sz w:val="20"/>
          <w:szCs w:val="20"/>
          <w:lang w:val="en-GB"/>
        </w:rPr>
        <w:t>social</w:t>
      </w:r>
      <w:r>
        <w:rPr>
          <w:rFonts w:ascii="Open Sans" w:hAnsi="Open Sans" w:cs="Open Sans"/>
          <w:sz w:val="20"/>
          <w:szCs w:val="20"/>
          <w:lang w:val="en-GB"/>
        </w:rPr>
        <w:t xml:space="preserve"> indicators are </w:t>
      </w:r>
      <w:r w:rsidR="00142CF6">
        <w:rPr>
          <w:rFonts w:ascii="Open Sans" w:hAnsi="Open Sans" w:cs="Open Sans"/>
          <w:sz w:val="20"/>
          <w:szCs w:val="20"/>
          <w:lang w:val="en-GB"/>
        </w:rPr>
        <w:t xml:space="preserve">broken down by their </w:t>
      </w:r>
      <w:r w:rsidR="004110D4">
        <w:rPr>
          <w:rFonts w:ascii="Open Sans" w:hAnsi="Open Sans" w:cs="Open Sans"/>
          <w:sz w:val="20"/>
          <w:szCs w:val="20"/>
          <w:lang w:val="en-GB"/>
        </w:rPr>
        <w:t>gendered impacts</w:t>
      </w:r>
      <w:r>
        <w:rPr>
          <w:rFonts w:ascii="Open Sans" w:hAnsi="Open Sans" w:cs="Open Sans"/>
          <w:sz w:val="20"/>
          <w:szCs w:val="20"/>
          <w:lang w:val="en-GB"/>
        </w:rPr>
        <w:t>. The</w:t>
      </w:r>
      <w:r w:rsidR="00142CF6">
        <w:rPr>
          <w:rFonts w:ascii="Open Sans" w:hAnsi="Open Sans" w:cs="Open Sans"/>
          <w:sz w:val="20"/>
          <w:szCs w:val="20"/>
          <w:lang w:val="en-GB"/>
        </w:rPr>
        <w:t>y</w:t>
      </w:r>
      <w:r>
        <w:rPr>
          <w:rFonts w:ascii="Open Sans" w:hAnsi="Open Sans" w:cs="Open Sans"/>
          <w:sz w:val="20"/>
          <w:szCs w:val="20"/>
          <w:lang w:val="en-GB"/>
        </w:rPr>
        <w:t xml:space="preserve"> include </w:t>
      </w:r>
      <w:r w:rsidR="00AA7420">
        <w:rPr>
          <w:rFonts w:ascii="Open Sans" w:hAnsi="Open Sans" w:cs="Open Sans"/>
          <w:sz w:val="20"/>
          <w:szCs w:val="20"/>
          <w:lang w:val="en-GB"/>
        </w:rPr>
        <w:t>different</w:t>
      </w:r>
      <w:r w:rsidR="00713BA7">
        <w:rPr>
          <w:rFonts w:ascii="Open Sans" w:hAnsi="Open Sans" w:cs="Open Sans"/>
          <w:sz w:val="20"/>
          <w:szCs w:val="20"/>
          <w:lang w:val="en-GB"/>
        </w:rPr>
        <w:t xml:space="preserve"> </w:t>
      </w:r>
      <w:r>
        <w:rPr>
          <w:rFonts w:ascii="Open Sans" w:hAnsi="Open Sans" w:cs="Open Sans"/>
          <w:sz w:val="20"/>
          <w:szCs w:val="20"/>
          <w:lang w:val="en-GB"/>
        </w:rPr>
        <w:t xml:space="preserve">beneficiaries of the transaction, </w:t>
      </w:r>
      <w:r w:rsidR="00046A4F">
        <w:rPr>
          <w:rFonts w:ascii="Open Sans" w:hAnsi="Open Sans" w:cs="Open Sans"/>
          <w:sz w:val="20"/>
          <w:szCs w:val="20"/>
          <w:lang w:val="en-GB"/>
        </w:rPr>
        <w:t xml:space="preserve">the number of </w:t>
      </w:r>
      <w:r>
        <w:rPr>
          <w:rFonts w:ascii="Open Sans" w:hAnsi="Open Sans" w:cs="Open Sans"/>
          <w:sz w:val="20"/>
          <w:szCs w:val="20"/>
          <w:lang w:val="en-GB"/>
        </w:rPr>
        <w:t xml:space="preserve">supported jobs and NDPE compliant producers. There are around 28 standard </w:t>
      </w:r>
      <w:r w:rsidR="00AA7420">
        <w:rPr>
          <w:rFonts w:ascii="Open Sans" w:hAnsi="Open Sans" w:cs="Open Sans"/>
          <w:sz w:val="20"/>
          <w:szCs w:val="20"/>
          <w:lang w:val="en-GB"/>
        </w:rPr>
        <w:t xml:space="preserve">social </w:t>
      </w:r>
      <w:r>
        <w:rPr>
          <w:rFonts w:ascii="Open Sans" w:hAnsi="Open Sans" w:cs="Open Sans"/>
          <w:sz w:val="20"/>
          <w:szCs w:val="20"/>
          <w:lang w:val="en-GB"/>
        </w:rPr>
        <w:t xml:space="preserve">datapoints, but their granularity will vary significantly depending on the project, applicability and available data. For example, the beneficiaries will be </w:t>
      </w:r>
      <w:r>
        <w:rPr>
          <w:rFonts w:ascii="Open Sans" w:hAnsi="Open Sans" w:cs="Open Sans"/>
          <w:sz w:val="20"/>
          <w:szCs w:val="20"/>
          <w:lang w:val="en-GB"/>
        </w:rPr>
        <w:lastRenderedPageBreak/>
        <w:t xml:space="preserve">defined on </w:t>
      </w:r>
      <w:r w:rsidR="00A179DF">
        <w:rPr>
          <w:rFonts w:ascii="Open Sans" w:hAnsi="Open Sans" w:cs="Open Sans"/>
          <w:sz w:val="20"/>
          <w:szCs w:val="20"/>
          <w:lang w:val="en-GB"/>
        </w:rPr>
        <w:t>a</w:t>
      </w:r>
      <w:r>
        <w:rPr>
          <w:rFonts w:ascii="Open Sans" w:hAnsi="Open Sans" w:cs="Open Sans"/>
          <w:sz w:val="20"/>
          <w:szCs w:val="20"/>
          <w:lang w:val="en-GB"/>
        </w:rPr>
        <w:t xml:space="preserve"> case-by-case basis following the climate vulnerability assessment (due diligence) and &amp;Green’s potential contribution to the </w:t>
      </w:r>
      <w:r w:rsidR="00214223">
        <w:rPr>
          <w:rFonts w:ascii="Open Sans" w:hAnsi="Open Sans" w:cs="Open Sans"/>
          <w:sz w:val="20"/>
          <w:szCs w:val="20"/>
          <w:lang w:val="en-GB"/>
        </w:rPr>
        <w:t>operation</w:t>
      </w:r>
      <w:r w:rsidR="00ED6918">
        <w:rPr>
          <w:rFonts w:ascii="Open Sans" w:hAnsi="Open Sans" w:cs="Open Sans"/>
          <w:sz w:val="20"/>
          <w:szCs w:val="20"/>
          <w:lang w:val="en-GB"/>
        </w:rPr>
        <w:t>’</w:t>
      </w:r>
      <w:r w:rsidR="00214223">
        <w:rPr>
          <w:rFonts w:ascii="Open Sans" w:hAnsi="Open Sans" w:cs="Open Sans"/>
          <w:sz w:val="20"/>
          <w:szCs w:val="20"/>
          <w:lang w:val="en-GB"/>
        </w:rPr>
        <w:t xml:space="preserve">s climate </w:t>
      </w:r>
      <w:r>
        <w:rPr>
          <w:rFonts w:ascii="Open Sans" w:hAnsi="Open Sans" w:cs="Open Sans"/>
          <w:sz w:val="20"/>
          <w:szCs w:val="20"/>
          <w:lang w:val="en-GB"/>
        </w:rPr>
        <w:t>resilience</w:t>
      </w:r>
      <w:r w:rsidR="00ED6918">
        <w:rPr>
          <w:rFonts w:ascii="Open Sans" w:hAnsi="Open Sans" w:cs="Open Sans"/>
          <w:sz w:val="20"/>
          <w:szCs w:val="20"/>
          <w:lang w:val="en-GB"/>
        </w:rPr>
        <w:t>. This will be further explained in</w:t>
      </w:r>
      <w:r>
        <w:rPr>
          <w:rFonts w:ascii="Open Sans" w:hAnsi="Open Sans" w:cs="Open Sans"/>
          <w:sz w:val="20"/>
          <w:szCs w:val="20"/>
          <w:lang w:val="en-GB"/>
        </w:rPr>
        <w:t xml:space="preserve"> the next item. </w:t>
      </w:r>
    </w:p>
    <w:p w14:paraId="09A4D99F" w14:textId="7E54458D" w:rsidR="00B86890" w:rsidRPr="00357520" w:rsidRDefault="002F663C" w:rsidP="00B86890">
      <w:pPr>
        <w:rPr>
          <w:rFonts w:ascii="Open Sans" w:hAnsi="Open Sans" w:cs="Open Sans"/>
          <w:sz w:val="20"/>
          <w:szCs w:val="20"/>
          <w:lang w:val="en-IE"/>
        </w:rPr>
      </w:pPr>
      <w:r>
        <w:rPr>
          <w:rFonts w:ascii="Open Sans" w:hAnsi="Open Sans" w:cs="Open Sans"/>
          <w:sz w:val="20"/>
          <w:szCs w:val="20"/>
          <w:lang w:val="en-IE"/>
        </w:rPr>
        <w:t xml:space="preserve">Only the standard datapoints feed into the fund level performance assessment through OPIs and KPIs. IFC PS compliance scores and client-specific </w:t>
      </w:r>
      <w:r w:rsidR="00C84689">
        <w:rPr>
          <w:rFonts w:ascii="Open Sans" w:hAnsi="Open Sans" w:cs="Open Sans"/>
          <w:sz w:val="20"/>
          <w:szCs w:val="20"/>
          <w:lang w:val="en-IE"/>
        </w:rPr>
        <w:t>datapoints are used only to evaluate performance at the client level.</w:t>
      </w:r>
    </w:p>
    <w:p w14:paraId="143D5592" w14:textId="77777777" w:rsidR="00B86890" w:rsidRDefault="00B86890" w:rsidP="00B86890">
      <w:pPr>
        <w:rPr>
          <w:rFonts w:ascii="Open Sans" w:hAnsi="Open Sans" w:cs="Open Sans"/>
          <w:sz w:val="20"/>
          <w:szCs w:val="20"/>
          <w:lang w:val="en-GB"/>
        </w:rPr>
      </w:pPr>
    </w:p>
    <w:p w14:paraId="5C84E600" w14:textId="0528E14B" w:rsidR="00131FBB" w:rsidRDefault="003113CB">
      <w:pPr>
        <w:pStyle w:val="SailSubHeading1"/>
      </w:pPr>
      <w:r>
        <w:t xml:space="preserve">Setting up the </w:t>
      </w:r>
      <w:r w:rsidR="00131FBB">
        <w:t xml:space="preserve">MRV </w:t>
      </w:r>
      <w:r w:rsidR="00A46BE6">
        <w:t>datapoint list – customizing the MRV datapoints template</w:t>
      </w:r>
    </w:p>
    <w:p w14:paraId="5BDB0662" w14:textId="265D0B17" w:rsidR="000815B3" w:rsidRPr="000815B3" w:rsidRDefault="00DD27A2" w:rsidP="00DD27A2">
      <w:pPr>
        <w:pStyle w:val="Body"/>
      </w:pPr>
      <w:r>
        <w:t xml:space="preserve">To </w:t>
      </w:r>
      <w:r w:rsidR="00A46BE6">
        <w:t xml:space="preserve">customize </w:t>
      </w:r>
      <w:r w:rsidR="000815B3">
        <w:t xml:space="preserve">the </w:t>
      </w:r>
      <w:r>
        <w:t xml:space="preserve">MRV </w:t>
      </w:r>
      <w:r w:rsidR="00A46BE6">
        <w:t xml:space="preserve">datapoint </w:t>
      </w:r>
      <w:r>
        <w:t xml:space="preserve">template for the </w:t>
      </w:r>
      <w:r w:rsidR="00E5156B">
        <w:t>c</w:t>
      </w:r>
      <w:r>
        <w:t>lient</w:t>
      </w:r>
      <w:r w:rsidR="000815B3">
        <w:t>,</w:t>
      </w:r>
      <w:r w:rsidR="00A46BE6">
        <w:t xml:space="preserve"> creating an MRV datapoints list,</w:t>
      </w:r>
      <w:r w:rsidR="000815B3">
        <w:t xml:space="preserve"> </w:t>
      </w:r>
      <w:r w:rsidR="009A5245">
        <w:t xml:space="preserve">the PMT </w:t>
      </w:r>
      <w:r w:rsidR="000815B3">
        <w:t>follow</w:t>
      </w:r>
      <w:r w:rsidR="009A5245">
        <w:t>s</w:t>
      </w:r>
      <w:r w:rsidR="000815B3">
        <w:t xml:space="preserve"> the</w:t>
      </w:r>
      <w:r w:rsidR="009A5245">
        <w:t xml:space="preserve"> following</w:t>
      </w:r>
      <w:r w:rsidR="000815B3">
        <w:t xml:space="preserve"> steps</w:t>
      </w:r>
      <w:r w:rsidR="002A49DF">
        <w:t>:</w:t>
      </w:r>
    </w:p>
    <w:p w14:paraId="309BDE10" w14:textId="5F8E992E" w:rsidR="00A77235" w:rsidRDefault="00E8342A" w:rsidP="005F4C73">
      <w:pPr>
        <w:pStyle w:val="ListParagraph"/>
        <w:numPr>
          <w:ilvl w:val="0"/>
          <w:numId w:val="16"/>
        </w:numPr>
        <w:spacing w:before="120" w:after="120" w:line="240" w:lineRule="auto"/>
        <w:contextualSpacing w:val="0"/>
        <w:rPr>
          <w:rFonts w:ascii="Open Sans" w:hAnsi="Open Sans" w:cs="Open Sans"/>
          <w:sz w:val="20"/>
          <w:szCs w:val="20"/>
          <w:lang w:val="en-GB"/>
        </w:rPr>
      </w:pPr>
      <w:r w:rsidRPr="00504A7E">
        <w:rPr>
          <w:rFonts w:ascii="Open Sans" w:hAnsi="Open Sans" w:cs="Open Sans"/>
          <w:sz w:val="20"/>
          <w:szCs w:val="20"/>
          <w:lang w:val="en-GB"/>
        </w:rPr>
        <w:t>Download the MRV</w:t>
      </w:r>
      <w:r w:rsidR="009A5245">
        <w:rPr>
          <w:rFonts w:ascii="Open Sans" w:hAnsi="Open Sans" w:cs="Open Sans"/>
          <w:sz w:val="20"/>
          <w:szCs w:val="20"/>
          <w:lang w:val="en-GB"/>
        </w:rPr>
        <w:t xml:space="preserve"> datapoint</w:t>
      </w:r>
      <w:r w:rsidRPr="00504A7E">
        <w:rPr>
          <w:rFonts w:ascii="Open Sans" w:hAnsi="Open Sans" w:cs="Open Sans"/>
          <w:sz w:val="20"/>
          <w:szCs w:val="20"/>
          <w:lang w:val="en-GB"/>
        </w:rPr>
        <w:t xml:space="preserve"> template from the ESMS </w:t>
      </w:r>
      <w:proofErr w:type="spellStart"/>
      <w:r w:rsidR="009A5245">
        <w:rPr>
          <w:rFonts w:ascii="Open Sans" w:hAnsi="Open Sans" w:cs="Open Sans"/>
          <w:sz w:val="20"/>
          <w:szCs w:val="20"/>
          <w:lang w:val="en-GB"/>
        </w:rPr>
        <w:t>S</w:t>
      </w:r>
      <w:r w:rsidRPr="00504A7E">
        <w:rPr>
          <w:rFonts w:ascii="Open Sans" w:hAnsi="Open Sans" w:cs="Open Sans"/>
          <w:sz w:val="20"/>
          <w:szCs w:val="20"/>
          <w:lang w:val="en-GB"/>
        </w:rPr>
        <w:t>harepoint</w:t>
      </w:r>
      <w:proofErr w:type="spellEnd"/>
      <w:r w:rsidRPr="00504A7E">
        <w:rPr>
          <w:rFonts w:ascii="Open Sans" w:hAnsi="Open Sans" w:cs="Open Sans"/>
          <w:sz w:val="20"/>
          <w:szCs w:val="20"/>
          <w:lang w:val="en-GB"/>
        </w:rPr>
        <w:t xml:space="preserve"> and save it in the </w:t>
      </w:r>
      <w:r w:rsidR="00E5156B">
        <w:rPr>
          <w:rFonts w:ascii="Open Sans" w:hAnsi="Open Sans" w:cs="Open Sans"/>
          <w:sz w:val="20"/>
          <w:szCs w:val="20"/>
          <w:lang w:val="en-GB"/>
        </w:rPr>
        <w:t>c</w:t>
      </w:r>
      <w:r w:rsidRPr="00504A7E">
        <w:rPr>
          <w:rFonts w:ascii="Open Sans" w:hAnsi="Open Sans" w:cs="Open Sans"/>
          <w:sz w:val="20"/>
          <w:szCs w:val="20"/>
          <w:lang w:val="en-GB"/>
        </w:rPr>
        <w:t>lient’s</w:t>
      </w:r>
      <w:r w:rsidR="00E5156B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Pr="00504A7E">
        <w:rPr>
          <w:rFonts w:ascii="Open Sans" w:hAnsi="Open Sans" w:cs="Open Sans"/>
          <w:sz w:val="20"/>
          <w:szCs w:val="20"/>
          <w:lang w:val="en-GB"/>
        </w:rPr>
        <w:t xml:space="preserve">folder. </w:t>
      </w:r>
    </w:p>
    <w:p w14:paraId="03FC332C" w14:textId="61D7F3C5" w:rsidR="008D39A2" w:rsidRDefault="005C1D7E" w:rsidP="008D39A2">
      <w:pPr>
        <w:pStyle w:val="ListParagraph"/>
        <w:numPr>
          <w:ilvl w:val="0"/>
          <w:numId w:val="16"/>
        </w:numPr>
        <w:spacing w:before="120" w:after="120" w:line="240" w:lineRule="auto"/>
        <w:contextualSpacing w:val="0"/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Use the column “Applicability” to filter only the datapoints applicable to the transaction. </w:t>
      </w:r>
      <w:r w:rsidR="00F44C09">
        <w:rPr>
          <w:rFonts w:ascii="Open Sans" w:hAnsi="Open Sans" w:cs="Open Sans"/>
          <w:sz w:val="20"/>
          <w:szCs w:val="20"/>
          <w:lang w:val="en-GB"/>
        </w:rPr>
        <w:t xml:space="preserve">The applicability will vary depending on the transaction context and </w:t>
      </w:r>
      <w:r w:rsidR="009628FB">
        <w:rPr>
          <w:rFonts w:ascii="Open Sans" w:hAnsi="Open Sans" w:cs="Open Sans"/>
          <w:sz w:val="20"/>
          <w:szCs w:val="20"/>
          <w:lang w:val="en-GB"/>
        </w:rPr>
        <w:t>circumstances</w:t>
      </w:r>
      <w:r w:rsidR="009005CC">
        <w:rPr>
          <w:rFonts w:ascii="Open Sans" w:hAnsi="Open Sans" w:cs="Open Sans"/>
          <w:sz w:val="20"/>
          <w:szCs w:val="20"/>
          <w:lang w:val="en-GB"/>
        </w:rPr>
        <w:t xml:space="preserve">: e.g. is this a </w:t>
      </w:r>
      <w:r w:rsidR="0035364A">
        <w:rPr>
          <w:rFonts w:ascii="Open Sans" w:hAnsi="Open Sans" w:cs="Open Sans"/>
          <w:sz w:val="20"/>
          <w:szCs w:val="20"/>
          <w:lang w:val="en-GB"/>
        </w:rPr>
        <w:t xml:space="preserve">site-based or supply </w:t>
      </w:r>
      <w:r w:rsidR="00DD07EE">
        <w:rPr>
          <w:rFonts w:ascii="Open Sans" w:hAnsi="Open Sans" w:cs="Open Sans"/>
          <w:sz w:val="20"/>
          <w:szCs w:val="20"/>
          <w:lang w:val="en-GB"/>
        </w:rPr>
        <w:t xml:space="preserve">transaction </w:t>
      </w:r>
      <w:r w:rsidR="0035364A">
        <w:rPr>
          <w:rFonts w:ascii="Open Sans" w:hAnsi="Open Sans" w:cs="Open Sans"/>
          <w:sz w:val="20"/>
          <w:szCs w:val="20"/>
          <w:lang w:val="en-GB"/>
        </w:rPr>
        <w:t xml:space="preserve">(or </w:t>
      </w:r>
      <w:r w:rsidR="00DD07EE">
        <w:rPr>
          <w:rFonts w:ascii="Open Sans" w:hAnsi="Open Sans" w:cs="Open Sans"/>
          <w:sz w:val="20"/>
          <w:szCs w:val="20"/>
          <w:lang w:val="en-GB"/>
        </w:rPr>
        <w:t>both</w:t>
      </w:r>
      <w:r w:rsidR="0035364A">
        <w:rPr>
          <w:rFonts w:ascii="Open Sans" w:hAnsi="Open Sans" w:cs="Open Sans"/>
          <w:sz w:val="20"/>
          <w:szCs w:val="20"/>
          <w:lang w:val="en-GB"/>
        </w:rPr>
        <w:t xml:space="preserve">), does it </w:t>
      </w:r>
      <w:r w:rsidR="00136223">
        <w:rPr>
          <w:rFonts w:ascii="Open Sans" w:hAnsi="Open Sans" w:cs="Open Sans"/>
          <w:sz w:val="20"/>
          <w:szCs w:val="20"/>
          <w:lang w:val="en-GB"/>
        </w:rPr>
        <w:t>include</w:t>
      </w:r>
      <w:r w:rsidR="0035364A">
        <w:rPr>
          <w:rFonts w:ascii="Open Sans" w:hAnsi="Open Sans" w:cs="Open Sans"/>
          <w:sz w:val="20"/>
          <w:szCs w:val="20"/>
          <w:lang w:val="en-GB"/>
        </w:rPr>
        <w:t xml:space="preserve"> restoration activities, does it </w:t>
      </w:r>
      <w:r w:rsidR="00DD07EE">
        <w:rPr>
          <w:rFonts w:ascii="Open Sans" w:hAnsi="Open Sans" w:cs="Open Sans"/>
          <w:sz w:val="20"/>
          <w:szCs w:val="20"/>
          <w:lang w:val="en-GB"/>
        </w:rPr>
        <w:t>entail</w:t>
      </w:r>
      <w:r w:rsidR="0035364A">
        <w:rPr>
          <w:rFonts w:ascii="Open Sans" w:hAnsi="Open Sans" w:cs="Open Sans"/>
          <w:sz w:val="20"/>
          <w:szCs w:val="20"/>
          <w:lang w:val="en-GB"/>
        </w:rPr>
        <w:t xml:space="preserve"> other ecosystems such as woodlands and/or peatlands in addition to forest, </w:t>
      </w:r>
      <w:r w:rsidR="000338F3">
        <w:rPr>
          <w:rFonts w:ascii="Open Sans" w:hAnsi="Open Sans" w:cs="Open Sans"/>
          <w:sz w:val="20"/>
          <w:szCs w:val="20"/>
          <w:lang w:val="en-GB"/>
        </w:rPr>
        <w:t xml:space="preserve">the </w:t>
      </w:r>
      <w:r w:rsidR="00F753A8">
        <w:rPr>
          <w:rFonts w:ascii="Open Sans" w:hAnsi="Open Sans" w:cs="Open Sans"/>
          <w:sz w:val="20"/>
          <w:szCs w:val="20"/>
          <w:lang w:val="en-GB"/>
        </w:rPr>
        <w:t>deals</w:t>
      </w:r>
      <w:r w:rsidR="00A37E02">
        <w:rPr>
          <w:rFonts w:ascii="Open Sans" w:hAnsi="Open Sans" w:cs="Open Sans"/>
          <w:sz w:val="20"/>
          <w:szCs w:val="20"/>
          <w:lang w:val="en-GB"/>
        </w:rPr>
        <w:t xml:space="preserve"> social impacts and similar. </w:t>
      </w:r>
      <w:r w:rsidR="00D2695B">
        <w:rPr>
          <w:rFonts w:ascii="Open Sans" w:hAnsi="Open Sans" w:cs="Open Sans"/>
          <w:sz w:val="20"/>
          <w:szCs w:val="20"/>
          <w:lang w:val="en-GB"/>
        </w:rPr>
        <w:t>Delete the lines with non-applicable datapoints</w:t>
      </w:r>
      <w:r w:rsidR="00A078F0">
        <w:rPr>
          <w:rFonts w:ascii="Open Sans" w:hAnsi="Open Sans" w:cs="Open Sans"/>
          <w:sz w:val="20"/>
          <w:szCs w:val="20"/>
          <w:lang w:val="en-GB"/>
        </w:rPr>
        <w:t>.</w:t>
      </w:r>
    </w:p>
    <w:p w14:paraId="6CEC6AEB" w14:textId="34AFBCA9" w:rsidR="00676285" w:rsidRDefault="00676285" w:rsidP="008D39A2">
      <w:pPr>
        <w:pStyle w:val="ListParagraph"/>
        <w:numPr>
          <w:ilvl w:val="0"/>
          <w:numId w:val="16"/>
        </w:numPr>
        <w:spacing w:before="120" w:after="120" w:line="240" w:lineRule="auto"/>
        <w:contextualSpacing w:val="0"/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In case there are transaction-specific data points, </w:t>
      </w:r>
      <w:r w:rsidR="004E0D01">
        <w:rPr>
          <w:rFonts w:ascii="Open Sans" w:hAnsi="Open Sans" w:cs="Open Sans"/>
          <w:sz w:val="20"/>
          <w:szCs w:val="20"/>
          <w:lang w:val="en-GB"/>
        </w:rPr>
        <w:t>add the</w:t>
      </w:r>
      <w:r w:rsidR="00C23CF9">
        <w:rPr>
          <w:rFonts w:ascii="Open Sans" w:hAnsi="Open Sans" w:cs="Open Sans"/>
          <w:sz w:val="20"/>
          <w:szCs w:val="20"/>
          <w:lang w:val="en-GB"/>
        </w:rPr>
        <w:t>se to the list</w:t>
      </w:r>
      <w:r w:rsidR="004E0D01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4258FC">
        <w:rPr>
          <w:rFonts w:ascii="Open Sans" w:hAnsi="Open Sans" w:cs="Open Sans"/>
          <w:sz w:val="20"/>
          <w:szCs w:val="20"/>
          <w:lang w:val="en-GB"/>
        </w:rPr>
        <w:t xml:space="preserve">and fill “transaction” in the ID column (“AG ID”). </w:t>
      </w:r>
      <w:r w:rsidR="00B230AA">
        <w:rPr>
          <w:rFonts w:ascii="Open Sans" w:hAnsi="Open Sans" w:cs="Open Sans"/>
          <w:sz w:val="20"/>
          <w:szCs w:val="20"/>
          <w:lang w:val="en-GB"/>
        </w:rPr>
        <w:t xml:space="preserve">Define the </w:t>
      </w:r>
      <w:r w:rsidR="00B42E43">
        <w:rPr>
          <w:rFonts w:ascii="Open Sans" w:hAnsi="Open Sans" w:cs="Open Sans"/>
          <w:sz w:val="20"/>
          <w:szCs w:val="20"/>
          <w:lang w:val="en-GB"/>
        </w:rPr>
        <w:t>data points</w:t>
      </w:r>
      <w:r w:rsidR="00B230AA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5F10DD">
        <w:rPr>
          <w:rFonts w:ascii="Open Sans" w:hAnsi="Open Sans" w:cs="Open Sans"/>
          <w:sz w:val="20"/>
          <w:szCs w:val="20"/>
          <w:lang w:val="en-GB"/>
        </w:rPr>
        <w:t>name</w:t>
      </w:r>
      <w:r w:rsidR="00B42E43">
        <w:rPr>
          <w:rFonts w:ascii="Open Sans" w:hAnsi="Open Sans" w:cs="Open Sans"/>
          <w:sz w:val="20"/>
          <w:szCs w:val="20"/>
          <w:lang w:val="en-GB"/>
        </w:rPr>
        <w:t>s</w:t>
      </w:r>
      <w:r w:rsidR="008E593A">
        <w:rPr>
          <w:rFonts w:ascii="Open Sans" w:hAnsi="Open Sans" w:cs="Open Sans"/>
          <w:sz w:val="20"/>
          <w:szCs w:val="20"/>
          <w:lang w:val="en-GB"/>
        </w:rPr>
        <w:t xml:space="preserve"> and unit</w:t>
      </w:r>
      <w:r w:rsidR="00B42E43">
        <w:rPr>
          <w:rFonts w:ascii="Open Sans" w:hAnsi="Open Sans" w:cs="Open Sans"/>
          <w:sz w:val="20"/>
          <w:szCs w:val="20"/>
          <w:lang w:val="en-GB"/>
        </w:rPr>
        <w:t>s</w:t>
      </w:r>
      <w:r w:rsidR="008E593A">
        <w:rPr>
          <w:rFonts w:ascii="Open Sans" w:hAnsi="Open Sans" w:cs="Open Sans"/>
          <w:sz w:val="20"/>
          <w:szCs w:val="20"/>
          <w:lang w:val="en-GB"/>
        </w:rPr>
        <w:t xml:space="preserve"> , as well as </w:t>
      </w:r>
      <w:r w:rsidR="00B42E43">
        <w:rPr>
          <w:rFonts w:ascii="Open Sans" w:hAnsi="Open Sans" w:cs="Open Sans"/>
          <w:sz w:val="20"/>
          <w:szCs w:val="20"/>
          <w:lang w:val="en-GB"/>
        </w:rPr>
        <w:t>the</w:t>
      </w:r>
      <w:r w:rsidR="008E593A">
        <w:rPr>
          <w:rFonts w:ascii="Open Sans" w:hAnsi="Open Sans" w:cs="Open Sans"/>
          <w:sz w:val="20"/>
          <w:szCs w:val="20"/>
          <w:lang w:val="en-GB"/>
        </w:rPr>
        <w:t xml:space="preserve"> means of verification for each specific data point. Ensure that these are aligned with the targets set in the LPP.</w:t>
      </w:r>
    </w:p>
    <w:p w14:paraId="1CD535A3" w14:textId="2904625C" w:rsidR="008D39A2" w:rsidRPr="008D39A2" w:rsidRDefault="00A078F0" w:rsidP="008D39A2">
      <w:pPr>
        <w:pStyle w:val="ListParagraph"/>
        <w:numPr>
          <w:ilvl w:val="0"/>
          <w:numId w:val="16"/>
        </w:numPr>
        <w:spacing w:before="120" w:after="120" w:line="240" w:lineRule="auto"/>
        <w:contextualSpacing w:val="0"/>
        <w:rPr>
          <w:rFonts w:ascii="Open Sans" w:hAnsi="Open Sans" w:cs="Open Sans"/>
          <w:sz w:val="20"/>
          <w:szCs w:val="20"/>
          <w:lang w:val="en-GB"/>
        </w:rPr>
      </w:pPr>
      <w:r w:rsidRPr="008D39A2">
        <w:rPr>
          <w:rFonts w:ascii="Open Sans" w:hAnsi="Open Sans" w:cs="Open Sans"/>
          <w:sz w:val="20"/>
          <w:szCs w:val="20"/>
          <w:lang w:val="en-GB"/>
        </w:rPr>
        <w:t xml:space="preserve">Customize the </w:t>
      </w:r>
      <w:r w:rsidR="00680FD3">
        <w:rPr>
          <w:rFonts w:ascii="Open Sans" w:hAnsi="Open Sans" w:cs="Open Sans"/>
          <w:sz w:val="20"/>
          <w:szCs w:val="20"/>
          <w:lang w:val="en-GB"/>
        </w:rPr>
        <w:t>“name”</w:t>
      </w:r>
      <w:r w:rsidRPr="008D39A2">
        <w:rPr>
          <w:rFonts w:ascii="Open Sans" w:hAnsi="Open Sans" w:cs="Open Sans"/>
          <w:sz w:val="20"/>
          <w:szCs w:val="20"/>
          <w:lang w:val="en-GB"/>
        </w:rPr>
        <w:t xml:space="preserve"> column</w:t>
      </w:r>
      <w:r w:rsidR="00FF077A" w:rsidRPr="008D39A2">
        <w:rPr>
          <w:rFonts w:ascii="Open Sans" w:hAnsi="Open Sans" w:cs="Open Sans"/>
          <w:sz w:val="20"/>
          <w:szCs w:val="20"/>
          <w:lang w:val="en-GB"/>
        </w:rPr>
        <w:t>, specifying the scope of the datapoints in terms of locations, program names or similar when applicable</w:t>
      </w:r>
      <w:r w:rsidR="000A2B25" w:rsidRPr="008D39A2">
        <w:rPr>
          <w:rFonts w:ascii="Open Sans" w:hAnsi="Open Sans" w:cs="Open Sans"/>
          <w:sz w:val="20"/>
          <w:szCs w:val="20"/>
          <w:lang w:val="en-GB"/>
        </w:rPr>
        <w:t xml:space="preserve">. This will </w:t>
      </w:r>
      <w:r w:rsidR="00A32DF7" w:rsidRPr="008D39A2">
        <w:rPr>
          <w:rFonts w:ascii="Open Sans" w:hAnsi="Open Sans" w:cs="Open Sans"/>
          <w:sz w:val="20"/>
          <w:szCs w:val="20"/>
          <w:lang w:val="en-GB"/>
        </w:rPr>
        <w:t>en</w:t>
      </w:r>
      <w:r w:rsidR="000A2B25" w:rsidRPr="008D39A2">
        <w:rPr>
          <w:rFonts w:ascii="Open Sans" w:hAnsi="Open Sans" w:cs="Open Sans"/>
          <w:sz w:val="20"/>
          <w:szCs w:val="20"/>
          <w:lang w:val="en-GB"/>
        </w:rPr>
        <w:t xml:space="preserve">sure the </w:t>
      </w:r>
      <w:r w:rsidR="00BB4FF0">
        <w:rPr>
          <w:rFonts w:ascii="Open Sans" w:hAnsi="Open Sans" w:cs="Open Sans"/>
          <w:sz w:val="20"/>
          <w:szCs w:val="20"/>
          <w:lang w:val="en-GB"/>
        </w:rPr>
        <w:t>consistency in</w:t>
      </w:r>
      <w:r w:rsidR="000A2B25" w:rsidRPr="008D39A2">
        <w:rPr>
          <w:rFonts w:ascii="Open Sans" w:hAnsi="Open Sans" w:cs="Open Sans"/>
          <w:sz w:val="20"/>
          <w:szCs w:val="20"/>
          <w:lang w:val="en-GB"/>
        </w:rPr>
        <w:t xml:space="preserve"> scope during the monitoring period.</w:t>
      </w:r>
      <w:r w:rsidR="00A32DF7" w:rsidRPr="008D39A2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8D39A2" w:rsidRPr="008D39A2">
        <w:rPr>
          <w:rFonts w:ascii="Open Sans" w:hAnsi="Open Sans" w:cs="Open Sans"/>
          <w:sz w:val="20"/>
          <w:szCs w:val="20"/>
          <w:lang w:val="en-GB"/>
        </w:rPr>
        <w:t xml:space="preserve">The scope of each </w:t>
      </w:r>
      <w:r w:rsidR="008D39A2" w:rsidRPr="008D39A2">
        <w:rPr>
          <w:rFonts w:ascii="Open Sans" w:hAnsi="Open Sans" w:cs="Open Sans"/>
          <w:b/>
          <w:bCs/>
          <w:sz w:val="20"/>
          <w:szCs w:val="20"/>
          <w:lang w:val="en-GB"/>
        </w:rPr>
        <w:t xml:space="preserve">social indicator related to the beneficiaries </w:t>
      </w:r>
      <w:r w:rsidR="008D39A2">
        <w:rPr>
          <w:rFonts w:ascii="Open Sans" w:hAnsi="Open Sans" w:cs="Open Sans"/>
          <w:sz w:val="20"/>
          <w:szCs w:val="20"/>
          <w:lang w:val="en-GB"/>
        </w:rPr>
        <w:t>must</w:t>
      </w:r>
      <w:r w:rsidR="008D39A2" w:rsidRPr="008D39A2">
        <w:rPr>
          <w:rFonts w:ascii="Open Sans" w:hAnsi="Open Sans" w:cs="Open Sans"/>
          <w:sz w:val="20"/>
          <w:szCs w:val="20"/>
          <w:lang w:val="en-GB"/>
        </w:rPr>
        <w:t xml:space="preserve"> be clearly defined in the MRV</w:t>
      </w:r>
      <w:r w:rsidR="00BB4FF0">
        <w:rPr>
          <w:rFonts w:ascii="Open Sans" w:hAnsi="Open Sans" w:cs="Open Sans"/>
          <w:sz w:val="20"/>
          <w:szCs w:val="20"/>
          <w:lang w:val="en-GB"/>
        </w:rPr>
        <w:t xml:space="preserve"> datapoint</w:t>
      </w:r>
      <w:r w:rsidR="008D39A2" w:rsidRPr="008D39A2">
        <w:rPr>
          <w:rFonts w:ascii="Open Sans" w:hAnsi="Open Sans" w:cs="Open Sans"/>
          <w:sz w:val="20"/>
          <w:szCs w:val="20"/>
          <w:lang w:val="en-GB"/>
        </w:rPr>
        <w:t xml:space="preserve"> template and linked to the relevant assessment findings. </w:t>
      </w:r>
      <w:r w:rsidR="004444AC">
        <w:rPr>
          <w:rFonts w:ascii="Open Sans" w:hAnsi="Open Sans" w:cs="Open Sans"/>
          <w:sz w:val="20"/>
          <w:szCs w:val="20"/>
          <w:lang w:val="en-GB"/>
        </w:rPr>
        <w:t xml:space="preserve">The </w:t>
      </w:r>
      <w:r w:rsidR="00BB4FF0">
        <w:rPr>
          <w:rFonts w:ascii="Open Sans" w:hAnsi="Open Sans" w:cs="Open Sans"/>
          <w:sz w:val="20"/>
          <w:szCs w:val="20"/>
          <w:lang w:val="en-GB"/>
        </w:rPr>
        <w:t xml:space="preserve">numbers in </w:t>
      </w:r>
      <w:r w:rsidR="0060197C">
        <w:rPr>
          <w:rFonts w:ascii="Open Sans" w:hAnsi="Open Sans" w:cs="Open Sans"/>
          <w:sz w:val="20"/>
          <w:szCs w:val="20"/>
          <w:lang w:val="en-GB"/>
        </w:rPr>
        <w:t xml:space="preserve">blue brackets </w:t>
      </w:r>
      <w:r w:rsidR="00BB4FF0">
        <w:rPr>
          <w:rFonts w:ascii="Open Sans" w:hAnsi="Open Sans" w:cs="Open Sans"/>
          <w:sz w:val="20"/>
          <w:szCs w:val="20"/>
          <w:lang w:val="en-GB"/>
        </w:rPr>
        <w:t xml:space="preserve">refer </w:t>
      </w:r>
      <w:r w:rsidR="0060197C">
        <w:rPr>
          <w:rFonts w:ascii="Open Sans" w:hAnsi="Open Sans" w:cs="Open Sans"/>
          <w:sz w:val="20"/>
          <w:szCs w:val="20"/>
          <w:lang w:val="en-GB"/>
        </w:rPr>
        <w:t xml:space="preserve">to the </w:t>
      </w:r>
      <w:r w:rsidR="00BB4FF0">
        <w:rPr>
          <w:rFonts w:ascii="Open Sans" w:hAnsi="Open Sans" w:cs="Open Sans"/>
          <w:sz w:val="20"/>
          <w:szCs w:val="20"/>
          <w:lang w:val="en-GB"/>
        </w:rPr>
        <w:t xml:space="preserve">numbered </w:t>
      </w:r>
      <w:r w:rsidR="0060197C">
        <w:rPr>
          <w:rFonts w:ascii="Open Sans" w:hAnsi="Open Sans" w:cs="Open Sans"/>
          <w:sz w:val="20"/>
          <w:szCs w:val="20"/>
          <w:lang w:val="en-GB"/>
        </w:rPr>
        <w:t>definitions that can be found in the respective tab.</w:t>
      </w:r>
    </w:p>
    <w:p w14:paraId="0C497B48" w14:textId="283E3D43" w:rsidR="00357520" w:rsidRPr="00272663" w:rsidRDefault="00BB4FF0">
      <w:pPr>
        <w:pStyle w:val="ListParagraph"/>
        <w:numPr>
          <w:ilvl w:val="0"/>
          <w:numId w:val="16"/>
        </w:numPr>
        <w:spacing w:before="120" w:after="120" w:line="240" w:lineRule="auto"/>
        <w:contextualSpacing w:val="0"/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Fill out </w:t>
      </w:r>
      <w:r w:rsidR="000815B3">
        <w:rPr>
          <w:rFonts w:ascii="Open Sans" w:hAnsi="Open Sans" w:cs="Open Sans"/>
          <w:sz w:val="20"/>
          <w:szCs w:val="20"/>
          <w:lang w:val="en-GB"/>
        </w:rPr>
        <w:t>the column “Monitored”</w:t>
      </w:r>
      <w:r>
        <w:rPr>
          <w:rFonts w:ascii="Open Sans" w:hAnsi="Open Sans" w:cs="Open Sans"/>
          <w:sz w:val="20"/>
          <w:szCs w:val="20"/>
          <w:lang w:val="en-GB"/>
        </w:rPr>
        <w:t>,</w:t>
      </w:r>
      <w:r w:rsidR="000815B3">
        <w:rPr>
          <w:rFonts w:ascii="Open Sans" w:hAnsi="Open Sans" w:cs="Open Sans"/>
          <w:sz w:val="20"/>
          <w:szCs w:val="20"/>
          <w:lang w:val="en-GB"/>
        </w:rPr>
        <w:t xml:space="preserve"> providing </w:t>
      </w:r>
      <w:r w:rsidR="002A49DF">
        <w:rPr>
          <w:rFonts w:ascii="Open Sans" w:hAnsi="Open Sans" w:cs="Open Sans"/>
          <w:sz w:val="20"/>
          <w:szCs w:val="20"/>
          <w:lang w:val="en-GB"/>
        </w:rPr>
        <w:t xml:space="preserve">the sources of information within the Client’s management system. E.g. </w:t>
      </w:r>
      <w:r w:rsidR="00F72859">
        <w:rPr>
          <w:rFonts w:ascii="Open Sans" w:hAnsi="Open Sans" w:cs="Open Sans"/>
          <w:sz w:val="20"/>
          <w:szCs w:val="20"/>
          <w:lang w:val="en-GB"/>
        </w:rPr>
        <w:t xml:space="preserve">where the template states “internal management system”, provide the name of the system, or file, or </w:t>
      </w:r>
      <w:r w:rsidR="00026D2B">
        <w:rPr>
          <w:rFonts w:ascii="Open Sans" w:hAnsi="Open Sans" w:cs="Open Sans"/>
          <w:sz w:val="20"/>
          <w:szCs w:val="20"/>
          <w:lang w:val="en-GB"/>
        </w:rPr>
        <w:t>other source used for sourcing the information.</w:t>
      </w:r>
    </w:p>
    <w:p w14:paraId="597B584B" w14:textId="77777777" w:rsidR="00C22A45" w:rsidRPr="00272663" w:rsidRDefault="00C22A45" w:rsidP="00C22A45">
      <w:pPr>
        <w:pStyle w:val="ListParagraph"/>
        <w:spacing w:before="120" w:after="120" w:line="240" w:lineRule="auto"/>
        <w:contextualSpacing w:val="0"/>
        <w:rPr>
          <w:rFonts w:ascii="Open Sans" w:hAnsi="Open Sans" w:cs="Open Sans"/>
          <w:sz w:val="20"/>
          <w:szCs w:val="20"/>
          <w:lang w:val="en-GB"/>
        </w:rPr>
      </w:pPr>
    </w:p>
    <w:p w14:paraId="233E8CF1" w14:textId="281394CD" w:rsidR="00DD27A2" w:rsidRDefault="00C25E40">
      <w:pPr>
        <w:pStyle w:val="SailSubHeading1"/>
      </w:pPr>
      <w:r>
        <w:t>Receiving the data</w:t>
      </w:r>
      <w:r w:rsidR="00461D7D">
        <w:t xml:space="preserve"> from Client </w:t>
      </w:r>
    </w:p>
    <w:p w14:paraId="7420EC85" w14:textId="66C8C3FD" w:rsidR="00E63605" w:rsidRDefault="00461D7D" w:rsidP="00461D7D">
      <w:pPr>
        <w:rPr>
          <w:rFonts w:ascii="Open Sans" w:hAnsi="Open Sans" w:cs="Open Sans"/>
          <w:sz w:val="20"/>
          <w:szCs w:val="20"/>
          <w:lang w:val="en-GB"/>
        </w:rPr>
      </w:pPr>
      <w:r w:rsidRPr="002633C9">
        <w:rPr>
          <w:rFonts w:ascii="Open Sans" w:hAnsi="Open Sans" w:cs="Open Sans"/>
          <w:sz w:val="20"/>
          <w:szCs w:val="20"/>
          <w:lang w:val="en-GB"/>
        </w:rPr>
        <w:t>Once</w:t>
      </w:r>
      <w:r w:rsidR="00CA10F0">
        <w:rPr>
          <w:rFonts w:ascii="Open Sans" w:hAnsi="Open Sans" w:cs="Open Sans"/>
          <w:sz w:val="20"/>
          <w:szCs w:val="20"/>
          <w:lang w:val="en-GB"/>
        </w:rPr>
        <w:t xml:space="preserve"> it</w:t>
      </w:r>
      <w:r w:rsidRPr="002633C9">
        <w:rPr>
          <w:rFonts w:ascii="Open Sans" w:hAnsi="Open Sans" w:cs="Open Sans"/>
          <w:sz w:val="20"/>
          <w:szCs w:val="20"/>
          <w:lang w:val="en-GB"/>
        </w:rPr>
        <w:t xml:space="preserve"> received the </w:t>
      </w:r>
      <w:r w:rsidR="00CA10F0">
        <w:rPr>
          <w:rFonts w:ascii="Open Sans" w:hAnsi="Open Sans" w:cs="Open Sans"/>
          <w:sz w:val="20"/>
          <w:szCs w:val="20"/>
          <w:lang w:val="en-GB"/>
        </w:rPr>
        <w:t xml:space="preserve">MRV datapoint lists, reviewed </w:t>
      </w:r>
      <w:r w:rsidR="0077207E">
        <w:rPr>
          <w:rFonts w:ascii="Open Sans" w:hAnsi="Open Sans" w:cs="Open Sans"/>
          <w:sz w:val="20"/>
          <w:szCs w:val="20"/>
          <w:lang w:val="en-GB"/>
        </w:rPr>
        <w:t xml:space="preserve">by external experts in </w:t>
      </w:r>
      <w:r w:rsidR="00CA10F0">
        <w:rPr>
          <w:rFonts w:ascii="Open Sans" w:hAnsi="Open Sans" w:cs="Open Sans"/>
          <w:sz w:val="20"/>
          <w:szCs w:val="20"/>
          <w:lang w:val="en-GB"/>
        </w:rPr>
        <w:t>in the E&amp;S Review,</w:t>
      </w:r>
      <w:r w:rsidRPr="002633C9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FE145A" w:rsidRPr="002633C9">
        <w:rPr>
          <w:rFonts w:ascii="Open Sans" w:hAnsi="Open Sans" w:cs="Open Sans"/>
          <w:sz w:val="20"/>
          <w:szCs w:val="20"/>
          <w:lang w:val="en-GB"/>
        </w:rPr>
        <w:t>the</w:t>
      </w:r>
      <w:r w:rsidR="007E75AA" w:rsidRPr="002633C9">
        <w:rPr>
          <w:rFonts w:ascii="Open Sans" w:hAnsi="Open Sans" w:cs="Open Sans"/>
          <w:sz w:val="20"/>
          <w:szCs w:val="20"/>
          <w:lang w:val="en-GB"/>
        </w:rPr>
        <w:t xml:space="preserve"> Portfolio Monitoring Team (PMT) </w:t>
      </w:r>
      <w:r w:rsidR="00FE145A" w:rsidRPr="002633C9">
        <w:rPr>
          <w:rFonts w:ascii="Open Sans" w:hAnsi="Open Sans" w:cs="Open Sans"/>
          <w:sz w:val="20"/>
          <w:szCs w:val="20"/>
          <w:lang w:val="en-GB"/>
        </w:rPr>
        <w:t xml:space="preserve">will run the quality check against </w:t>
      </w:r>
      <w:r w:rsidR="00713BDD" w:rsidRPr="002633C9">
        <w:rPr>
          <w:rFonts w:ascii="Open Sans" w:hAnsi="Open Sans" w:cs="Open Sans"/>
          <w:sz w:val="20"/>
          <w:szCs w:val="20"/>
          <w:lang w:val="en-GB"/>
        </w:rPr>
        <w:t xml:space="preserve">the Quality Control (QC) </w:t>
      </w:r>
      <w:r w:rsidR="00FE145A" w:rsidRPr="002633C9">
        <w:rPr>
          <w:rFonts w:ascii="Open Sans" w:hAnsi="Open Sans" w:cs="Open Sans"/>
          <w:sz w:val="20"/>
          <w:szCs w:val="20"/>
          <w:lang w:val="en-GB"/>
        </w:rPr>
        <w:t>Protocol</w:t>
      </w:r>
      <w:r w:rsidR="00626FB3" w:rsidRPr="002633C9">
        <w:rPr>
          <w:rFonts w:ascii="Open Sans" w:hAnsi="Open Sans" w:cs="Open Sans"/>
          <w:sz w:val="20"/>
          <w:szCs w:val="20"/>
          <w:lang w:val="en-GB"/>
        </w:rPr>
        <w:t xml:space="preserve">. </w:t>
      </w:r>
      <w:r w:rsidR="00713BDD" w:rsidRPr="002633C9">
        <w:rPr>
          <w:rFonts w:ascii="Open Sans" w:hAnsi="Open Sans" w:cs="Open Sans"/>
          <w:sz w:val="20"/>
          <w:szCs w:val="20"/>
          <w:lang w:val="en-GB"/>
        </w:rPr>
        <w:t xml:space="preserve">Afterwards, the </w:t>
      </w:r>
      <w:r w:rsidR="00EC3B4B" w:rsidRPr="002633C9">
        <w:rPr>
          <w:rFonts w:ascii="Open Sans" w:hAnsi="Open Sans" w:cs="Open Sans"/>
          <w:sz w:val="20"/>
          <w:szCs w:val="20"/>
          <w:lang w:val="en-GB"/>
        </w:rPr>
        <w:t>MR</w:t>
      </w:r>
      <w:r w:rsidR="00E63605" w:rsidRPr="002633C9">
        <w:rPr>
          <w:rFonts w:ascii="Open Sans" w:hAnsi="Open Sans" w:cs="Open Sans"/>
          <w:sz w:val="20"/>
          <w:szCs w:val="20"/>
          <w:lang w:val="en-GB"/>
        </w:rPr>
        <w:t xml:space="preserve">V </w:t>
      </w:r>
      <w:r w:rsidR="00E258BC">
        <w:rPr>
          <w:rFonts w:ascii="Open Sans" w:hAnsi="Open Sans" w:cs="Open Sans"/>
          <w:sz w:val="20"/>
          <w:szCs w:val="20"/>
          <w:lang w:val="en-GB"/>
        </w:rPr>
        <w:t>datapoints list</w:t>
      </w:r>
      <w:r w:rsidR="00E63605" w:rsidRPr="002633C9">
        <w:rPr>
          <w:rFonts w:ascii="Open Sans" w:hAnsi="Open Sans" w:cs="Open Sans"/>
          <w:sz w:val="20"/>
          <w:szCs w:val="20"/>
          <w:lang w:val="en-GB"/>
        </w:rPr>
        <w:t xml:space="preserve"> of each </w:t>
      </w:r>
      <w:r w:rsidR="00E258BC">
        <w:rPr>
          <w:rFonts w:ascii="Open Sans" w:hAnsi="Open Sans" w:cs="Open Sans"/>
          <w:sz w:val="20"/>
          <w:szCs w:val="20"/>
          <w:lang w:val="en-GB"/>
        </w:rPr>
        <w:t>client</w:t>
      </w:r>
      <w:r w:rsidR="00E258BC" w:rsidRPr="002633C9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7E75AA" w:rsidRPr="002633C9">
        <w:rPr>
          <w:rFonts w:ascii="Open Sans" w:hAnsi="Open Sans" w:cs="Open Sans"/>
          <w:sz w:val="20"/>
          <w:szCs w:val="20"/>
          <w:lang w:val="en-GB"/>
        </w:rPr>
        <w:t xml:space="preserve">will be </w:t>
      </w:r>
      <w:r w:rsidR="00E258BC">
        <w:rPr>
          <w:rFonts w:ascii="Open Sans" w:hAnsi="Open Sans" w:cs="Open Sans"/>
          <w:sz w:val="20"/>
          <w:szCs w:val="20"/>
          <w:lang w:val="en-GB"/>
        </w:rPr>
        <w:t>copied</w:t>
      </w:r>
      <w:r w:rsidR="00E258BC" w:rsidRPr="002633C9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713BDD" w:rsidRPr="002633C9">
        <w:rPr>
          <w:rFonts w:ascii="Open Sans" w:hAnsi="Open Sans" w:cs="Open Sans"/>
          <w:sz w:val="20"/>
          <w:szCs w:val="20"/>
          <w:lang w:val="en-GB"/>
        </w:rPr>
        <w:t>into the MRV database</w:t>
      </w:r>
      <w:r w:rsidR="00083FD6" w:rsidRPr="002633C9">
        <w:rPr>
          <w:rFonts w:ascii="Open Sans" w:hAnsi="Open Sans" w:cs="Open Sans"/>
          <w:sz w:val="20"/>
          <w:szCs w:val="20"/>
          <w:lang w:val="en-GB"/>
        </w:rPr>
        <w:t xml:space="preserve"> to proceed with data </w:t>
      </w:r>
      <w:r w:rsidR="00E258BC">
        <w:rPr>
          <w:rFonts w:ascii="Open Sans" w:hAnsi="Open Sans" w:cs="Open Sans"/>
          <w:sz w:val="20"/>
          <w:szCs w:val="20"/>
          <w:lang w:val="en-GB"/>
        </w:rPr>
        <w:t>processing</w:t>
      </w:r>
      <w:r w:rsidR="00083FD6" w:rsidRPr="002633C9">
        <w:rPr>
          <w:rFonts w:ascii="Open Sans" w:hAnsi="Open Sans" w:cs="Open Sans"/>
          <w:sz w:val="20"/>
          <w:szCs w:val="20"/>
          <w:lang w:val="en-GB"/>
        </w:rPr>
        <w:t>.</w:t>
      </w:r>
    </w:p>
    <w:p w14:paraId="37A0D06D" w14:textId="77777777" w:rsidR="00C22A45" w:rsidRDefault="00C22A45" w:rsidP="00461D7D">
      <w:pPr>
        <w:rPr>
          <w:rFonts w:ascii="Open Sans" w:hAnsi="Open Sans" w:cs="Open Sans"/>
          <w:sz w:val="20"/>
          <w:szCs w:val="20"/>
          <w:lang w:val="en-GB"/>
        </w:rPr>
      </w:pPr>
    </w:p>
    <w:p w14:paraId="5D23C449" w14:textId="77777777" w:rsidR="00C22A45" w:rsidRDefault="00C22A45" w:rsidP="00461D7D">
      <w:pPr>
        <w:rPr>
          <w:rFonts w:ascii="Open Sans" w:hAnsi="Open Sans" w:cs="Open Sans"/>
          <w:sz w:val="20"/>
          <w:szCs w:val="20"/>
          <w:lang w:val="en-GB"/>
        </w:rPr>
      </w:pPr>
    </w:p>
    <w:p w14:paraId="7CDD1277" w14:textId="77777777" w:rsidR="00C22A45" w:rsidRDefault="00C22A45" w:rsidP="00461D7D">
      <w:pPr>
        <w:rPr>
          <w:lang w:val="en-IE"/>
        </w:rPr>
      </w:pPr>
    </w:p>
    <w:p w14:paraId="57E8DD6D" w14:textId="77777777" w:rsidR="003113CB" w:rsidRDefault="003113CB">
      <w:pPr>
        <w:pStyle w:val="SailSubHeading1"/>
      </w:pPr>
      <w:r>
        <w:lastRenderedPageBreak/>
        <w:t xml:space="preserve">Aggregating the data </w:t>
      </w:r>
    </w:p>
    <w:p w14:paraId="174F1E3F" w14:textId="72911677" w:rsidR="00E63605" w:rsidRDefault="00EF401B" w:rsidP="00EF401B">
      <w:pPr>
        <w:pStyle w:val="Body"/>
      </w:pPr>
      <w:r w:rsidRPr="00EF401B">
        <w:t xml:space="preserve">Once </w:t>
      </w:r>
      <w:r>
        <w:t xml:space="preserve">all the </w:t>
      </w:r>
      <w:r w:rsidR="00E258BC">
        <w:t xml:space="preserve">clients’ </w:t>
      </w:r>
      <w:r>
        <w:t xml:space="preserve">data for the reporting period </w:t>
      </w:r>
      <w:r w:rsidR="00E258BC">
        <w:t xml:space="preserve">have been copied </w:t>
      </w:r>
      <w:r>
        <w:t xml:space="preserve">into the MRV database, </w:t>
      </w:r>
      <w:r w:rsidR="005E7FDB">
        <w:t xml:space="preserve">the OPIs and KPIs are ready </w:t>
      </w:r>
      <w:r w:rsidR="00E258BC">
        <w:t xml:space="preserve">to </w:t>
      </w:r>
      <w:r w:rsidR="005E7FDB">
        <w:t>be extracted. The aggregation and calculation of the output indicators is done automatically.</w:t>
      </w:r>
    </w:p>
    <w:p w14:paraId="2A360783" w14:textId="3702E118" w:rsidR="00805DBA" w:rsidRPr="00EF401B" w:rsidRDefault="00805DBA" w:rsidP="00EF401B">
      <w:pPr>
        <w:pStyle w:val="Body"/>
      </w:pPr>
      <w:r>
        <w:t xml:space="preserve">The figure below provides an overview </w:t>
      </w:r>
      <w:r w:rsidR="00033B03">
        <w:t xml:space="preserve">of the data aggregation process. </w:t>
      </w:r>
    </w:p>
    <w:p w14:paraId="0F8E6134" w14:textId="57305A4C" w:rsidR="001B6C7F" w:rsidRDefault="001B6C7F" w:rsidP="001B6C7F">
      <w:pPr>
        <w:pStyle w:val="Caption"/>
        <w:keepNext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EE2E51">
        <w:rPr>
          <w:noProof/>
        </w:rPr>
        <w:t>7</w:t>
      </w:r>
      <w:r>
        <w:fldChar w:fldCharType="end"/>
      </w:r>
      <w:r>
        <w:rPr>
          <w:lang w:val="en-GB"/>
        </w:rPr>
        <w:t>. Overview of the data aggregation process within MRV</w:t>
      </w:r>
    </w:p>
    <w:p w14:paraId="50A73BC6" w14:textId="1AE3E68A" w:rsidR="00EE5553" w:rsidRPr="00EF401B" w:rsidRDefault="00F72B58" w:rsidP="00EF401B">
      <w:pPr>
        <w:pStyle w:val="Body"/>
      </w:pPr>
      <w:r w:rsidRPr="00F72B58">
        <w:rPr>
          <w:noProof/>
        </w:rPr>
        <w:drawing>
          <wp:inline distT="0" distB="0" distL="0" distR="0" wp14:anchorId="340FFB39" wp14:editId="6FA11740">
            <wp:extent cx="5731510" cy="2352040"/>
            <wp:effectExtent l="0" t="0" r="2540" b="0"/>
            <wp:docPr id="7" name="Afbeelding 7" descr="Diagram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, text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5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0CFF9" w14:textId="77777777" w:rsidR="00EE5553" w:rsidRPr="00461D7D" w:rsidRDefault="00EE5553" w:rsidP="00461D7D">
      <w:pPr>
        <w:rPr>
          <w:lang w:val="en-IE"/>
        </w:rPr>
      </w:pPr>
    </w:p>
    <w:p w14:paraId="05079571" w14:textId="7BDF3C6B" w:rsidR="00DD27A2" w:rsidRPr="000D20DE" w:rsidRDefault="00DD27A2" w:rsidP="000D20DE">
      <w:pPr>
        <w:spacing w:before="120" w:after="120" w:line="240" w:lineRule="auto"/>
        <w:ind w:left="360"/>
        <w:rPr>
          <w:rFonts w:ascii="Open Sans" w:hAnsi="Open Sans" w:cs="Open Sans"/>
          <w:sz w:val="20"/>
          <w:szCs w:val="20"/>
          <w:lang w:val="en-GB"/>
        </w:rPr>
      </w:pPr>
    </w:p>
    <w:sectPr w:rsidR="00DD27A2" w:rsidRPr="000D20DE" w:rsidSect="00074B0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8F2C7" w14:textId="77777777" w:rsidR="00B345C2" w:rsidRDefault="00B345C2" w:rsidP="004A6CFF">
      <w:pPr>
        <w:spacing w:after="0" w:line="240" w:lineRule="auto"/>
      </w:pPr>
      <w:r>
        <w:separator/>
      </w:r>
    </w:p>
  </w:endnote>
  <w:endnote w:type="continuationSeparator" w:id="0">
    <w:p w14:paraId="4A76D19C" w14:textId="77777777" w:rsidR="00B345C2" w:rsidRDefault="00B345C2" w:rsidP="004A6CFF">
      <w:pPr>
        <w:spacing w:after="0" w:line="240" w:lineRule="auto"/>
      </w:pPr>
      <w:r>
        <w:continuationSeparator/>
      </w:r>
    </w:p>
  </w:endnote>
  <w:endnote w:type="continuationNotice" w:id="1">
    <w:p w14:paraId="772076E3" w14:textId="77777777" w:rsidR="00B345C2" w:rsidRDefault="00B345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Montserrat Medium">
    <w:altName w:val="Calibri"/>
    <w:panose1 w:val="00000600000000000000"/>
    <w:charset w:val="00"/>
    <w:family w:val="auto"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A4074" w14:textId="77777777" w:rsidR="00E072E7" w:rsidRDefault="00E072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39200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B31E43" w14:textId="5A7246FB" w:rsidR="00E072E7" w:rsidRDefault="00E072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8AA8B9" w14:textId="77777777" w:rsidR="00E072E7" w:rsidRDefault="00E072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21C3C" w14:textId="77777777" w:rsidR="00E072E7" w:rsidRDefault="00E072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C2373" w14:textId="77777777" w:rsidR="00B345C2" w:rsidRDefault="00B345C2" w:rsidP="004A6CFF">
      <w:pPr>
        <w:spacing w:after="0" w:line="240" w:lineRule="auto"/>
      </w:pPr>
      <w:r>
        <w:separator/>
      </w:r>
    </w:p>
  </w:footnote>
  <w:footnote w:type="continuationSeparator" w:id="0">
    <w:p w14:paraId="1D873EF0" w14:textId="77777777" w:rsidR="00B345C2" w:rsidRDefault="00B345C2" w:rsidP="004A6CFF">
      <w:pPr>
        <w:spacing w:after="0" w:line="240" w:lineRule="auto"/>
      </w:pPr>
      <w:r>
        <w:continuationSeparator/>
      </w:r>
    </w:p>
  </w:footnote>
  <w:footnote w:type="continuationNotice" w:id="1">
    <w:p w14:paraId="7F3C58F8" w14:textId="77777777" w:rsidR="00B345C2" w:rsidRDefault="00B345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F0FF" w14:textId="77777777" w:rsidR="00E072E7" w:rsidRDefault="00E072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28CBF" w14:textId="77777777" w:rsidR="00E072E7" w:rsidRDefault="00E072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6E78" w14:textId="77777777" w:rsidR="00E072E7" w:rsidRDefault="00E07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450F"/>
    <w:multiLevelType w:val="hybridMultilevel"/>
    <w:tmpl w:val="4076785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D74"/>
    <w:multiLevelType w:val="hybridMultilevel"/>
    <w:tmpl w:val="5DAC14F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1F24"/>
    <w:multiLevelType w:val="hybridMultilevel"/>
    <w:tmpl w:val="483E08EC"/>
    <w:lvl w:ilvl="0" w:tplc="6FD6D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B2F69"/>
    <w:multiLevelType w:val="hybridMultilevel"/>
    <w:tmpl w:val="FC4CAB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52AFA"/>
    <w:multiLevelType w:val="hybridMultilevel"/>
    <w:tmpl w:val="7A360D6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A023E"/>
    <w:multiLevelType w:val="hybridMultilevel"/>
    <w:tmpl w:val="45C27868"/>
    <w:lvl w:ilvl="0" w:tplc="941A52AA">
      <w:start w:val="1"/>
      <w:numFmt w:val="decimal"/>
      <w:pStyle w:val="SailSubHeading1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E220D"/>
    <w:multiLevelType w:val="hybridMultilevel"/>
    <w:tmpl w:val="AD8C4140"/>
    <w:lvl w:ilvl="0" w:tplc="770C80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F013AF6"/>
    <w:multiLevelType w:val="hybridMultilevel"/>
    <w:tmpl w:val="40183A88"/>
    <w:lvl w:ilvl="0" w:tplc="984E9434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56BFF"/>
    <w:multiLevelType w:val="hybridMultilevel"/>
    <w:tmpl w:val="53AC61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11778"/>
    <w:multiLevelType w:val="hybridMultilevel"/>
    <w:tmpl w:val="FF145BB8"/>
    <w:lvl w:ilvl="0" w:tplc="3FBC5E4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850B7"/>
    <w:multiLevelType w:val="hybridMultilevel"/>
    <w:tmpl w:val="EF4A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A7A16"/>
    <w:multiLevelType w:val="hybridMultilevel"/>
    <w:tmpl w:val="5D7E3D7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71A2C"/>
    <w:multiLevelType w:val="multilevel"/>
    <w:tmpl w:val="9A1A6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BDD4E9D"/>
    <w:multiLevelType w:val="hybridMultilevel"/>
    <w:tmpl w:val="F39A25E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21C0"/>
    <w:multiLevelType w:val="hybridMultilevel"/>
    <w:tmpl w:val="651C68E0"/>
    <w:lvl w:ilvl="0" w:tplc="3FBC5E4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2233B9"/>
    <w:multiLevelType w:val="hybridMultilevel"/>
    <w:tmpl w:val="EF4A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53094"/>
    <w:multiLevelType w:val="hybridMultilevel"/>
    <w:tmpl w:val="5DAC14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F41F5"/>
    <w:multiLevelType w:val="hybridMultilevel"/>
    <w:tmpl w:val="0FFE094A"/>
    <w:lvl w:ilvl="0" w:tplc="D910CA1C">
      <w:numFmt w:val="bullet"/>
      <w:pStyle w:val="Bulletprimary"/>
      <w:lvlText w:val="-"/>
      <w:lvlJc w:val="left"/>
      <w:pPr>
        <w:ind w:left="720" w:hanging="360"/>
      </w:pPr>
      <w:rPr>
        <w:rFonts w:ascii="Montserrat" w:hAnsi="Montserrat" w:cs="Times New Roman" w:hint="default"/>
        <w:b w:val="0"/>
        <w:i w:val="0"/>
        <w:color w:val="auto"/>
        <w:sz w:val="20"/>
      </w:rPr>
    </w:lvl>
    <w:lvl w:ilvl="1" w:tplc="634001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601415">
    <w:abstractNumId w:val="11"/>
  </w:num>
  <w:num w:numId="2" w16cid:durableId="1485971161">
    <w:abstractNumId w:val="14"/>
  </w:num>
  <w:num w:numId="3" w16cid:durableId="1896354035">
    <w:abstractNumId w:val="9"/>
  </w:num>
  <w:num w:numId="4" w16cid:durableId="1130786003">
    <w:abstractNumId w:val="6"/>
  </w:num>
  <w:num w:numId="5" w16cid:durableId="696540490">
    <w:abstractNumId w:val="8"/>
  </w:num>
  <w:num w:numId="6" w16cid:durableId="830876801">
    <w:abstractNumId w:val="13"/>
  </w:num>
  <w:num w:numId="7" w16cid:durableId="352342429">
    <w:abstractNumId w:val="7"/>
  </w:num>
  <w:num w:numId="8" w16cid:durableId="1584147160">
    <w:abstractNumId w:val="12"/>
  </w:num>
  <w:num w:numId="9" w16cid:durableId="516122288">
    <w:abstractNumId w:val="17"/>
  </w:num>
  <w:num w:numId="10" w16cid:durableId="1665157789">
    <w:abstractNumId w:val="0"/>
  </w:num>
  <w:num w:numId="11" w16cid:durableId="1699889917">
    <w:abstractNumId w:val="2"/>
  </w:num>
  <w:num w:numId="12" w16cid:durableId="1833448825">
    <w:abstractNumId w:val="1"/>
  </w:num>
  <w:num w:numId="13" w16cid:durableId="784495052">
    <w:abstractNumId w:val="3"/>
  </w:num>
  <w:num w:numId="14" w16cid:durableId="1095780813">
    <w:abstractNumId w:val="5"/>
  </w:num>
  <w:num w:numId="15" w16cid:durableId="1764835541">
    <w:abstractNumId w:val="16"/>
  </w:num>
  <w:num w:numId="16" w16cid:durableId="2020039176">
    <w:abstractNumId w:val="4"/>
  </w:num>
  <w:num w:numId="17" w16cid:durableId="55327072">
    <w:abstractNumId w:val="15"/>
  </w:num>
  <w:num w:numId="18" w16cid:durableId="9586122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CFF"/>
    <w:rsid w:val="00003779"/>
    <w:rsid w:val="000064C7"/>
    <w:rsid w:val="00006A2E"/>
    <w:rsid w:val="00007AE0"/>
    <w:rsid w:val="0001249A"/>
    <w:rsid w:val="00014BD7"/>
    <w:rsid w:val="00020C76"/>
    <w:rsid w:val="000215C7"/>
    <w:rsid w:val="00026D2B"/>
    <w:rsid w:val="0003022E"/>
    <w:rsid w:val="00032983"/>
    <w:rsid w:val="000338F3"/>
    <w:rsid w:val="00033B03"/>
    <w:rsid w:val="00034EEF"/>
    <w:rsid w:val="000370ED"/>
    <w:rsid w:val="000405AE"/>
    <w:rsid w:val="00043EDA"/>
    <w:rsid w:val="000448AF"/>
    <w:rsid w:val="00045CE5"/>
    <w:rsid w:val="00046A4F"/>
    <w:rsid w:val="000506E9"/>
    <w:rsid w:val="00052B41"/>
    <w:rsid w:val="00052E4F"/>
    <w:rsid w:val="00056067"/>
    <w:rsid w:val="00060743"/>
    <w:rsid w:val="00061FF9"/>
    <w:rsid w:val="00062A18"/>
    <w:rsid w:val="00067638"/>
    <w:rsid w:val="00074B0E"/>
    <w:rsid w:val="000815B3"/>
    <w:rsid w:val="00083FD6"/>
    <w:rsid w:val="0008502B"/>
    <w:rsid w:val="000A2208"/>
    <w:rsid w:val="000A2B25"/>
    <w:rsid w:val="000A2C9D"/>
    <w:rsid w:val="000A543E"/>
    <w:rsid w:val="000A7C1A"/>
    <w:rsid w:val="000B3F41"/>
    <w:rsid w:val="000B6658"/>
    <w:rsid w:val="000B7E03"/>
    <w:rsid w:val="000C42F3"/>
    <w:rsid w:val="000C7AEE"/>
    <w:rsid w:val="000D20DE"/>
    <w:rsid w:val="000D6B2B"/>
    <w:rsid w:val="000E10BE"/>
    <w:rsid w:val="000E1244"/>
    <w:rsid w:val="000E2B36"/>
    <w:rsid w:val="000E2E67"/>
    <w:rsid w:val="000E4849"/>
    <w:rsid w:val="000E6963"/>
    <w:rsid w:val="000F1814"/>
    <w:rsid w:val="000F33F5"/>
    <w:rsid w:val="000F4072"/>
    <w:rsid w:val="00101176"/>
    <w:rsid w:val="00103A43"/>
    <w:rsid w:val="00103BB8"/>
    <w:rsid w:val="00104914"/>
    <w:rsid w:val="00106664"/>
    <w:rsid w:val="00112686"/>
    <w:rsid w:val="0011460E"/>
    <w:rsid w:val="0012163D"/>
    <w:rsid w:val="00125B67"/>
    <w:rsid w:val="00131A48"/>
    <w:rsid w:val="00131FBB"/>
    <w:rsid w:val="00132284"/>
    <w:rsid w:val="001326BB"/>
    <w:rsid w:val="001340D8"/>
    <w:rsid w:val="00136223"/>
    <w:rsid w:val="00136763"/>
    <w:rsid w:val="00142CF6"/>
    <w:rsid w:val="001445BA"/>
    <w:rsid w:val="00153948"/>
    <w:rsid w:val="00153B8B"/>
    <w:rsid w:val="00154908"/>
    <w:rsid w:val="00156455"/>
    <w:rsid w:val="00166678"/>
    <w:rsid w:val="001724DA"/>
    <w:rsid w:val="0017280B"/>
    <w:rsid w:val="001748CD"/>
    <w:rsid w:val="00174FCC"/>
    <w:rsid w:val="00175C5A"/>
    <w:rsid w:val="00177738"/>
    <w:rsid w:val="001809B2"/>
    <w:rsid w:val="00187892"/>
    <w:rsid w:val="00187BD7"/>
    <w:rsid w:val="0019471C"/>
    <w:rsid w:val="00195F6E"/>
    <w:rsid w:val="00197825"/>
    <w:rsid w:val="001A076F"/>
    <w:rsid w:val="001A2F23"/>
    <w:rsid w:val="001A4772"/>
    <w:rsid w:val="001B1C7A"/>
    <w:rsid w:val="001B4E44"/>
    <w:rsid w:val="001B60D3"/>
    <w:rsid w:val="001B6372"/>
    <w:rsid w:val="001B6C7B"/>
    <w:rsid w:val="001B6C7F"/>
    <w:rsid w:val="001B7244"/>
    <w:rsid w:val="001C7ED6"/>
    <w:rsid w:val="001D04AF"/>
    <w:rsid w:val="001E4F53"/>
    <w:rsid w:val="001F302A"/>
    <w:rsid w:val="001F7718"/>
    <w:rsid w:val="00202BBD"/>
    <w:rsid w:val="002043C5"/>
    <w:rsid w:val="00204499"/>
    <w:rsid w:val="00213EB6"/>
    <w:rsid w:val="00214223"/>
    <w:rsid w:val="00215A6E"/>
    <w:rsid w:val="002202D0"/>
    <w:rsid w:val="002221CC"/>
    <w:rsid w:val="00223CFC"/>
    <w:rsid w:val="00223F48"/>
    <w:rsid w:val="00224196"/>
    <w:rsid w:val="00224DE0"/>
    <w:rsid w:val="002252B0"/>
    <w:rsid w:val="0022560D"/>
    <w:rsid w:val="00225BB8"/>
    <w:rsid w:val="00225D6B"/>
    <w:rsid w:val="00231EB0"/>
    <w:rsid w:val="00240380"/>
    <w:rsid w:val="00244C8D"/>
    <w:rsid w:val="0024707B"/>
    <w:rsid w:val="00257C44"/>
    <w:rsid w:val="00262870"/>
    <w:rsid w:val="002633C9"/>
    <w:rsid w:val="002658A4"/>
    <w:rsid w:val="00267127"/>
    <w:rsid w:val="00272639"/>
    <w:rsid w:val="00272663"/>
    <w:rsid w:val="00272E55"/>
    <w:rsid w:val="00274FB3"/>
    <w:rsid w:val="002772C3"/>
    <w:rsid w:val="00281236"/>
    <w:rsid w:val="00281D12"/>
    <w:rsid w:val="00285115"/>
    <w:rsid w:val="0028699C"/>
    <w:rsid w:val="00291260"/>
    <w:rsid w:val="002928A8"/>
    <w:rsid w:val="00296DAA"/>
    <w:rsid w:val="002A49DF"/>
    <w:rsid w:val="002A5D39"/>
    <w:rsid w:val="002A739C"/>
    <w:rsid w:val="002B21D4"/>
    <w:rsid w:val="002B3E24"/>
    <w:rsid w:val="002B4035"/>
    <w:rsid w:val="002B488B"/>
    <w:rsid w:val="002B5157"/>
    <w:rsid w:val="002B528D"/>
    <w:rsid w:val="002B79B2"/>
    <w:rsid w:val="002C1D31"/>
    <w:rsid w:val="002C2103"/>
    <w:rsid w:val="002C6299"/>
    <w:rsid w:val="002C632E"/>
    <w:rsid w:val="002D23D1"/>
    <w:rsid w:val="002D3F33"/>
    <w:rsid w:val="002D5601"/>
    <w:rsid w:val="002F663C"/>
    <w:rsid w:val="00307140"/>
    <w:rsid w:val="003113CB"/>
    <w:rsid w:val="0031192F"/>
    <w:rsid w:val="00311FFE"/>
    <w:rsid w:val="00314A6C"/>
    <w:rsid w:val="00323DBA"/>
    <w:rsid w:val="003279A8"/>
    <w:rsid w:val="003303D6"/>
    <w:rsid w:val="0033384E"/>
    <w:rsid w:val="00335DA7"/>
    <w:rsid w:val="003407C1"/>
    <w:rsid w:val="00342567"/>
    <w:rsid w:val="00343A3D"/>
    <w:rsid w:val="0035364A"/>
    <w:rsid w:val="00357520"/>
    <w:rsid w:val="003618B8"/>
    <w:rsid w:val="00361F9E"/>
    <w:rsid w:val="00362462"/>
    <w:rsid w:val="0036413E"/>
    <w:rsid w:val="00364240"/>
    <w:rsid w:val="00373A2D"/>
    <w:rsid w:val="00376EFD"/>
    <w:rsid w:val="00377493"/>
    <w:rsid w:val="003819DC"/>
    <w:rsid w:val="00387A19"/>
    <w:rsid w:val="0039020D"/>
    <w:rsid w:val="00395C22"/>
    <w:rsid w:val="003A5827"/>
    <w:rsid w:val="003A64F5"/>
    <w:rsid w:val="003B2FB5"/>
    <w:rsid w:val="003B7749"/>
    <w:rsid w:val="003B79B1"/>
    <w:rsid w:val="003C1415"/>
    <w:rsid w:val="003D090C"/>
    <w:rsid w:val="003D2E8C"/>
    <w:rsid w:val="003D5F98"/>
    <w:rsid w:val="003D746A"/>
    <w:rsid w:val="003E077B"/>
    <w:rsid w:val="003E2018"/>
    <w:rsid w:val="003E56CD"/>
    <w:rsid w:val="003E7BDA"/>
    <w:rsid w:val="003F4674"/>
    <w:rsid w:val="004002B3"/>
    <w:rsid w:val="00404148"/>
    <w:rsid w:val="004050E5"/>
    <w:rsid w:val="004110D4"/>
    <w:rsid w:val="00415E1B"/>
    <w:rsid w:val="00421DFB"/>
    <w:rsid w:val="0042217E"/>
    <w:rsid w:val="00422A60"/>
    <w:rsid w:val="004238E8"/>
    <w:rsid w:val="00423F6C"/>
    <w:rsid w:val="00424DE7"/>
    <w:rsid w:val="004258FC"/>
    <w:rsid w:val="00425E8E"/>
    <w:rsid w:val="00426CFB"/>
    <w:rsid w:val="004274E8"/>
    <w:rsid w:val="00430A47"/>
    <w:rsid w:val="00433151"/>
    <w:rsid w:val="0044331A"/>
    <w:rsid w:val="004444AC"/>
    <w:rsid w:val="00446547"/>
    <w:rsid w:val="0044672D"/>
    <w:rsid w:val="00451329"/>
    <w:rsid w:val="00454E92"/>
    <w:rsid w:val="00457715"/>
    <w:rsid w:val="00461D7D"/>
    <w:rsid w:val="00462E06"/>
    <w:rsid w:val="0047164E"/>
    <w:rsid w:val="00487E7B"/>
    <w:rsid w:val="00492491"/>
    <w:rsid w:val="004960DF"/>
    <w:rsid w:val="00497CC6"/>
    <w:rsid w:val="004A276E"/>
    <w:rsid w:val="004A2841"/>
    <w:rsid w:val="004A40C8"/>
    <w:rsid w:val="004A6CFF"/>
    <w:rsid w:val="004B5D45"/>
    <w:rsid w:val="004C2EE7"/>
    <w:rsid w:val="004C47AB"/>
    <w:rsid w:val="004C4A83"/>
    <w:rsid w:val="004C4BE9"/>
    <w:rsid w:val="004C552D"/>
    <w:rsid w:val="004C5772"/>
    <w:rsid w:val="004C61D3"/>
    <w:rsid w:val="004C66DF"/>
    <w:rsid w:val="004D2C6D"/>
    <w:rsid w:val="004D4987"/>
    <w:rsid w:val="004E0445"/>
    <w:rsid w:val="004E0D01"/>
    <w:rsid w:val="004E1A57"/>
    <w:rsid w:val="004F1C95"/>
    <w:rsid w:val="004F5DEF"/>
    <w:rsid w:val="004F6643"/>
    <w:rsid w:val="0050098E"/>
    <w:rsid w:val="005030A8"/>
    <w:rsid w:val="0050368A"/>
    <w:rsid w:val="00504A7E"/>
    <w:rsid w:val="00506E11"/>
    <w:rsid w:val="00510B77"/>
    <w:rsid w:val="00510BC1"/>
    <w:rsid w:val="00513A00"/>
    <w:rsid w:val="005141C9"/>
    <w:rsid w:val="00521BB1"/>
    <w:rsid w:val="00532CFC"/>
    <w:rsid w:val="00534194"/>
    <w:rsid w:val="005356F9"/>
    <w:rsid w:val="00535962"/>
    <w:rsid w:val="005369D2"/>
    <w:rsid w:val="00542B92"/>
    <w:rsid w:val="005439A4"/>
    <w:rsid w:val="00550E1B"/>
    <w:rsid w:val="00552905"/>
    <w:rsid w:val="00561195"/>
    <w:rsid w:val="00561B96"/>
    <w:rsid w:val="00570065"/>
    <w:rsid w:val="00571A66"/>
    <w:rsid w:val="00572884"/>
    <w:rsid w:val="005732CA"/>
    <w:rsid w:val="00574C61"/>
    <w:rsid w:val="00576882"/>
    <w:rsid w:val="0058244A"/>
    <w:rsid w:val="00583643"/>
    <w:rsid w:val="00584836"/>
    <w:rsid w:val="00586990"/>
    <w:rsid w:val="0058779E"/>
    <w:rsid w:val="0059113E"/>
    <w:rsid w:val="005A2AB0"/>
    <w:rsid w:val="005B1049"/>
    <w:rsid w:val="005B63AB"/>
    <w:rsid w:val="005C0F63"/>
    <w:rsid w:val="005C14E1"/>
    <w:rsid w:val="005C1B0C"/>
    <w:rsid w:val="005C1D7E"/>
    <w:rsid w:val="005C2C2E"/>
    <w:rsid w:val="005C44F6"/>
    <w:rsid w:val="005C789D"/>
    <w:rsid w:val="005E2EF5"/>
    <w:rsid w:val="005E617E"/>
    <w:rsid w:val="005E639C"/>
    <w:rsid w:val="005E6408"/>
    <w:rsid w:val="005E7139"/>
    <w:rsid w:val="005E7FDB"/>
    <w:rsid w:val="005F10DD"/>
    <w:rsid w:val="005F1553"/>
    <w:rsid w:val="005F1654"/>
    <w:rsid w:val="005F37B1"/>
    <w:rsid w:val="005F4547"/>
    <w:rsid w:val="005F4C73"/>
    <w:rsid w:val="005F7A97"/>
    <w:rsid w:val="00601414"/>
    <w:rsid w:val="0060197C"/>
    <w:rsid w:val="00604959"/>
    <w:rsid w:val="00607C31"/>
    <w:rsid w:val="00610626"/>
    <w:rsid w:val="0061110C"/>
    <w:rsid w:val="00611CDB"/>
    <w:rsid w:val="00625D5C"/>
    <w:rsid w:val="00625EA7"/>
    <w:rsid w:val="00625EAB"/>
    <w:rsid w:val="00626FB3"/>
    <w:rsid w:val="0063334A"/>
    <w:rsid w:val="00637D23"/>
    <w:rsid w:val="00640AD2"/>
    <w:rsid w:val="00641B74"/>
    <w:rsid w:val="00652CAB"/>
    <w:rsid w:val="00660A64"/>
    <w:rsid w:val="00663E3E"/>
    <w:rsid w:val="00664B74"/>
    <w:rsid w:val="006673B3"/>
    <w:rsid w:val="00670543"/>
    <w:rsid w:val="006728AC"/>
    <w:rsid w:val="00673B3D"/>
    <w:rsid w:val="006751DA"/>
    <w:rsid w:val="006758AC"/>
    <w:rsid w:val="00676285"/>
    <w:rsid w:val="006779E7"/>
    <w:rsid w:val="006779F1"/>
    <w:rsid w:val="0068055D"/>
    <w:rsid w:val="00680FD3"/>
    <w:rsid w:val="00681152"/>
    <w:rsid w:val="00683787"/>
    <w:rsid w:val="00684174"/>
    <w:rsid w:val="00684A4C"/>
    <w:rsid w:val="00687152"/>
    <w:rsid w:val="00687896"/>
    <w:rsid w:val="006879F1"/>
    <w:rsid w:val="00687E19"/>
    <w:rsid w:val="00694654"/>
    <w:rsid w:val="006955B2"/>
    <w:rsid w:val="00696447"/>
    <w:rsid w:val="006B1205"/>
    <w:rsid w:val="006B351A"/>
    <w:rsid w:val="006B6509"/>
    <w:rsid w:val="006B734F"/>
    <w:rsid w:val="006C2855"/>
    <w:rsid w:val="006C790A"/>
    <w:rsid w:val="006D715D"/>
    <w:rsid w:val="006E4708"/>
    <w:rsid w:val="006E60BE"/>
    <w:rsid w:val="006F5629"/>
    <w:rsid w:val="006F5E17"/>
    <w:rsid w:val="006F79BA"/>
    <w:rsid w:val="00705141"/>
    <w:rsid w:val="0070696B"/>
    <w:rsid w:val="0071062D"/>
    <w:rsid w:val="00713BA7"/>
    <w:rsid w:val="00713BDD"/>
    <w:rsid w:val="00724218"/>
    <w:rsid w:val="00725FE9"/>
    <w:rsid w:val="0073022A"/>
    <w:rsid w:val="00731A24"/>
    <w:rsid w:val="0074195E"/>
    <w:rsid w:val="0075791A"/>
    <w:rsid w:val="00763C2C"/>
    <w:rsid w:val="00763E84"/>
    <w:rsid w:val="00765C73"/>
    <w:rsid w:val="0077207E"/>
    <w:rsid w:val="0077318F"/>
    <w:rsid w:val="0077708E"/>
    <w:rsid w:val="007804C5"/>
    <w:rsid w:val="00781F56"/>
    <w:rsid w:val="00787123"/>
    <w:rsid w:val="00794CA3"/>
    <w:rsid w:val="007A19DE"/>
    <w:rsid w:val="007A22E1"/>
    <w:rsid w:val="007A385D"/>
    <w:rsid w:val="007A7852"/>
    <w:rsid w:val="007B2A1C"/>
    <w:rsid w:val="007B434D"/>
    <w:rsid w:val="007B449C"/>
    <w:rsid w:val="007B6948"/>
    <w:rsid w:val="007B7522"/>
    <w:rsid w:val="007C0363"/>
    <w:rsid w:val="007C0651"/>
    <w:rsid w:val="007C074E"/>
    <w:rsid w:val="007C6D82"/>
    <w:rsid w:val="007D3DB6"/>
    <w:rsid w:val="007D5561"/>
    <w:rsid w:val="007D67C0"/>
    <w:rsid w:val="007E75AA"/>
    <w:rsid w:val="00802045"/>
    <w:rsid w:val="008032F8"/>
    <w:rsid w:val="008034DA"/>
    <w:rsid w:val="00805DBA"/>
    <w:rsid w:val="00807342"/>
    <w:rsid w:val="00807A20"/>
    <w:rsid w:val="0081045D"/>
    <w:rsid w:val="00813D0A"/>
    <w:rsid w:val="0081413D"/>
    <w:rsid w:val="00822144"/>
    <w:rsid w:val="00834544"/>
    <w:rsid w:val="008347F5"/>
    <w:rsid w:val="00836892"/>
    <w:rsid w:val="00850F3D"/>
    <w:rsid w:val="00852320"/>
    <w:rsid w:val="00854007"/>
    <w:rsid w:val="00854ED8"/>
    <w:rsid w:val="0086782C"/>
    <w:rsid w:val="00867A1F"/>
    <w:rsid w:val="008709C0"/>
    <w:rsid w:val="00871F0E"/>
    <w:rsid w:val="0087267D"/>
    <w:rsid w:val="008728B7"/>
    <w:rsid w:val="0087302B"/>
    <w:rsid w:val="008773FE"/>
    <w:rsid w:val="008845F7"/>
    <w:rsid w:val="00885870"/>
    <w:rsid w:val="00890E0C"/>
    <w:rsid w:val="008922B3"/>
    <w:rsid w:val="00893D06"/>
    <w:rsid w:val="00895FBF"/>
    <w:rsid w:val="0089748D"/>
    <w:rsid w:val="008A0961"/>
    <w:rsid w:val="008A30D9"/>
    <w:rsid w:val="008B0BF4"/>
    <w:rsid w:val="008B4DF8"/>
    <w:rsid w:val="008B4F9D"/>
    <w:rsid w:val="008C4620"/>
    <w:rsid w:val="008D1187"/>
    <w:rsid w:val="008D1263"/>
    <w:rsid w:val="008D17BA"/>
    <w:rsid w:val="008D1C1E"/>
    <w:rsid w:val="008D39A2"/>
    <w:rsid w:val="008E001B"/>
    <w:rsid w:val="008E3788"/>
    <w:rsid w:val="008E3D4E"/>
    <w:rsid w:val="008E45D5"/>
    <w:rsid w:val="008E593A"/>
    <w:rsid w:val="008E7813"/>
    <w:rsid w:val="008E7D56"/>
    <w:rsid w:val="008F4E04"/>
    <w:rsid w:val="008F5E55"/>
    <w:rsid w:val="009005CC"/>
    <w:rsid w:val="00903C8D"/>
    <w:rsid w:val="009051AF"/>
    <w:rsid w:val="009116D5"/>
    <w:rsid w:val="009132BD"/>
    <w:rsid w:val="00915EC1"/>
    <w:rsid w:val="00922A50"/>
    <w:rsid w:val="009236F2"/>
    <w:rsid w:val="00924D91"/>
    <w:rsid w:val="009320AF"/>
    <w:rsid w:val="00932B17"/>
    <w:rsid w:val="0093573D"/>
    <w:rsid w:val="009358B6"/>
    <w:rsid w:val="00935B42"/>
    <w:rsid w:val="00937EDE"/>
    <w:rsid w:val="00945558"/>
    <w:rsid w:val="00946492"/>
    <w:rsid w:val="009511F4"/>
    <w:rsid w:val="009538C0"/>
    <w:rsid w:val="0095520A"/>
    <w:rsid w:val="00962118"/>
    <w:rsid w:val="009628FB"/>
    <w:rsid w:val="0096439C"/>
    <w:rsid w:val="009677D0"/>
    <w:rsid w:val="00967EE6"/>
    <w:rsid w:val="00973731"/>
    <w:rsid w:val="009738CC"/>
    <w:rsid w:val="0097649F"/>
    <w:rsid w:val="00983F93"/>
    <w:rsid w:val="00984A48"/>
    <w:rsid w:val="009907CF"/>
    <w:rsid w:val="00993A80"/>
    <w:rsid w:val="009947C8"/>
    <w:rsid w:val="00996017"/>
    <w:rsid w:val="009A0B0C"/>
    <w:rsid w:val="009A5245"/>
    <w:rsid w:val="009A5D1C"/>
    <w:rsid w:val="009B25C2"/>
    <w:rsid w:val="009B6078"/>
    <w:rsid w:val="009C568A"/>
    <w:rsid w:val="009C78A6"/>
    <w:rsid w:val="009D3992"/>
    <w:rsid w:val="009D4DA0"/>
    <w:rsid w:val="009D6650"/>
    <w:rsid w:val="009D6D15"/>
    <w:rsid w:val="009E1CBD"/>
    <w:rsid w:val="009E1CE7"/>
    <w:rsid w:val="009E288C"/>
    <w:rsid w:val="009E4F6C"/>
    <w:rsid w:val="009E5096"/>
    <w:rsid w:val="009E7461"/>
    <w:rsid w:val="009F1768"/>
    <w:rsid w:val="009F437A"/>
    <w:rsid w:val="009F4F59"/>
    <w:rsid w:val="00A06A59"/>
    <w:rsid w:val="00A078F0"/>
    <w:rsid w:val="00A1001A"/>
    <w:rsid w:val="00A14493"/>
    <w:rsid w:val="00A1451B"/>
    <w:rsid w:val="00A15793"/>
    <w:rsid w:val="00A179DF"/>
    <w:rsid w:val="00A24968"/>
    <w:rsid w:val="00A252F6"/>
    <w:rsid w:val="00A30B7D"/>
    <w:rsid w:val="00A324B6"/>
    <w:rsid w:val="00A32DF7"/>
    <w:rsid w:val="00A347E9"/>
    <w:rsid w:val="00A37E02"/>
    <w:rsid w:val="00A46BE6"/>
    <w:rsid w:val="00A5245B"/>
    <w:rsid w:val="00A64C6A"/>
    <w:rsid w:val="00A70CA2"/>
    <w:rsid w:val="00A745B7"/>
    <w:rsid w:val="00A75EE7"/>
    <w:rsid w:val="00A769E9"/>
    <w:rsid w:val="00A77235"/>
    <w:rsid w:val="00A86945"/>
    <w:rsid w:val="00A91CF9"/>
    <w:rsid w:val="00A95B87"/>
    <w:rsid w:val="00AA3D36"/>
    <w:rsid w:val="00AA3E4B"/>
    <w:rsid w:val="00AA4B7B"/>
    <w:rsid w:val="00AA4F31"/>
    <w:rsid w:val="00AA7420"/>
    <w:rsid w:val="00AA792F"/>
    <w:rsid w:val="00AA7A4C"/>
    <w:rsid w:val="00AB022F"/>
    <w:rsid w:val="00AB3422"/>
    <w:rsid w:val="00AC1295"/>
    <w:rsid w:val="00AC3734"/>
    <w:rsid w:val="00AC39EE"/>
    <w:rsid w:val="00AC5327"/>
    <w:rsid w:val="00AC7460"/>
    <w:rsid w:val="00AC7645"/>
    <w:rsid w:val="00AD2650"/>
    <w:rsid w:val="00AD2A0C"/>
    <w:rsid w:val="00AE171C"/>
    <w:rsid w:val="00AE20CC"/>
    <w:rsid w:val="00AE2BBA"/>
    <w:rsid w:val="00AE6965"/>
    <w:rsid w:val="00AF6831"/>
    <w:rsid w:val="00B006BC"/>
    <w:rsid w:val="00B04689"/>
    <w:rsid w:val="00B04DC7"/>
    <w:rsid w:val="00B04E8C"/>
    <w:rsid w:val="00B06206"/>
    <w:rsid w:val="00B066EF"/>
    <w:rsid w:val="00B230AA"/>
    <w:rsid w:val="00B25A85"/>
    <w:rsid w:val="00B30232"/>
    <w:rsid w:val="00B31294"/>
    <w:rsid w:val="00B345C2"/>
    <w:rsid w:val="00B35BE5"/>
    <w:rsid w:val="00B35D7B"/>
    <w:rsid w:val="00B360B4"/>
    <w:rsid w:val="00B42060"/>
    <w:rsid w:val="00B42E43"/>
    <w:rsid w:val="00B45629"/>
    <w:rsid w:val="00B46DE9"/>
    <w:rsid w:val="00B47864"/>
    <w:rsid w:val="00B53F88"/>
    <w:rsid w:val="00B5480A"/>
    <w:rsid w:val="00B569AE"/>
    <w:rsid w:val="00B61696"/>
    <w:rsid w:val="00B65DB2"/>
    <w:rsid w:val="00B703AE"/>
    <w:rsid w:val="00B707B4"/>
    <w:rsid w:val="00B72074"/>
    <w:rsid w:val="00B72104"/>
    <w:rsid w:val="00B8161B"/>
    <w:rsid w:val="00B8570B"/>
    <w:rsid w:val="00B86890"/>
    <w:rsid w:val="00B9441C"/>
    <w:rsid w:val="00B946B9"/>
    <w:rsid w:val="00BA18FE"/>
    <w:rsid w:val="00BB44CD"/>
    <w:rsid w:val="00BB4FF0"/>
    <w:rsid w:val="00BC188B"/>
    <w:rsid w:val="00BC2D92"/>
    <w:rsid w:val="00BC50F6"/>
    <w:rsid w:val="00BC7810"/>
    <w:rsid w:val="00BD5129"/>
    <w:rsid w:val="00BE2D26"/>
    <w:rsid w:val="00BE4EDB"/>
    <w:rsid w:val="00BF00B8"/>
    <w:rsid w:val="00BF0651"/>
    <w:rsid w:val="00BF1D28"/>
    <w:rsid w:val="00BF4658"/>
    <w:rsid w:val="00C0298C"/>
    <w:rsid w:val="00C06C66"/>
    <w:rsid w:val="00C06EFB"/>
    <w:rsid w:val="00C120F3"/>
    <w:rsid w:val="00C201FB"/>
    <w:rsid w:val="00C20DF4"/>
    <w:rsid w:val="00C22A45"/>
    <w:rsid w:val="00C23CF9"/>
    <w:rsid w:val="00C25E40"/>
    <w:rsid w:val="00C34E40"/>
    <w:rsid w:val="00C35F6B"/>
    <w:rsid w:val="00C365DD"/>
    <w:rsid w:val="00C401C1"/>
    <w:rsid w:val="00C40942"/>
    <w:rsid w:val="00C42621"/>
    <w:rsid w:val="00C43ACA"/>
    <w:rsid w:val="00C4461D"/>
    <w:rsid w:val="00C47234"/>
    <w:rsid w:val="00C50A58"/>
    <w:rsid w:val="00C57801"/>
    <w:rsid w:val="00C610B3"/>
    <w:rsid w:val="00C61B7D"/>
    <w:rsid w:val="00C623CC"/>
    <w:rsid w:val="00C631F5"/>
    <w:rsid w:val="00C65472"/>
    <w:rsid w:val="00C656B9"/>
    <w:rsid w:val="00C67ABF"/>
    <w:rsid w:val="00C7489F"/>
    <w:rsid w:val="00C75BB7"/>
    <w:rsid w:val="00C76C32"/>
    <w:rsid w:val="00C77BFC"/>
    <w:rsid w:val="00C83B68"/>
    <w:rsid w:val="00C84689"/>
    <w:rsid w:val="00C86CA0"/>
    <w:rsid w:val="00C87484"/>
    <w:rsid w:val="00C91C96"/>
    <w:rsid w:val="00C927BA"/>
    <w:rsid w:val="00C92BF2"/>
    <w:rsid w:val="00C947B8"/>
    <w:rsid w:val="00CA0376"/>
    <w:rsid w:val="00CA0A5F"/>
    <w:rsid w:val="00CA10F0"/>
    <w:rsid w:val="00CB312E"/>
    <w:rsid w:val="00CB37FA"/>
    <w:rsid w:val="00CB4F2E"/>
    <w:rsid w:val="00CC2C3B"/>
    <w:rsid w:val="00CC67DB"/>
    <w:rsid w:val="00CD4FC2"/>
    <w:rsid w:val="00CD5A84"/>
    <w:rsid w:val="00CE0D07"/>
    <w:rsid w:val="00CF12C9"/>
    <w:rsid w:val="00CF37E8"/>
    <w:rsid w:val="00CF6179"/>
    <w:rsid w:val="00CF6196"/>
    <w:rsid w:val="00CF6E42"/>
    <w:rsid w:val="00D03D7D"/>
    <w:rsid w:val="00D071B3"/>
    <w:rsid w:val="00D22029"/>
    <w:rsid w:val="00D23269"/>
    <w:rsid w:val="00D23D03"/>
    <w:rsid w:val="00D25634"/>
    <w:rsid w:val="00D262E6"/>
    <w:rsid w:val="00D2695B"/>
    <w:rsid w:val="00D30692"/>
    <w:rsid w:val="00D371EC"/>
    <w:rsid w:val="00D406E3"/>
    <w:rsid w:val="00D43BEA"/>
    <w:rsid w:val="00D4624E"/>
    <w:rsid w:val="00D518DE"/>
    <w:rsid w:val="00D70C50"/>
    <w:rsid w:val="00D744B6"/>
    <w:rsid w:val="00D7688D"/>
    <w:rsid w:val="00D806B3"/>
    <w:rsid w:val="00D809B5"/>
    <w:rsid w:val="00D82EB6"/>
    <w:rsid w:val="00D844E5"/>
    <w:rsid w:val="00D84B1D"/>
    <w:rsid w:val="00D91B4D"/>
    <w:rsid w:val="00D91D93"/>
    <w:rsid w:val="00D96538"/>
    <w:rsid w:val="00D97382"/>
    <w:rsid w:val="00DA0B96"/>
    <w:rsid w:val="00DA2790"/>
    <w:rsid w:val="00DA718A"/>
    <w:rsid w:val="00DA7D92"/>
    <w:rsid w:val="00DB20B9"/>
    <w:rsid w:val="00DB575C"/>
    <w:rsid w:val="00DC40B5"/>
    <w:rsid w:val="00DC5083"/>
    <w:rsid w:val="00DC52CA"/>
    <w:rsid w:val="00DC6BDA"/>
    <w:rsid w:val="00DC7B62"/>
    <w:rsid w:val="00DD07EE"/>
    <w:rsid w:val="00DD27A2"/>
    <w:rsid w:val="00DD3058"/>
    <w:rsid w:val="00DD3881"/>
    <w:rsid w:val="00DD3DEA"/>
    <w:rsid w:val="00DD4C71"/>
    <w:rsid w:val="00DD4F0F"/>
    <w:rsid w:val="00DD6F81"/>
    <w:rsid w:val="00DE4CEF"/>
    <w:rsid w:val="00DE55DF"/>
    <w:rsid w:val="00DE5C3E"/>
    <w:rsid w:val="00DF7E2D"/>
    <w:rsid w:val="00E00E5D"/>
    <w:rsid w:val="00E013D0"/>
    <w:rsid w:val="00E01CFB"/>
    <w:rsid w:val="00E072E7"/>
    <w:rsid w:val="00E10166"/>
    <w:rsid w:val="00E12DAE"/>
    <w:rsid w:val="00E14645"/>
    <w:rsid w:val="00E16E5D"/>
    <w:rsid w:val="00E24A6C"/>
    <w:rsid w:val="00E251FA"/>
    <w:rsid w:val="00E258BC"/>
    <w:rsid w:val="00E25F42"/>
    <w:rsid w:val="00E272B0"/>
    <w:rsid w:val="00E35744"/>
    <w:rsid w:val="00E36DF6"/>
    <w:rsid w:val="00E37487"/>
    <w:rsid w:val="00E376CC"/>
    <w:rsid w:val="00E40ABD"/>
    <w:rsid w:val="00E42817"/>
    <w:rsid w:val="00E43410"/>
    <w:rsid w:val="00E5156B"/>
    <w:rsid w:val="00E5416B"/>
    <w:rsid w:val="00E55A31"/>
    <w:rsid w:val="00E55FDB"/>
    <w:rsid w:val="00E61ED7"/>
    <w:rsid w:val="00E63605"/>
    <w:rsid w:val="00E67FA9"/>
    <w:rsid w:val="00E7109C"/>
    <w:rsid w:val="00E749A0"/>
    <w:rsid w:val="00E74C8E"/>
    <w:rsid w:val="00E7779C"/>
    <w:rsid w:val="00E804B8"/>
    <w:rsid w:val="00E8342A"/>
    <w:rsid w:val="00E86AB9"/>
    <w:rsid w:val="00E87773"/>
    <w:rsid w:val="00E95906"/>
    <w:rsid w:val="00E95D4C"/>
    <w:rsid w:val="00EA57EA"/>
    <w:rsid w:val="00EA679D"/>
    <w:rsid w:val="00EB4B88"/>
    <w:rsid w:val="00EB62E8"/>
    <w:rsid w:val="00EB7D05"/>
    <w:rsid w:val="00EC0712"/>
    <w:rsid w:val="00EC3016"/>
    <w:rsid w:val="00EC3B4B"/>
    <w:rsid w:val="00EC4D18"/>
    <w:rsid w:val="00EC6BEE"/>
    <w:rsid w:val="00EC6D6A"/>
    <w:rsid w:val="00ED2B03"/>
    <w:rsid w:val="00ED6918"/>
    <w:rsid w:val="00ED71C0"/>
    <w:rsid w:val="00EE03F7"/>
    <w:rsid w:val="00EE2E51"/>
    <w:rsid w:val="00EE472A"/>
    <w:rsid w:val="00EE5553"/>
    <w:rsid w:val="00EF08CD"/>
    <w:rsid w:val="00EF3A3F"/>
    <w:rsid w:val="00EF3DE7"/>
    <w:rsid w:val="00EF401B"/>
    <w:rsid w:val="00EF45CB"/>
    <w:rsid w:val="00EF6BA2"/>
    <w:rsid w:val="00EF7E62"/>
    <w:rsid w:val="00F002C7"/>
    <w:rsid w:val="00F10C44"/>
    <w:rsid w:val="00F11A23"/>
    <w:rsid w:val="00F13518"/>
    <w:rsid w:val="00F16F72"/>
    <w:rsid w:val="00F17F82"/>
    <w:rsid w:val="00F2068C"/>
    <w:rsid w:val="00F2589F"/>
    <w:rsid w:val="00F25F4C"/>
    <w:rsid w:val="00F27AD7"/>
    <w:rsid w:val="00F315D5"/>
    <w:rsid w:val="00F36D5B"/>
    <w:rsid w:val="00F377C5"/>
    <w:rsid w:val="00F43A32"/>
    <w:rsid w:val="00F4427C"/>
    <w:rsid w:val="00F44C09"/>
    <w:rsid w:val="00F4651F"/>
    <w:rsid w:val="00F500E8"/>
    <w:rsid w:val="00F51DC0"/>
    <w:rsid w:val="00F56336"/>
    <w:rsid w:val="00F5666E"/>
    <w:rsid w:val="00F60D7A"/>
    <w:rsid w:val="00F6206D"/>
    <w:rsid w:val="00F63E53"/>
    <w:rsid w:val="00F640F2"/>
    <w:rsid w:val="00F64E5E"/>
    <w:rsid w:val="00F6785C"/>
    <w:rsid w:val="00F72859"/>
    <w:rsid w:val="00F72B58"/>
    <w:rsid w:val="00F72D3A"/>
    <w:rsid w:val="00F740A5"/>
    <w:rsid w:val="00F74E92"/>
    <w:rsid w:val="00F753A8"/>
    <w:rsid w:val="00F8241A"/>
    <w:rsid w:val="00F83731"/>
    <w:rsid w:val="00F83D1B"/>
    <w:rsid w:val="00F85136"/>
    <w:rsid w:val="00F85334"/>
    <w:rsid w:val="00F90DE5"/>
    <w:rsid w:val="00F91612"/>
    <w:rsid w:val="00F92AD3"/>
    <w:rsid w:val="00FA2980"/>
    <w:rsid w:val="00FA4FD4"/>
    <w:rsid w:val="00FB0045"/>
    <w:rsid w:val="00FB03F7"/>
    <w:rsid w:val="00FB2131"/>
    <w:rsid w:val="00FB421C"/>
    <w:rsid w:val="00FB7C93"/>
    <w:rsid w:val="00FC324F"/>
    <w:rsid w:val="00FC4B4C"/>
    <w:rsid w:val="00FC7E77"/>
    <w:rsid w:val="00FD119E"/>
    <w:rsid w:val="00FD30C5"/>
    <w:rsid w:val="00FD34F4"/>
    <w:rsid w:val="00FD48E9"/>
    <w:rsid w:val="00FD4C28"/>
    <w:rsid w:val="00FD75C5"/>
    <w:rsid w:val="00FD7DED"/>
    <w:rsid w:val="00FE145A"/>
    <w:rsid w:val="00FE4DA5"/>
    <w:rsid w:val="00FE50AA"/>
    <w:rsid w:val="00FF077A"/>
    <w:rsid w:val="00FF0DD1"/>
    <w:rsid w:val="00FF1DD4"/>
    <w:rsid w:val="00FF32C5"/>
    <w:rsid w:val="00FF62D2"/>
    <w:rsid w:val="1809E4E1"/>
    <w:rsid w:val="4F73E881"/>
    <w:rsid w:val="65AD349E"/>
    <w:rsid w:val="6C685D7D"/>
    <w:rsid w:val="6D26D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55BF8A"/>
  <w15:chartTrackingRefBased/>
  <w15:docId w15:val="{FD82249D-8BC7-4FA1-B40D-F3E0A2D5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731"/>
    <w:rPr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7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F837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7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qFormat/>
    <w:rsid w:val="004C2EE7"/>
    <w:pPr>
      <w:spacing w:line="240" w:lineRule="auto"/>
    </w:pPr>
    <w:rPr>
      <w:rFonts w:ascii="Open Sans" w:hAnsi="Open Sans"/>
      <w:sz w:val="16"/>
      <w:szCs w:val="18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2EE7"/>
    <w:rPr>
      <w:rFonts w:ascii="Open Sans" w:hAnsi="Open Sans"/>
      <w:sz w:val="16"/>
      <w:szCs w:val="18"/>
      <w:lang w:val="en-GB"/>
    </w:rPr>
  </w:style>
  <w:style w:type="paragraph" w:customStyle="1" w:styleId="SailHeading1">
    <w:name w:val="Sail Heading 1"/>
    <w:basedOn w:val="Heading1"/>
    <w:next w:val="Normal"/>
    <w:link w:val="SailHeading1Char"/>
    <w:autoRedefine/>
    <w:qFormat/>
    <w:rsid w:val="00F83731"/>
    <w:pPr>
      <w:spacing w:after="160"/>
    </w:pPr>
    <w:rPr>
      <w:rFonts w:ascii="Montserrat" w:eastAsiaTheme="minorEastAsia" w:hAnsi="Montserrat"/>
      <w:b/>
      <w:bCs/>
      <w:color w:val="D62027"/>
      <w:spacing w:val="15"/>
      <w:sz w:val="24"/>
      <w:szCs w:val="28"/>
      <w:lang w:val="en-IE"/>
      <w14:textFill>
        <w14:solidFill>
          <w14:srgbClr w14:val="D62027">
            <w14:lumMod w14:val="85000"/>
            <w14:lumOff w14:val="15000"/>
          </w14:srgbClr>
        </w14:solidFill>
      </w14:textFill>
    </w:rPr>
  </w:style>
  <w:style w:type="character" w:customStyle="1" w:styleId="SailHeading1Char">
    <w:name w:val="Sail Heading 1 Char"/>
    <w:basedOn w:val="DefaultParagraphFont"/>
    <w:link w:val="SailHeading1"/>
    <w:rsid w:val="00F83731"/>
    <w:rPr>
      <w:rFonts w:ascii="Montserrat" w:eastAsiaTheme="minorEastAsia" w:hAnsi="Montserrat" w:cstheme="majorBidi"/>
      <w:b/>
      <w:bCs/>
      <w:color w:val="D62027"/>
      <w:spacing w:val="15"/>
      <w:sz w:val="24"/>
      <w:szCs w:val="28"/>
      <w:lang w:val="en-IE"/>
      <w14:textFill>
        <w14:solidFill>
          <w14:srgbClr w14:val="D62027">
            <w14:lumMod w14:val="85000"/>
            <w14:lumOff w14:val="15000"/>
          </w14:srgb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F837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ZA"/>
    </w:rPr>
  </w:style>
  <w:style w:type="paragraph" w:customStyle="1" w:styleId="SailSubHeading1">
    <w:name w:val="Sail Sub Heading 1"/>
    <w:basedOn w:val="Normal"/>
    <w:next w:val="Normal"/>
    <w:link w:val="SailSubHeading1Char"/>
    <w:autoRedefine/>
    <w:qFormat/>
    <w:rsid w:val="00BB4FF0"/>
    <w:pPr>
      <w:numPr>
        <w:numId w:val="14"/>
      </w:numPr>
      <w:spacing w:line="276" w:lineRule="auto"/>
    </w:pPr>
    <w:rPr>
      <w:rFonts w:ascii="Montserrat" w:eastAsiaTheme="minorEastAsia" w:hAnsi="Montserrat"/>
      <w:b/>
      <w:bCs/>
      <w:color w:val="5A5A5A" w:themeColor="text1" w:themeTint="A5"/>
      <w:spacing w:val="15"/>
      <w:sz w:val="20"/>
      <w:szCs w:val="20"/>
      <w:lang w:val="en-IE"/>
    </w:rPr>
  </w:style>
  <w:style w:type="character" w:customStyle="1" w:styleId="SailSubHeading1Char">
    <w:name w:val="Sail Sub Heading 1 Char"/>
    <w:basedOn w:val="DefaultParagraphFont"/>
    <w:link w:val="SailSubHeading1"/>
    <w:rsid w:val="00BB4FF0"/>
    <w:rPr>
      <w:rFonts w:ascii="Montserrat" w:eastAsiaTheme="minorEastAsia" w:hAnsi="Montserrat"/>
      <w:b/>
      <w:bCs/>
      <w:color w:val="5A5A5A" w:themeColor="text1" w:themeTint="A5"/>
      <w:spacing w:val="15"/>
      <w:sz w:val="20"/>
      <w:szCs w:val="20"/>
      <w:lang w:val="en-IE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F8373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83731"/>
    <w:rPr>
      <w:rFonts w:eastAsiaTheme="minorEastAsia"/>
      <w:color w:val="5A5A5A" w:themeColor="text1" w:themeTint="A5"/>
      <w:spacing w:val="15"/>
      <w:lang w:val="en-ZA"/>
    </w:rPr>
  </w:style>
  <w:style w:type="paragraph" w:customStyle="1" w:styleId="Sub-subHeadings1">
    <w:name w:val="Sub-sub Headings 1"/>
    <w:basedOn w:val="Heading3"/>
    <w:next w:val="Normal"/>
    <w:link w:val="Sub-subHeadings1Char"/>
    <w:autoRedefine/>
    <w:qFormat/>
    <w:rsid w:val="004F1C95"/>
    <w:rPr>
      <w:rFonts w:ascii="Montserrat Medium" w:eastAsia="Times New Roman" w:hAnsi="Montserrat Medium"/>
      <w:color w:val="5A5A5A" w:themeColor="text1" w:themeTint="A5"/>
      <w:spacing w:val="15"/>
      <w:sz w:val="20"/>
      <w:szCs w:val="20"/>
      <w:lang w:val="en-IE"/>
    </w:rPr>
  </w:style>
  <w:style w:type="character" w:customStyle="1" w:styleId="Sub-subHeadings1Char">
    <w:name w:val="Sub-sub Headings 1 Char"/>
    <w:basedOn w:val="SailSubHeading1Char"/>
    <w:link w:val="Sub-subHeadings1"/>
    <w:rsid w:val="004F1C95"/>
    <w:rPr>
      <w:rFonts w:ascii="Montserrat Medium" w:eastAsia="Times New Roman" w:hAnsi="Montserrat Medium" w:cstheme="majorBidi"/>
      <w:b w:val="0"/>
      <w:bCs w:val="0"/>
      <w:color w:val="5A5A5A" w:themeColor="text1" w:themeTint="A5"/>
      <w:spacing w:val="15"/>
      <w:sz w:val="20"/>
      <w:szCs w:val="20"/>
      <w:lang w:val="en-IE"/>
    </w:rPr>
  </w:style>
  <w:style w:type="character" w:customStyle="1" w:styleId="Heading3Char">
    <w:name w:val="Heading 3 Char"/>
    <w:basedOn w:val="DefaultParagraphFont"/>
    <w:link w:val="Heading3"/>
    <w:uiPriority w:val="9"/>
    <w:rsid w:val="00F8373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ZA"/>
    </w:rPr>
  </w:style>
  <w:style w:type="paragraph" w:customStyle="1" w:styleId="SailBody">
    <w:name w:val="Sail Body"/>
    <w:basedOn w:val="Normal"/>
    <w:link w:val="SailBodyChar"/>
    <w:qFormat/>
    <w:rsid w:val="00F83731"/>
    <w:pPr>
      <w:spacing w:line="276" w:lineRule="auto"/>
    </w:pPr>
    <w:rPr>
      <w:rFonts w:ascii="Montserrat" w:eastAsia="Times New Roman" w:hAnsi="Montserrat" w:cs="Times New Roman"/>
      <w:bCs/>
      <w:sz w:val="20"/>
      <w:szCs w:val="20"/>
      <w:lang w:val="en-IE"/>
    </w:rPr>
  </w:style>
  <w:style w:type="character" w:customStyle="1" w:styleId="SailBodyChar">
    <w:name w:val="Sail Body Char"/>
    <w:basedOn w:val="DefaultParagraphFont"/>
    <w:link w:val="SailBody"/>
    <w:rsid w:val="00F83731"/>
    <w:rPr>
      <w:rFonts w:ascii="Montserrat" w:eastAsia="Times New Roman" w:hAnsi="Montserrat" w:cs="Times New Roman"/>
      <w:bCs/>
      <w:sz w:val="20"/>
      <w:szCs w:val="20"/>
      <w:lang w:val="en-IE"/>
    </w:rPr>
  </w:style>
  <w:style w:type="paragraph" w:customStyle="1" w:styleId="GreenHeading1">
    <w:name w:val="&amp;Green Heading 1"/>
    <w:basedOn w:val="Heading1"/>
    <w:next w:val="Normal"/>
    <w:link w:val="GreenHeading1Char"/>
    <w:autoRedefine/>
    <w:qFormat/>
    <w:rsid w:val="001748CD"/>
    <w:pPr>
      <w:spacing w:before="0" w:after="160" w:line="240" w:lineRule="auto"/>
      <w:jc w:val="center"/>
    </w:pPr>
    <w:rPr>
      <w:rFonts w:ascii="Open Sans" w:eastAsiaTheme="minorEastAsia" w:hAnsi="Open Sans" w:cs="Open Sans"/>
      <w:b/>
      <w:bCs/>
      <w:color w:val="034427"/>
      <w:spacing w:val="15"/>
      <w:sz w:val="24"/>
      <w:szCs w:val="28"/>
      <w:lang w:val="en-IE"/>
    </w:rPr>
  </w:style>
  <w:style w:type="character" w:customStyle="1" w:styleId="GreenHeading1Char">
    <w:name w:val="&amp;Green Heading 1 Char"/>
    <w:basedOn w:val="DefaultParagraphFont"/>
    <w:link w:val="GreenHeading1"/>
    <w:rsid w:val="001748CD"/>
    <w:rPr>
      <w:rFonts w:ascii="Open Sans" w:eastAsiaTheme="minorEastAsia" w:hAnsi="Open Sans" w:cs="Open Sans"/>
      <w:b/>
      <w:bCs/>
      <w:color w:val="034427"/>
      <w:spacing w:val="15"/>
      <w:sz w:val="24"/>
      <w:szCs w:val="28"/>
      <w:lang w:val="en-I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73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ZA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8373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F8373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F83731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unhideWhenUsed/>
    <w:rsid w:val="00F837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731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F837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731"/>
    <w:rPr>
      <w:lang w:val="en-ZA"/>
    </w:rPr>
  </w:style>
  <w:style w:type="paragraph" w:styleId="Caption">
    <w:name w:val="caption"/>
    <w:basedOn w:val="Normal"/>
    <w:next w:val="Normal"/>
    <w:uiPriority w:val="35"/>
    <w:unhideWhenUsed/>
    <w:qFormat/>
    <w:rsid w:val="00F8373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F8373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8373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731"/>
    <w:rPr>
      <w:rFonts w:ascii="Segoe UI" w:hAnsi="Segoe UI" w:cs="Segoe UI"/>
      <w:sz w:val="18"/>
      <w:szCs w:val="18"/>
      <w:lang w:val="en-ZA"/>
    </w:rPr>
  </w:style>
  <w:style w:type="table" w:styleId="TableGrid">
    <w:name w:val="Table Grid"/>
    <w:basedOn w:val="TableNormal"/>
    <w:uiPriority w:val="39"/>
    <w:rsid w:val="004F1C95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semiHidden/>
    <w:qFormat/>
    <w:rsid w:val="00F8373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373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3731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F83731"/>
    <w:rPr>
      <w:color w:val="605E5C"/>
      <w:shd w:val="clear" w:color="auto" w:fill="E1DFDD"/>
    </w:rPr>
  </w:style>
  <w:style w:type="paragraph" w:customStyle="1" w:styleId="Body">
    <w:name w:val="Body"/>
    <w:basedOn w:val="Normal"/>
    <w:link w:val="BodyChar"/>
    <w:qFormat/>
    <w:rsid w:val="007C6D82"/>
    <w:pPr>
      <w:spacing w:before="120" w:after="120" w:line="240" w:lineRule="auto"/>
    </w:pPr>
    <w:rPr>
      <w:rFonts w:ascii="Open Sans" w:hAnsi="Open Sans" w:cs="Open Sans"/>
      <w:bCs/>
      <w:sz w:val="20"/>
      <w:szCs w:val="24"/>
      <w:lang w:val="en-IE"/>
    </w:rPr>
  </w:style>
  <w:style w:type="character" w:customStyle="1" w:styleId="BodyChar">
    <w:name w:val="Body Char"/>
    <w:basedOn w:val="DefaultParagraphFont"/>
    <w:link w:val="Body"/>
    <w:rsid w:val="007C6D82"/>
    <w:rPr>
      <w:rFonts w:ascii="Open Sans" w:hAnsi="Open Sans" w:cs="Open Sans"/>
      <w:bCs/>
      <w:sz w:val="20"/>
      <w:szCs w:val="24"/>
      <w:lang w:val="en-IE"/>
    </w:rPr>
  </w:style>
  <w:style w:type="character" w:customStyle="1" w:styleId="Wordboldgreen">
    <w:name w:val="Word bold green"/>
    <w:basedOn w:val="DefaultParagraphFont"/>
    <w:uiPriority w:val="1"/>
    <w:qFormat/>
    <w:rsid w:val="007C6D82"/>
    <w:rPr>
      <w:rFonts w:ascii="Open Sans" w:hAnsi="Open Sans"/>
      <w:b/>
      <w:noProof/>
      <w:color w:val="034427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32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24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24B6"/>
    <w:rPr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2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24B6"/>
    <w:rPr>
      <w:b/>
      <w:bCs/>
      <w:sz w:val="20"/>
      <w:szCs w:val="20"/>
      <w:lang w:val="en-ZA"/>
    </w:rPr>
  </w:style>
  <w:style w:type="character" w:styleId="Mention">
    <w:name w:val="Mention"/>
    <w:basedOn w:val="DefaultParagraphFont"/>
    <w:uiPriority w:val="99"/>
    <w:unhideWhenUsed/>
    <w:rsid w:val="003E2018"/>
    <w:rPr>
      <w:color w:val="2B579A"/>
      <w:shd w:val="clear" w:color="auto" w:fill="E1DFDD"/>
    </w:rPr>
  </w:style>
  <w:style w:type="paragraph" w:customStyle="1" w:styleId="Heading2bullet">
    <w:name w:val="Heading 2 bullet"/>
    <w:basedOn w:val="Heading2"/>
    <w:qFormat/>
    <w:rsid w:val="00973731"/>
    <w:pPr>
      <w:spacing w:before="240" w:after="120" w:line="240" w:lineRule="auto"/>
      <w:ind w:left="567" w:hanging="567"/>
    </w:pPr>
    <w:rPr>
      <w:rFonts w:ascii="Open Sans" w:eastAsiaTheme="minorEastAsia" w:hAnsi="Open Sans" w:cs="Open Sans"/>
      <w:b/>
      <w:bCs/>
      <w:color w:val="808080"/>
      <w:spacing w:val="15"/>
      <w:sz w:val="20"/>
      <w:szCs w:val="24"/>
      <w:lang w:val="en-IE"/>
    </w:rPr>
  </w:style>
  <w:style w:type="paragraph" w:customStyle="1" w:styleId="Heading1bullet">
    <w:name w:val="Heading 1 bullet"/>
    <w:basedOn w:val="Heading1"/>
    <w:next w:val="Normal"/>
    <w:link w:val="Heading1bulletChar"/>
    <w:qFormat/>
    <w:rsid w:val="00973731"/>
    <w:pPr>
      <w:spacing w:after="160" w:line="240" w:lineRule="auto"/>
      <w:ind w:left="567" w:hanging="567"/>
    </w:pPr>
    <w:rPr>
      <w:rFonts w:ascii="Open Sans" w:eastAsiaTheme="minorEastAsia" w:hAnsi="Open Sans" w:cs="Open Sans"/>
      <w:b/>
      <w:bCs/>
      <w:caps/>
      <w:color w:val="034427"/>
      <w:spacing w:val="15"/>
      <w:sz w:val="24"/>
      <w:szCs w:val="28"/>
      <w:lang w:val="en-IE"/>
    </w:rPr>
  </w:style>
  <w:style w:type="character" w:customStyle="1" w:styleId="Heading1bulletChar">
    <w:name w:val="Heading 1 bullet Char"/>
    <w:basedOn w:val="DefaultParagraphFont"/>
    <w:link w:val="Heading1bullet"/>
    <w:rsid w:val="00973731"/>
    <w:rPr>
      <w:rFonts w:ascii="Open Sans" w:eastAsiaTheme="minorEastAsia" w:hAnsi="Open Sans" w:cs="Open Sans"/>
      <w:b/>
      <w:bCs/>
      <w:caps/>
      <w:color w:val="034427"/>
      <w:spacing w:val="15"/>
      <w:sz w:val="24"/>
      <w:szCs w:val="28"/>
      <w:lang w:val="en-IE"/>
    </w:rPr>
  </w:style>
  <w:style w:type="paragraph" w:customStyle="1" w:styleId="Bulletprimary">
    <w:name w:val="Bullet primary"/>
    <w:basedOn w:val="Normal"/>
    <w:qFormat/>
    <w:rsid w:val="001445BA"/>
    <w:pPr>
      <w:numPr>
        <w:numId w:val="9"/>
      </w:numPr>
      <w:spacing w:before="120" w:after="120" w:line="240" w:lineRule="auto"/>
    </w:pPr>
    <w:rPr>
      <w:rFonts w:ascii="Open Sans" w:hAnsi="Open Sans" w:cs="Open Sans"/>
      <w:bCs/>
      <w:sz w:val="20"/>
      <w:szCs w:val="24"/>
      <w:lang w:val="en-IE"/>
    </w:rPr>
  </w:style>
  <w:style w:type="paragraph" w:styleId="Revision">
    <w:name w:val="Revision"/>
    <w:hidden/>
    <w:uiPriority w:val="99"/>
    <w:semiHidden/>
    <w:rsid w:val="00052E4F"/>
    <w:pPr>
      <w:spacing w:after="0" w:line="240" w:lineRule="auto"/>
    </w:pPr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b839-8b53-4ddb-9b24-b96221f2bda6" xsi:nil="true"/>
    <lcf76f155ced4ddcb4097134ff3c332f xmlns="366ae72f-6d51-4737-8f6b-a9169c366b64">
      <Terms xmlns="http://schemas.microsoft.com/office/infopath/2007/PartnerControls"/>
    </lcf76f155ced4ddcb4097134ff3c332f>
    <Tags xmlns="366ae72f-6d51-4737-8f6b-a9169c366b64">{"Extraction":3,"Tags":[]}</Tags>
    <Status xmlns="366ae72f-6d51-4737-8f6b-a9169c366b64" xsi:nil="true"/>
    <Camille xmlns="366ae72f-6d51-4737-8f6b-a9169c366b64" xsi:nil="true"/>
    <Camille2 xmlns="366ae72f-6d51-4737-8f6b-a9169c366b6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79F12F22C9E4F9273E32F354CEDB7" ma:contentTypeVersion="20" ma:contentTypeDescription="Create a new document." ma:contentTypeScope="" ma:versionID="b7840d6a47e244606dc4bde491b6bc5c">
  <xsd:schema xmlns:xsd="http://www.w3.org/2001/XMLSchema" xmlns:xs="http://www.w3.org/2001/XMLSchema" xmlns:p="http://schemas.microsoft.com/office/2006/metadata/properties" xmlns:ns2="366ae72f-6d51-4737-8f6b-a9169c366b64" xmlns:ns3="a3cd7b71-671d-4139-9a97-5d1a7380fae4" xmlns:ns4="50c9b839-8b53-4ddb-9b24-b96221f2bda6" targetNamespace="http://schemas.microsoft.com/office/2006/metadata/properties" ma:root="true" ma:fieldsID="eef116cf559c424c6e953a4b4c2ee3fa" ns2:_="" ns3:_="" ns4:_="">
    <xsd:import namespace="366ae72f-6d51-4737-8f6b-a9169c366b64"/>
    <xsd:import namespace="a3cd7b71-671d-4139-9a97-5d1a7380fae4"/>
    <xsd:import namespace="50c9b839-8b53-4ddb-9b24-b96221f2bd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Status" minOccurs="0"/>
                <xsd:element ref="ns2:Camille" minOccurs="0"/>
                <xsd:element ref="ns2:Camille2" minOccurs="0"/>
                <xsd:element ref="ns2:MediaLengthInSeconds" minOccurs="0"/>
                <xsd:element ref="ns2:Tag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ae72f-6d51-4737-8f6b-a9169c366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" ma:index="20" nillable="true" ma:displayName="Status" ma:format="Dropdown" ma:internalName="Status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Camille" ma:index="21" nillable="true" ma:displayName="Camille" ma:format="Dropdown" ma:internalName="Camille">
      <xsd:simpleType>
        <xsd:restriction base="dms:Choice">
          <xsd:enumeration value="Not started"/>
          <xsd:enumeration value="Completed"/>
          <xsd:enumeration value="In progress"/>
        </xsd:restriction>
      </xsd:simpleType>
    </xsd:element>
    <xsd:element name="Camille2" ma:index="22" nillable="true" ma:displayName="Camille 2" ma:format="Dropdown" ma:internalName="Camille2">
      <xsd:simpleType>
        <xsd:restriction base="dms:Choice">
          <xsd:enumeration value="Not started"/>
          <xsd:enumeration value="Completed"/>
          <xsd:enumeration value="In progress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ags" ma:index="24" nillable="true" ma:displayName="Tags" ma:default="{&quot;Extraction&quot;:3,&quot;Tags&quot;:[]}" ma:hidden="true" ma:internalName="Tags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3a5397d5-9543-4dbc-8fcb-23c3638b1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d7b71-671d-4139-9a97-5d1a7380f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b839-8b53-4ddb-9b24-b96221f2bda6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4007c79b-2f87-4290-aeca-53282ace1665}" ma:internalName="TaxCatchAll" ma:showField="CatchAllData" ma:web="a3cd7b71-671d-4139-9a97-5d1a7380f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EC4BD7-DAE5-498D-B09B-B6B23FFD70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7EADE-DCD6-4355-8842-6CB0BF62F4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CD0217-09E6-4092-BE69-8A542942E75F}">
  <ds:schemaRefs>
    <ds:schemaRef ds:uri="http://schemas.microsoft.com/office/2006/metadata/properties"/>
    <ds:schemaRef ds:uri="http://schemas.microsoft.com/office/infopath/2007/PartnerControls"/>
    <ds:schemaRef ds:uri="21e3e75a-a835-4863-a429-dc3bc63482f4"/>
    <ds:schemaRef ds:uri="9de72fd5-5d95-4977-8b15-198fcd76274b"/>
    <ds:schemaRef ds:uri="77b7411e-f82d-47e1-9c32-591005d101b1"/>
  </ds:schemaRefs>
</ds:datastoreItem>
</file>

<file path=customXml/itemProps4.xml><?xml version="1.0" encoding="utf-8"?>
<ds:datastoreItem xmlns:ds="http://schemas.openxmlformats.org/officeDocument/2006/customXml" ds:itemID="{FAF6ACCB-1F99-4EB1-84E2-73B34BAB3D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Pasishnyk | SAIL Ventures</dc:creator>
  <cp:keywords/>
  <dc:description/>
  <cp:lastModifiedBy>Natalia Pasishnyk | SAIL Ventures</cp:lastModifiedBy>
  <cp:revision>425</cp:revision>
  <dcterms:created xsi:type="dcterms:W3CDTF">2023-03-07T02:32:00Z</dcterms:created>
  <dcterms:modified xsi:type="dcterms:W3CDTF">2023-03-31T14:56:00Z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28c61b76-5f8e-423d-808f-31bf4d17143c</vt:lpwstr>
  </property>
  <property fmtid="{D5CDD505-2E9C-101B-9397-08002B2CF9AE}" pid="3" name="ContentTypeId">
    <vt:lpwstr>0x01010000979F12F22C9E4F9273E32F354CEDB7</vt:lpwstr>
  </property>
  <property fmtid="{D5CDD505-2E9C-101B-9397-08002B2CF9AE}" pid="4" name="MediaServiceImageTags">
    <vt:lpwstr/>
  </property>
</Properties>
</file>