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B4A50" w14:textId="3A23F188" w:rsidR="00C86821" w:rsidRPr="00700241" w:rsidRDefault="00AD2C1A" w:rsidP="00715DAF">
      <w:pPr>
        <w:pStyle w:val="Body"/>
        <w:rPr>
          <w:b/>
          <w:bCs w:val="0"/>
          <w:color w:val="385623" w:themeColor="accent6" w:themeShade="80"/>
          <w:sz w:val="32"/>
          <w:szCs w:val="40"/>
        </w:rPr>
      </w:pPr>
      <w:bookmarkStart w:id="0" w:name="_Toc18417956"/>
      <w:r w:rsidRPr="00700241">
        <w:rPr>
          <w:b/>
          <w:bCs w:val="0"/>
          <w:color w:val="385623" w:themeColor="accent6" w:themeShade="80"/>
          <w:sz w:val="32"/>
          <w:szCs w:val="40"/>
        </w:rPr>
        <w:t>KPI FRAMEWORK</w:t>
      </w:r>
      <w:r w:rsidR="00CD64AA" w:rsidRPr="00700241">
        <w:rPr>
          <w:b/>
          <w:bCs w:val="0"/>
          <w:color w:val="385623" w:themeColor="accent6" w:themeShade="80"/>
          <w:sz w:val="32"/>
          <w:szCs w:val="40"/>
        </w:rPr>
        <w:t xml:space="preserve"> </w:t>
      </w:r>
      <w:r w:rsidR="009F2ACE" w:rsidRPr="00700241">
        <w:rPr>
          <w:b/>
          <w:bCs w:val="0"/>
          <w:color w:val="385623" w:themeColor="accent6" w:themeShade="80"/>
          <w:sz w:val="32"/>
          <w:szCs w:val="40"/>
        </w:rPr>
        <w:t xml:space="preserve">- </w:t>
      </w:r>
      <w:r w:rsidR="00CD64AA" w:rsidRPr="00700241">
        <w:rPr>
          <w:b/>
          <w:bCs w:val="0"/>
          <w:color w:val="385623" w:themeColor="accent6" w:themeShade="80"/>
          <w:sz w:val="32"/>
          <w:szCs w:val="40"/>
        </w:rPr>
        <w:t xml:space="preserve">Tier B </w:t>
      </w:r>
      <w:r w:rsidR="009F2ACE" w:rsidRPr="00700241">
        <w:rPr>
          <w:b/>
          <w:bCs w:val="0"/>
          <w:color w:val="385623" w:themeColor="accent6" w:themeShade="80"/>
          <w:sz w:val="32"/>
          <w:szCs w:val="40"/>
        </w:rPr>
        <w:t>– Compilation of KPIs and OPIs</w:t>
      </w:r>
    </w:p>
    <w:p w14:paraId="1A65B64F" w14:textId="77777777" w:rsidR="00417124" w:rsidRPr="00AE61D4" w:rsidRDefault="00417124" w:rsidP="00417124">
      <w:pPr>
        <w:spacing w:before="0" w:after="0"/>
        <w:rPr>
          <w:sz w:val="22"/>
          <w:szCs w:val="22"/>
          <w:lang w:val="en-IE"/>
        </w:rPr>
      </w:pPr>
    </w:p>
    <w:tbl>
      <w:tblPr>
        <w:tblStyle w:val="TableGrid1"/>
        <w:tblW w:w="0" w:type="auto"/>
        <w:jc w:val="center"/>
        <w:tblLook w:val="04A0" w:firstRow="1" w:lastRow="0" w:firstColumn="1" w:lastColumn="0" w:noHBand="0" w:noVBand="1"/>
      </w:tblPr>
      <w:tblGrid>
        <w:gridCol w:w="2547"/>
        <w:gridCol w:w="6121"/>
      </w:tblGrid>
      <w:tr w:rsidR="00417124" w:rsidRPr="00700241" w14:paraId="2F307F15" w14:textId="77777777" w:rsidTr="002A0B87">
        <w:trPr>
          <w:jc w:val="center"/>
        </w:trPr>
        <w:tc>
          <w:tcPr>
            <w:tcW w:w="2547" w:type="dxa"/>
          </w:tcPr>
          <w:p w14:paraId="4B0FC58C" w14:textId="77777777" w:rsidR="00417124" w:rsidRPr="00AE61D4" w:rsidRDefault="00417124" w:rsidP="00417124">
            <w:pPr>
              <w:spacing w:after="0"/>
              <w:rPr>
                <w:rFonts w:ascii="Open Sans" w:hAnsi="Open Sans" w:cs="Open Sans"/>
                <w:b/>
                <w:bCs/>
                <w:lang w:val="en-AU"/>
              </w:rPr>
            </w:pPr>
            <w:r w:rsidRPr="00AE61D4">
              <w:rPr>
                <w:rFonts w:ascii="Open Sans" w:hAnsi="Open Sans" w:cs="Open Sans"/>
                <w:b/>
                <w:bCs/>
                <w:lang w:val="en-AU"/>
              </w:rPr>
              <w:t>Document content</w:t>
            </w:r>
          </w:p>
        </w:tc>
        <w:tc>
          <w:tcPr>
            <w:tcW w:w="6121" w:type="dxa"/>
          </w:tcPr>
          <w:p w14:paraId="371A6553" w14:textId="13FCEF37" w:rsidR="00417124" w:rsidRPr="00AE61D4" w:rsidRDefault="00417124" w:rsidP="00417124">
            <w:pPr>
              <w:spacing w:after="0"/>
              <w:rPr>
                <w:rFonts w:ascii="Open Sans" w:hAnsi="Open Sans" w:cs="Open Sans"/>
                <w:lang w:val="en-AU"/>
              </w:rPr>
            </w:pPr>
            <w:r w:rsidRPr="00AE61D4">
              <w:rPr>
                <w:rFonts w:ascii="Open Sans" w:hAnsi="Open Sans" w:cs="Open Sans"/>
                <w:bCs/>
                <w:lang w:val="en-AU"/>
              </w:rPr>
              <w:t xml:space="preserve">This document is the compilation of Tier </w:t>
            </w:r>
            <w:r w:rsidR="00F75923" w:rsidRPr="00AE61D4">
              <w:rPr>
                <w:rFonts w:ascii="Open Sans" w:hAnsi="Open Sans" w:cs="Open Sans"/>
                <w:bCs/>
                <w:lang w:val="en-AU"/>
              </w:rPr>
              <w:t xml:space="preserve">B </w:t>
            </w:r>
            <w:r w:rsidRPr="00AE61D4">
              <w:rPr>
                <w:rFonts w:ascii="Open Sans" w:hAnsi="Open Sans" w:cs="Open Sans"/>
                <w:bCs/>
                <w:lang w:val="en-AU"/>
              </w:rPr>
              <w:t xml:space="preserve">for </w:t>
            </w:r>
            <w:r w:rsidR="00F75923" w:rsidRPr="00AE61D4">
              <w:rPr>
                <w:rFonts w:ascii="Open Sans" w:hAnsi="Open Sans" w:cs="Open Sans"/>
                <w:bCs/>
                <w:lang w:val="en-AU"/>
              </w:rPr>
              <w:t>all KPIs.</w:t>
            </w:r>
            <w:r w:rsidRPr="00AE61D4">
              <w:rPr>
                <w:rFonts w:ascii="Open Sans" w:hAnsi="Open Sans" w:cs="Open Sans"/>
                <w:bCs/>
                <w:lang w:val="en-AU"/>
              </w:rPr>
              <w:t xml:space="preserve"> </w:t>
            </w:r>
          </w:p>
          <w:p w14:paraId="0A920579" w14:textId="77777777" w:rsidR="00CE39AD" w:rsidRPr="00AE61D4" w:rsidRDefault="00CE39AD" w:rsidP="00CE39AD">
            <w:pPr>
              <w:rPr>
                <w:rFonts w:ascii="Open Sans" w:hAnsi="Open Sans" w:cs="Open Sans"/>
                <w:lang w:val="en-AU"/>
              </w:rPr>
            </w:pPr>
          </w:p>
          <w:p w14:paraId="4ED07BF7" w14:textId="2010D68E" w:rsidR="00417124" w:rsidRPr="00AE61D4" w:rsidRDefault="00CE39AD" w:rsidP="00BC7A00">
            <w:pPr>
              <w:rPr>
                <w:rFonts w:ascii="Open Sans" w:hAnsi="Open Sans" w:cs="Open Sans"/>
                <w:lang w:val="en-AU"/>
              </w:rPr>
            </w:pPr>
            <w:r w:rsidRPr="00700241">
              <w:rPr>
                <w:lang w:val="en-AU"/>
              </w:rPr>
              <w:t>Tier B</w:t>
            </w:r>
            <w:r w:rsidR="00BC7A00" w:rsidRPr="00700241">
              <w:rPr>
                <w:lang w:val="en-AU"/>
              </w:rPr>
              <w:t xml:space="preserve"> documents</w:t>
            </w:r>
            <w:r w:rsidRPr="00700241">
              <w:rPr>
                <w:lang w:val="en-AU"/>
              </w:rPr>
              <w:t>: Publicly available in annual reports (</w:t>
            </w:r>
            <w:r w:rsidRPr="00700241">
              <w:rPr>
                <w:b/>
                <w:bCs/>
                <w:lang w:val="en-AU"/>
              </w:rPr>
              <w:t>1 page</w:t>
            </w:r>
            <w:r w:rsidRPr="00700241">
              <w:rPr>
                <w:lang w:val="en-AU"/>
              </w:rPr>
              <w:t xml:space="preserve">): more detail and description, including key assumptions. This will be included as a standard Annex in Annual </w:t>
            </w:r>
            <w:proofErr w:type="gramStart"/>
            <w:r w:rsidRPr="00700241">
              <w:rPr>
                <w:lang w:val="en-AU"/>
              </w:rPr>
              <w:t>Reports, and</w:t>
            </w:r>
            <w:proofErr w:type="gramEnd"/>
            <w:r w:rsidRPr="00700241">
              <w:rPr>
                <w:lang w:val="en-AU"/>
              </w:rPr>
              <w:t xml:space="preserve"> may be made available on the &amp;Green website.</w:t>
            </w:r>
          </w:p>
        </w:tc>
      </w:tr>
      <w:tr w:rsidR="00417124" w:rsidRPr="00700241" w14:paraId="12FEF0F5" w14:textId="77777777" w:rsidTr="002A0B87">
        <w:trPr>
          <w:jc w:val="center"/>
        </w:trPr>
        <w:tc>
          <w:tcPr>
            <w:tcW w:w="2547" w:type="dxa"/>
          </w:tcPr>
          <w:p w14:paraId="728825FD" w14:textId="77777777" w:rsidR="00417124" w:rsidRPr="00AE61D4" w:rsidRDefault="00417124" w:rsidP="00417124">
            <w:pPr>
              <w:spacing w:after="0"/>
              <w:rPr>
                <w:rFonts w:ascii="Open Sans" w:hAnsi="Open Sans" w:cs="Open Sans"/>
                <w:b/>
                <w:bCs/>
                <w:lang w:val="en-AU"/>
              </w:rPr>
            </w:pPr>
            <w:r w:rsidRPr="00AE61D4">
              <w:rPr>
                <w:rFonts w:ascii="Open Sans" w:hAnsi="Open Sans" w:cs="Open Sans"/>
                <w:b/>
                <w:bCs/>
                <w:lang w:val="en-AU"/>
              </w:rPr>
              <w:t>Document links</w:t>
            </w:r>
          </w:p>
        </w:tc>
        <w:tc>
          <w:tcPr>
            <w:tcW w:w="6121" w:type="dxa"/>
          </w:tcPr>
          <w:p w14:paraId="6C26412F" w14:textId="77777777" w:rsidR="00417124" w:rsidRPr="00AE61D4" w:rsidRDefault="00417124" w:rsidP="00417124">
            <w:pPr>
              <w:spacing w:after="0"/>
              <w:rPr>
                <w:rFonts w:ascii="Open Sans" w:hAnsi="Open Sans" w:cs="Open Sans"/>
                <w:lang w:val="en-AU"/>
              </w:rPr>
            </w:pPr>
            <w:r w:rsidRPr="00AE61D4">
              <w:rPr>
                <w:rFonts w:ascii="Open Sans" w:hAnsi="Open Sans" w:cs="Open Sans"/>
                <w:lang w:val="en-AU"/>
              </w:rPr>
              <w:t>Links to:</w:t>
            </w:r>
          </w:p>
          <w:p w14:paraId="129FA608" w14:textId="77777777" w:rsidR="00417124" w:rsidRPr="00AE61D4" w:rsidRDefault="00417124" w:rsidP="00417124">
            <w:pPr>
              <w:spacing w:after="0"/>
              <w:rPr>
                <w:rFonts w:ascii="Open Sans" w:hAnsi="Open Sans" w:cs="Open Sans"/>
                <w:lang w:val="en-AU"/>
              </w:rPr>
            </w:pPr>
            <w:r w:rsidRPr="00AE61D4">
              <w:rPr>
                <w:rFonts w:ascii="Open Sans" w:hAnsi="Open Sans" w:cs="Open Sans"/>
                <w:lang w:val="en-AU"/>
              </w:rPr>
              <w:t>ESMS Manual</w:t>
            </w:r>
          </w:p>
          <w:p w14:paraId="11B1416C" w14:textId="77777777" w:rsidR="00417124" w:rsidRPr="00AE61D4" w:rsidRDefault="00417124" w:rsidP="00417124">
            <w:pPr>
              <w:spacing w:after="0"/>
              <w:rPr>
                <w:rFonts w:ascii="Open Sans" w:hAnsi="Open Sans" w:cs="Open Sans"/>
                <w:lang w:val="en-AU"/>
              </w:rPr>
            </w:pPr>
            <w:r w:rsidRPr="00AE61D4">
              <w:rPr>
                <w:rFonts w:ascii="Open Sans" w:hAnsi="Open Sans" w:cs="Open Sans"/>
                <w:lang w:val="en-AU"/>
              </w:rPr>
              <w:t>KPI Framework Overview</w:t>
            </w:r>
          </w:p>
          <w:p w14:paraId="4CA5E2E9" w14:textId="6A62D849" w:rsidR="00417124" w:rsidRPr="00AE61D4" w:rsidRDefault="00417124" w:rsidP="00417124">
            <w:pPr>
              <w:spacing w:after="0"/>
              <w:rPr>
                <w:rFonts w:ascii="Open Sans" w:hAnsi="Open Sans" w:cs="Open Sans"/>
                <w:lang w:val="en-AU"/>
              </w:rPr>
            </w:pPr>
            <w:r w:rsidRPr="00AE61D4">
              <w:rPr>
                <w:rFonts w:ascii="Open Sans" w:hAnsi="Open Sans" w:cs="Open Sans"/>
                <w:lang w:val="en-AU"/>
              </w:rPr>
              <w:t>Tiers (A, B</w:t>
            </w:r>
            <w:r w:rsidR="006E2AA8" w:rsidRPr="00AE61D4">
              <w:rPr>
                <w:rFonts w:ascii="Open Sans" w:hAnsi="Open Sans" w:cs="Open Sans"/>
                <w:lang w:val="en-AU"/>
              </w:rPr>
              <w:t>, C</w:t>
            </w:r>
            <w:r w:rsidRPr="00AE61D4">
              <w:rPr>
                <w:rFonts w:ascii="Open Sans" w:hAnsi="Open Sans" w:cs="Open Sans"/>
                <w:lang w:val="en-AU"/>
              </w:rPr>
              <w:t xml:space="preserve"> and D</w:t>
            </w:r>
            <w:r w:rsidR="006E2AA8" w:rsidRPr="00AE61D4">
              <w:rPr>
                <w:rFonts w:ascii="Open Sans" w:hAnsi="Open Sans" w:cs="Open Sans"/>
                <w:lang w:val="en-AU"/>
              </w:rPr>
              <w:t xml:space="preserve"> as applicable</w:t>
            </w:r>
            <w:r w:rsidRPr="00AE61D4">
              <w:rPr>
                <w:rFonts w:ascii="Open Sans" w:hAnsi="Open Sans" w:cs="Open Sans"/>
                <w:lang w:val="en-AU"/>
              </w:rPr>
              <w:t xml:space="preserve">) of </w:t>
            </w:r>
            <w:r w:rsidR="006E2AA8" w:rsidRPr="00AE61D4">
              <w:rPr>
                <w:rFonts w:ascii="Open Sans" w:hAnsi="Open Sans" w:cs="Open Sans"/>
                <w:lang w:val="en-AU"/>
              </w:rPr>
              <w:t xml:space="preserve">each of the </w:t>
            </w:r>
            <w:r w:rsidRPr="00AE61D4">
              <w:rPr>
                <w:rFonts w:ascii="Open Sans" w:hAnsi="Open Sans" w:cs="Open Sans"/>
                <w:lang w:val="en-AU"/>
              </w:rPr>
              <w:t>KPI</w:t>
            </w:r>
            <w:r w:rsidR="006E2AA8" w:rsidRPr="00AE61D4">
              <w:rPr>
                <w:rFonts w:ascii="Open Sans" w:hAnsi="Open Sans" w:cs="Open Sans"/>
                <w:lang w:val="en-AU"/>
              </w:rPr>
              <w:t>s</w:t>
            </w:r>
            <w:r w:rsidRPr="00AE61D4">
              <w:rPr>
                <w:rFonts w:ascii="Open Sans" w:hAnsi="Open Sans" w:cs="Open Sans"/>
                <w:lang w:val="en-AU"/>
              </w:rPr>
              <w:t xml:space="preserve">. </w:t>
            </w:r>
          </w:p>
        </w:tc>
      </w:tr>
      <w:tr w:rsidR="00417124" w:rsidRPr="00700241" w14:paraId="3904790F" w14:textId="77777777" w:rsidTr="002A0B87">
        <w:trPr>
          <w:jc w:val="center"/>
        </w:trPr>
        <w:tc>
          <w:tcPr>
            <w:tcW w:w="2547" w:type="dxa"/>
          </w:tcPr>
          <w:p w14:paraId="596E9CCD" w14:textId="77777777" w:rsidR="00417124" w:rsidRPr="00AE61D4" w:rsidRDefault="00417124" w:rsidP="00417124">
            <w:pPr>
              <w:spacing w:after="0"/>
              <w:rPr>
                <w:rFonts w:ascii="Open Sans" w:hAnsi="Open Sans" w:cs="Open Sans"/>
                <w:b/>
                <w:bCs/>
                <w:lang w:val="en-AU"/>
              </w:rPr>
            </w:pPr>
            <w:r w:rsidRPr="00AE61D4">
              <w:rPr>
                <w:rFonts w:ascii="Open Sans" w:hAnsi="Open Sans" w:cs="Open Sans"/>
                <w:b/>
                <w:bCs/>
                <w:lang w:val="en-AU"/>
              </w:rPr>
              <w:t>Created by</w:t>
            </w:r>
          </w:p>
        </w:tc>
        <w:tc>
          <w:tcPr>
            <w:tcW w:w="6121" w:type="dxa"/>
          </w:tcPr>
          <w:p w14:paraId="03824E5A" w14:textId="5347D608" w:rsidR="00417124" w:rsidRPr="00AE61D4" w:rsidRDefault="006E770D" w:rsidP="00417124">
            <w:pPr>
              <w:spacing w:after="0"/>
              <w:rPr>
                <w:rFonts w:ascii="Open Sans" w:hAnsi="Open Sans" w:cs="Open Sans"/>
                <w:lang w:val="en-AU"/>
              </w:rPr>
            </w:pPr>
            <w:r w:rsidRPr="00AE61D4">
              <w:rPr>
                <w:rFonts w:ascii="Open Sans" w:hAnsi="Open Sans" w:cs="Open Sans"/>
                <w:lang w:val="en-AU"/>
              </w:rPr>
              <w:t>Adrian Lain</w:t>
            </w:r>
          </w:p>
        </w:tc>
      </w:tr>
      <w:tr w:rsidR="00417124" w:rsidRPr="00700241" w14:paraId="612F6720" w14:textId="77777777" w:rsidTr="002A0B87">
        <w:trPr>
          <w:jc w:val="center"/>
        </w:trPr>
        <w:tc>
          <w:tcPr>
            <w:tcW w:w="2547" w:type="dxa"/>
          </w:tcPr>
          <w:p w14:paraId="7BA50E49" w14:textId="77777777" w:rsidR="00417124" w:rsidRPr="00AE61D4" w:rsidRDefault="00417124" w:rsidP="00417124">
            <w:pPr>
              <w:spacing w:after="0"/>
              <w:rPr>
                <w:rFonts w:ascii="Open Sans" w:hAnsi="Open Sans" w:cs="Open Sans"/>
                <w:b/>
                <w:bCs/>
                <w:lang w:val="en-AU"/>
              </w:rPr>
            </w:pPr>
            <w:r w:rsidRPr="00AE61D4">
              <w:rPr>
                <w:rFonts w:ascii="Open Sans" w:hAnsi="Open Sans" w:cs="Open Sans"/>
                <w:b/>
                <w:bCs/>
                <w:lang w:val="en-AU"/>
              </w:rPr>
              <w:t>Reviewed by</w:t>
            </w:r>
          </w:p>
        </w:tc>
        <w:tc>
          <w:tcPr>
            <w:tcW w:w="6121" w:type="dxa"/>
          </w:tcPr>
          <w:p w14:paraId="0621FE8F" w14:textId="3EDF311A" w:rsidR="00417124" w:rsidRPr="00AE61D4" w:rsidRDefault="006E770D" w:rsidP="00417124">
            <w:pPr>
              <w:spacing w:after="0"/>
              <w:rPr>
                <w:rFonts w:ascii="Open Sans" w:hAnsi="Open Sans" w:cs="Open Sans"/>
                <w:lang w:val="en-AU"/>
              </w:rPr>
            </w:pPr>
            <w:r w:rsidRPr="00AE61D4">
              <w:rPr>
                <w:rFonts w:ascii="Open Sans" w:hAnsi="Open Sans" w:cs="Open Sans"/>
                <w:lang w:val="en-AU"/>
              </w:rPr>
              <w:t>Matt Spannagle</w:t>
            </w:r>
          </w:p>
        </w:tc>
      </w:tr>
      <w:tr w:rsidR="00417124" w:rsidRPr="00700241" w14:paraId="128D27FF" w14:textId="77777777" w:rsidTr="002A0B87">
        <w:trPr>
          <w:jc w:val="center"/>
        </w:trPr>
        <w:tc>
          <w:tcPr>
            <w:tcW w:w="2547" w:type="dxa"/>
          </w:tcPr>
          <w:p w14:paraId="729412C9" w14:textId="77777777" w:rsidR="00417124" w:rsidRPr="00AE61D4" w:rsidRDefault="00417124" w:rsidP="00417124">
            <w:pPr>
              <w:spacing w:after="0"/>
              <w:rPr>
                <w:rFonts w:ascii="Open Sans" w:hAnsi="Open Sans" w:cs="Open Sans"/>
                <w:b/>
                <w:bCs/>
                <w:lang w:val="en-AU"/>
              </w:rPr>
            </w:pPr>
            <w:r w:rsidRPr="00AE61D4">
              <w:rPr>
                <w:rFonts w:ascii="Open Sans" w:hAnsi="Open Sans" w:cs="Open Sans"/>
                <w:b/>
                <w:bCs/>
                <w:lang w:val="en-AU"/>
              </w:rPr>
              <w:t>Version date</w:t>
            </w:r>
          </w:p>
        </w:tc>
        <w:tc>
          <w:tcPr>
            <w:tcW w:w="6121" w:type="dxa"/>
          </w:tcPr>
          <w:p w14:paraId="35A192E5" w14:textId="3C828F30" w:rsidR="00417124" w:rsidRPr="00AE61D4" w:rsidRDefault="00417124" w:rsidP="00417124">
            <w:pPr>
              <w:spacing w:after="0"/>
              <w:rPr>
                <w:rFonts w:ascii="Open Sans" w:hAnsi="Open Sans" w:cs="Open Sans"/>
                <w:b/>
                <w:bCs/>
                <w:lang w:val="en-AU"/>
              </w:rPr>
            </w:pPr>
            <w:r w:rsidRPr="007235DC">
              <w:rPr>
                <w:lang w:val="en-AU"/>
              </w:rPr>
              <w:fldChar w:fldCharType="begin"/>
            </w:r>
            <w:r w:rsidRPr="00AE61D4">
              <w:rPr>
                <w:rFonts w:ascii="Open Sans" w:hAnsi="Open Sans" w:cs="Open Sans"/>
                <w:lang w:val="en-AU"/>
              </w:rPr>
              <w:instrText xml:space="preserve"> DATE \@ "d/MM/yyyy" </w:instrText>
            </w:r>
            <w:r w:rsidRPr="007235DC">
              <w:rPr>
                <w:lang w:val="en-AU"/>
              </w:rPr>
              <w:fldChar w:fldCharType="separate"/>
            </w:r>
            <w:r w:rsidR="003C0808">
              <w:rPr>
                <w:noProof/>
                <w:lang w:val="en-AU"/>
              </w:rPr>
              <w:t>2022</w:t>
            </w:r>
            <w:r w:rsidRPr="007235DC">
              <w:rPr>
                <w:lang w:val="en-AU"/>
              </w:rPr>
              <w:fldChar w:fldCharType="end"/>
            </w:r>
          </w:p>
        </w:tc>
      </w:tr>
    </w:tbl>
    <w:p w14:paraId="0FBAD503" w14:textId="77777777" w:rsidR="00917EF5" w:rsidRPr="007235DC" w:rsidRDefault="00917EF5" w:rsidP="00417124">
      <w:pPr>
        <w:spacing w:before="0" w:after="0"/>
        <w:rPr>
          <w:b/>
          <w:bCs/>
          <w:sz w:val="22"/>
          <w:szCs w:val="22"/>
          <w:lang w:val="en-AU"/>
        </w:rPr>
      </w:pPr>
    </w:p>
    <w:sdt>
      <w:sdtPr>
        <w:rPr>
          <w:rFonts w:eastAsiaTheme="minorHAnsi" w:cs="Open Sans"/>
          <w:b w:val="0"/>
          <w:caps w:val="0"/>
          <w:color w:val="auto"/>
          <w:sz w:val="20"/>
          <w:szCs w:val="24"/>
        </w:rPr>
        <w:id w:val="1187025756"/>
        <w:docPartObj>
          <w:docPartGallery w:val="Table of Contents"/>
          <w:docPartUnique/>
        </w:docPartObj>
      </w:sdtPr>
      <w:sdtEndPr>
        <w:rPr>
          <w:bCs/>
          <w:noProof/>
        </w:rPr>
      </w:sdtEndPr>
      <w:sdtContent>
        <w:p w14:paraId="1FA383A9" w14:textId="3A4926C1" w:rsidR="00CD64AA" w:rsidRPr="00700241" w:rsidRDefault="00CD64AA">
          <w:pPr>
            <w:pStyle w:val="TOCHeading"/>
            <w:rPr>
              <w:rFonts w:cs="Open Sans"/>
            </w:rPr>
          </w:pPr>
          <w:r w:rsidRPr="00700241">
            <w:rPr>
              <w:rFonts w:cs="Open Sans"/>
            </w:rPr>
            <w:t>Contents</w:t>
          </w:r>
        </w:p>
        <w:p w14:paraId="71842E79" w14:textId="56626C6B" w:rsidR="00221D19" w:rsidRDefault="00CD64AA">
          <w:pPr>
            <w:pStyle w:val="TOC1"/>
            <w:rPr>
              <w:rFonts w:asciiTheme="minorHAnsi" w:eastAsiaTheme="minorEastAsia" w:hAnsiTheme="minorHAnsi" w:cstheme="minorBidi"/>
              <w:b w:val="0"/>
              <w:bCs w:val="0"/>
              <w:caps w:val="0"/>
              <w:color w:val="auto"/>
              <w:sz w:val="22"/>
              <w:szCs w:val="22"/>
              <w:lang w:val="en-AU" w:eastAsia="en-AU"/>
            </w:rPr>
          </w:pPr>
          <w:r w:rsidRPr="00700241">
            <w:fldChar w:fldCharType="begin"/>
          </w:r>
          <w:r w:rsidRPr="00700241">
            <w:instrText xml:space="preserve"> TOC \o "1-3" \h \z \u </w:instrText>
          </w:r>
          <w:r w:rsidRPr="00700241">
            <w:fldChar w:fldCharType="separate"/>
          </w:r>
          <w:hyperlink w:anchor="_Toc103271278" w:history="1">
            <w:r w:rsidR="00221D19" w:rsidRPr="008D4DA5">
              <w:rPr>
                <w:rStyle w:val="Hyperlink"/>
              </w:rPr>
              <w:t>Introduction</w:t>
            </w:r>
            <w:r w:rsidR="00221D19">
              <w:rPr>
                <w:webHidden/>
              </w:rPr>
              <w:tab/>
            </w:r>
            <w:r w:rsidR="00221D19">
              <w:rPr>
                <w:webHidden/>
              </w:rPr>
              <w:fldChar w:fldCharType="begin"/>
            </w:r>
            <w:r w:rsidR="00221D19">
              <w:rPr>
                <w:webHidden/>
              </w:rPr>
              <w:instrText xml:space="preserve"> PAGEREF _Toc103271278 \h </w:instrText>
            </w:r>
            <w:r w:rsidR="00221D19">
              <w:rPr>
                <w:webHidden/>
              </w:rPr>
            </w:r>
            <w:r w:rsidR="00221D19">
              <w:rPr>
                <w:webHidden/>
              </w:rPr>
              <w:fldChar w:fldCharType="separate"/>
            </w:r>
            <w:r w:rsidR="00221D19">
              <w:rPr>
                <w:webHidden/>
              </w:rPr>
              <w:t>3</w:t>
            </w:r>
            <w:r w:rsidR="00221D19">
              <w:rPr>
                <w:webHidden/>
              </w:rPr>
              <w:fldChar w:fldCharType="end"/>
            </w:r>
          </w:hyperlink>
        </w:p>
        <w:p w14:paraId="76F7D3E3" w14:textId="73A2DC18" w:rsidR="00221D19" w:rsidRDefault="007B3985">
          <w:pPr>
            <w:pStyle w:val="TOC1"/>
            <w:rPr>
              <w:rFonts w:asciiTheme="minorHAnsi" w:eastAsiaTheme="minorEastAsia" w:hAnsiTheme="minorHAnsi" w:cstheme="minorBidi"/>
              <w:b w:val="0"/>
              <w:bCs w:val="0"/>
              <w:caps w:val="0"/>
              <w:color w:val="auto"/>
              <w:sz w:val="22"/>
              <w:szCs w:val="22"/>
              <w:lang w:val="en-AU" w:eastAsia="en-AU"/>
            </w:rPr>
          </w:pPr>
          <w:hyperlink w:anchor="_Toc103271279" w:history="1">
            <w:r w:rsidR="00221D19" w:rsidRPr="008D4DA5">
              <w:rPr>
                <w:rStyle w:val="Hyperlink"/>
              </w:rPr>
              <w:t>Summary of KPIs (Tier A)</w:t>
            </w:r>
            <w:r w:rsidR="00221D19">
              <w:rPr>
                <w:webHidden/>
              </w:rPr>
              <w:tab/>
            </w:r>
            <w:r w:rsidR="00221D19">
              <w:rPr>
                <w:webHidden/>
              </w:rPr>
              <w:fldChar w:fldCharType="begin"/>
            </w:r>
            <w:r w:rsidR="00221D19">
              <w:rPr>
                <w:webHidden/>
              </w:rPr>
              <w:instrText xml:space="preserve"> PAGEREF _Toc103271279 \h </w:instrText>
            </w:r>
            <w:r w:rsidR="00221D19">
              <w:rPr>
                <w:webHidden/>
              </w:rPr>
            </w:r>
            <w:r w:rsidR="00221D19">
              <w:rPr>
                <w:webHidden/>
              </w:rPr>
              <w:fldChar w:fldCharType="separate"/>
            </w:r>
            <w:r w:rsidR="00221D19">
              <w:rPr>
                <w:webHidden/>
              </w:rPr>
              <w:t>4</w:t>
            </w:r>
            <w:r w:rsidR="00221D19">
              <w:rPr>
                <w:webHidden/>
              </w:rPr>
              <w:fldChar w:fldCharType="end"/>
            </w:r>
          </w:hyperlink>
        </w:p>
        <w:p w14:paraId="1C889617" w14:textId="16FC7B3B" w:rsidR="00221D19" w:rsidRDefault="007B3985">
          <w:pPr>
            <w:pStyle w:val="TOC1"/>
            <w:rPr>
              <w:rFonts w:asciiTheme="minorHAnsi" w:eastAsiaTheme="minorEastAsia" w:hAnsiTheme="minorHAnsi" w:cstheme="minorBidi"/>
              <w:b w:val="0"/>
              <w:bCs w:val="0"/>
              <w:caps w:val="0"/>
              <w:color w:val="auto"/>
              <w:sz w:val="22"/>
              <w:szCs w:val="22"/>
              <w:lang w:val="en-AU" w:eastAsia="en-AU"/>
            </w:rPr>
          </w:pPr>
          <w:hyperlink w:anchor="_Toc103271280" w:history="1">
            <w:r w:rsidR="00221D19" w:rsidRPr="008D4DA5">
              <w:rPr>
                <w:rStyle w:val="Hyperlink"/>
              </w:rPr>
              <w:t>STRATEGIC: KPI 1 – Transformational Change</w:t>
            </w:r>
            <w:r w:rsidR="00221D19">
              <w:rPr>
                <w:webHidden/>
              </w:rPr>
              <w:tab/>
            </w:r>
            <w:r w:rsidR="00221D19">
              <w:rPr>
                <w:webHidden/>
              </w:rPr>
              <w:fldChar w:fldCharType="begin"/>
            </w:r>
            <w:r w:rsidR="00221D19">
              <w:rPr>
                <w:webHidden/>
              </w:rPr>
              <w:instrText xml:space="preserve"> PAGEREF _Toc103271280 \h </w:instrText>
            </w:r>
            <w:r w:rsidR="00221D19">
              <w:rPr>
                <w:webHidden/>
              </w:rPr>
            </w:r>
            <w:r w:rsidR="00221D19">
              <w:rPr>
                <w:webHidden/>
              </w:rPr>
              <w:fldChar w:fldCharType="separate"/>
            </w:r>
            <w:r w:rsidR="00221D19">
              <w:rPr>
                <w:webHidden/>
              </w:rPr>
              <w:t>5</w:t>
            </w:r>
            <w:r w:rsidR="00221D19">
              <w:rPr>
                <w:webHidden/>
              </w:rPr>
              <w:fldChar w:fldCharType="end"/>
            </w:r>
          </w:hyperlink>
        </w:p>
        <w:p w14:paraId="3EF2B61D" w14:textId="4C507639" w:rsidR="00221D19" w:rsidRDefault="007B3985">
          <w:pPr>
            <w:pStyle w:val="TOC2"/>
            <w:rPr>
              <w:rFonts w:asciiTheme="minorHAnsi" w:hAnsiTheme="minorHAnsi" w:cstheme="minorBidi"/>
              <w:sz w:val="22"/>
              <w:szCs w:val="22"/>
              <w:lang w:val="en-AU" w:eastAsia="en-AU"/>
            </w:rPr>
          </w:pPr>
          <w:hyperlink w:anchor="_Toc103271281" w:history="1">
            <w:r w:rsidR="00221D19" w:rsidRPr="008D4DA5">
              <w:rPr>
                <w:rStyle w:val="Hyperlink"/>
              </w:rPr>
              <w:t>OPI1.1 System Change</w:t>
            </w:r>
            <w:r w:rsidR="00221D19">
              <w:rPr>
                <w:webHidden/>
              </w:rPr>
              <w:tab/>
            </w:r>
            <w:r w:rsidR="00221D19">
              <w:rPr>
                <w:webHidden/>
              </w:rPr>
              <w:fldChar w:fldCharType="begin"/>
            </w:r>
            <w:r w:rsidR="00221D19">
              <w:rPr>
                <w:webHidden/>
              </w:rPr>
              <w:instrText xml:space="preserve"> PAGEREF _Toc103271281 \h </w:instrText>
            </w:r>
            <w:r w:rsidR="00221D19">
              <w:rPr>
                <w:webHidden/>
              </w:rPr>
            </w:r>
            <w:r w:rsidR="00221D19">
              <w:rPr>
                <w:webHidden/>
              </w:rPr>
              <w:fldChar w:fldCharType="separate"/>
            </w:r>
            <w:r w:rsidR="00221D19">
              <w:rPr>
                <w:webHidden/>
              </w:rPr>
              <w:t>8</w:t>
            </w:r>
            <w:r w:rsidR="00221D19">
              <w:rPr>
                <w:webHidden/>
              </w:rPr>
              <w:fldChar w:fldCharType="end"/>
            </w:r>
          </w:hyperlink>
        </w:p>
        <w:p w14:paraId="00415480" w14:textId="2304F311" w:rsidR="00221D19" w:rsidRDefault="007B3985">
          <w:pPr>
            <w:pStyle w:val="TOC2"/>
            <w:rPr>
              <w:rFonts w:asciiTheme="minorHAnsi" w:hAnsiTheme="minorHAnsi" w:cstheme="minorBidi"/>
              <w:sz w:val="22"/>
              <w:szCs w:val="22"/>
              <w:lang w:val="en-AU" w:eastAsia="en-AU"/>
            </w:rPr>
          </w:pPr>
          <w:hyperlink w:anchor="_Toc103271282" w:history="1">
            <w:r w:rsidR="00221D19" w:rsidRPr="008D4DA5">
              <w:rPr>
                <w:rStyle w:val="Hyperlink"/>
              </w:rPr>
              <w:t>OPI1.2 Scale</w:t>
            </w:r>
            <w:r w:rsidR="00221D19">
              <w:rPr>
                <w:webHidden/>
              </w:rPr>
              <w:tab/>
            </w:r>
            <w:r w:rsidR="00221D19">
              <w:rPr>
                <w:webHidden/>
              </w:rPr>
              <w:fldChar w:fldCharType="begin"/>
            </w:r>
            <w:r w:rsidR="00221D19">
              <w:rPr>
                <w:webHidden/>
              </w:rPr>
              <w:instrText xml:space="preserve"> PAGEREF _Toc103271282 \h </w:instrText>
            </w:r>
            <w:r w:rsidR="00221D19">
              <w:rPr>
                <w:webHidden/>
              </w:rPr>
            </w:r>
            <w:r w:rsidR="00221D19">
              <w:rPr>
                <w:webHidden/>
              </w:rPr>
              <w:fldChar w:fldCharType="separate"/>
            </w:r>
            <w:r w:rsidR="00221D19">
              <w:rPr>
                <w:webHidden/>
              </w:rPr>
              <w:t>8</w:t>
            </w:r>
            <w:r w:rsidR="00221D19">
              <w:rPr>
                <w:webHidden/>
              </w:rPr>
              <w:fldChar w:fldCharType="end"/>
            </w:r>
          </w:hyperlink>
        </w:p>
        <w:p w14:paraId="65535D6F" w14:textId="6FEF73C0" w:rsidR="00221D19" w:rsidRDefault="007B3985">
          <w:pPr>
            <w:pStyle w:val="TOC2"/>
            <w:rPr>
              <w:rFonts w:asciiTheme="minorHAnsi" w:hAnsiTheme="minorHAnsi" w:cstheme="minorBidi"/>
              <w:sz w:val="22"/>
              <w:szCs w:val="22"/>
              <w:lang w:val="en-AU" w:eastAsia="en-AU"/>
            </w:rPr>
          </w:pPr>
          <w:hyperlink w:anchor="_Toc103271283" w:history="1">
            <w:r w:rsidR="00221D19" w:rsidRPr="008D4DA5">
              <w:rPr>
                <w:rStyle w:val="Hyperlink"/>
              </w:rPr>
              <w:t>OPI1.3 Durability</w:t>
            </w:r>
            <w:r w:rsidR="00221D19">
              <w:rPr>
                <w:webHidden/>
              </w:rPr>
              <w:tab/>
            </w:r>
            <w:r w:rsidR="00221D19">
              <w:rPr>
                <w:webHidden/>
              </w:rPr>
              <w:fldChar w:fldCharType="begin"/>
            </w:r>
            <w:r w:rsidR="00221D19">
              <w:rPr>
                <w:webHidden/>
              </w:rPr>
              <w:instrText xml:space="preserve"> PAGEREF _Toc103271283 \h </w:instrText>
            </w:r>
            <w:r w:rsidR="00221D19">
              <w:rPr>
                <w:webHidden/>
              </w:rPr>
            </w:r>
            <w:r w:rsidR="00221D19">
              <w:rPr>
                <w:webHidden/>
              </w:rPr>
              <w:fldChar w:fldCharType="separate"/>
            </w:r>
            <w:r w:rsidR="00221D19">
              <w:rPr>
                <w:webHidden/>
              </w:rPr>
              <w:t>8</w:t>
            </w:r>
            <w:r w:rsidR="00221D19">
              <w:rPr>
                <w:webHidden/>
              </w:rPr>
              <w:fldChar w:fldCharType="end"/>
            </w:r>
          </w:hyperlink>
        </w:p>
        <w:p w14:paraId="4A34483D" w14:textId="18B9746B" w:rsidR="00221D19" w:rsidRDefault="007B3985">
          <w:pPr>
            <w:pStyle w:val="TOC1"/>
            <w:rPr>
              <w:rFonts w:asciiTheme="minorHAnsi" w:eastAsiaTheme="minorEastAsia" w:hAnsiTheme="minorHAnsi" w:cstheme="minorBidi"/>
              <w:b w:val="0"/>
              <w:bCs w:val="0"/>
              <w:caps w:val="0"/>
              <w:color w:val="auto"/>
              <w:sz w:val="22"/>
              <w:szCs w:val="22"/>
              <w:lang w:val="en-AU" w:eastAsia="en-AU"/>
            </w:rPr>
          </w:pPr>
          <w:hyperlink w:anchor="_Toc103271284" w:history="1">
            <w:r w:rsidR="00221D19" w:rsidRPr="008D4DA5">
              <w:rPr>
                <w:rStyle w:val="Hyperlink"/>
              </w:rPr>
              <w:t>FOREST AND CLIMATE: KPI 2 – Forest Protected</w:t>
            </w:r>
            <w:r w:rsidR="00221D19">
              <w:rPr>
                <w:webHidden/>
              </w:rPr>
              <w:tab/>
            </w:r>
            <w:r w:rsidR="00221D19">
              <w:rPr>
                <w:webHidden/>
              </w:rPr>
              <w:fldChar w:fldCharType="begin"/>
            </w:r>
            <w:r w:rsidR="00221D19">
              <w:rPr>
                <w:webHidden/>
              </w:rPr>
              <w:instrText xml:space="preserve"> PAGEREF _Toc103271284 \h </w:instrText>
            </w:r>
            <w:r w:rsidR="00221D19">
              <w:rPr>
                <w:webHidden/>
              </w:rPr>
            </w:r>
            <w:r w:rsidR="00221D19">
              <w:rPr>
                <w:webHidden/>
              </w:rPr>
              <w:fldChar w:fldCharType="separate"/>
            </w:r>
            <w:r w:rsidR="00221D19">
              <w:rPr>
                <w:webHidden/>
              </w:rPr>
              <w:t>9</w:t>
            </w:r>
            <w:r w:rsidR="00221D19">
              <w:rPr>
                <w:webHidden/>
              </w:rPr>
              <w:fldChar w:fldCharType="end"/>
            </w:r>
          </w:hyperlink>
        </w:p>
        <w:p w14:paraId="52C41703" w14:textId="45F09F99" w:rsidR="00221D19" w:rsidRDefault="007B3985">
          <w:pPr>
            <w:pStyle w:val="TOC2"/>
            <w:rPr>
              <w:rFonts w:asciiTheme="minorHAnsi" w:hAnsiTheme="minorHAnsi" w:cstheme="minorBidi"/>
              <w:sz w:val="22"/>
              <w:szCs w:val="22"/>
              <w:lang w:val="en-AU" w:eastAsia="en-AU"/>
            </w:rPr>
          </w:pPr>
          <w:hyperlink w:anchor="_Toc103271285" w:history="1">
            <w:r w:rsidR="00221D19" w:rsidRPr="008D4DA5">
              <w:rPr>
                <w:rStyle w:val="Hyperlink"/>
              </w:rPr>
              <w:t>OPI2.1 Forest Conserved</w:t>
            </w:r>
            <w:r w:rsidR="00221D19">
              <w:rPr>
                <w:webHidden/>
              </w:rPr>
              <w:tab/>
            </w:r>
            <w:r w:rsidR="00221D19">
              <w:rPr>
                <w:webHidden/>
              </w:rPr>
              <w:fldChar w:fldCharType="begin"/>
            </w:r>
            <w:r w:rsidR="00221D19">
              <w:rPr>
                <w:webHidden/>
              </w:rPr>
              <w:instrText xml:space="preserve"> PAGEREF _Toc103271285 \h </w:instrText>
            </w:r>
            <w:r w:rsidR="00221D19">
              <w:rPr>
                <w:webHidden/>
              </w:rPr>
            </w:r>
            <w:r w:rsidR="00221D19">
              <w:rPr>
                <w:webHidden/>
              </w:rPr>
              <w:fldChar w:fldCharType="separate"/>
            </w:r>
            <w:r w:rsidR="00221D19">
              <w:rPr>
                <w:webHidden/>
              </w:rPr>
              <w:t>9</w:t>
            </w:r>
            <w:r w:rsidR="00221D19">
              <w:rPr>
                <w:webHidden/>
              </w:rPr>
              <w:fldChar w:fldCharType="end"/>
            </w:r>
          </w:hyperlink>
        </w:p>
        <w:p w14:paraId="47B3B989" w14:textId="1962C532" w:rsidR="00221D19" w:rsidRDefault="007B3985">
          <w:pPr>
            <w:pStyle w:val="TOC2"/>
            <w:rPr>
              <w:rFonts w:asciiTheme="minorHAnsi" w:hAnsiTheme="minorHAnsi" w:cstheme="minorBidi"/>
              <w:sz w:val="22"/>
              <w:szCs w:val="22"/>
              <w:lang w:val="en-AU" w:eastAsia="en-AU"/>
            </w:rPr>
          </w:pPr>
          <w:hyperlink w:anchor="_Toc103271286" w:history="1">
            <w:r w:rsidR="00221D19" w:rsidRPr="008D4DA5">
              <w:rPr>
                <w:rStyle w:val="Hyperlink"/>
              </w:rPr>
              <w:t>OPI2.2 Forest Restored</w:t>
            </w:r>
            <w:r w:rsidR="00221D19">
              <w:rPr>
                <w:webHidden/>
              </w:rPr>
              <w:tab/>
            </w:r>
            <w:r w:rsidR="00221D19">
              <w:rPr>
                <w:webHidden/>
              </w:rPr>
              <w:fldChar w:fldCharType="begin"/>
            </w:r>
            <w:r w:rsidR="00221D19">
              <w:rPr>
                <w:webHidden/>
              </w:rPr>
              <w:instrText xml:space="preserve"> PAGEREF _Toc103271286 \h </w:instrText>
            </w:r>
            <w:r w:rsidR="00221D19">
              <w:rPr>
                <w:webHidden/>
              </w:rPr>
            </w:r>
            <w:r w:rsidR="00221D19">
              <w:rPr>
                <w:webHidden/>
              </w:rPr>
              <w:fldChar w:fldCharType="separate"/>
            </w:r>
            <w:r w:rsidR="00221D19">
              <w:rPr>
                <w:webHidden/>
              </w:rPr>
              <w:t>9</w:t>
            </w:r>
            <w:r w:rsidR="00221D19">
              <w:rPr>
                <w:webHidden/>
              </w:rPr>
              <w:fldChar w:fldCharType="end"/>
            </w:r>
          </w:hyperlink>
        </w:p>
        <w:p w14:paraId="54E1A8BE" w14:textId="64050A28" w:rsidR="00221D19" w:rsidRDefault="007B3985">
          <w:pPr>
            <w:pStyle w:val="TOC1"/>
            <w:rPr>
              <w:rFonts w:asciiTheme="minorHAnsi" w:eastAsiaTheme="minorEastAsia" w:hAnsiTheme="minorHAnsi" w:cstheme="minorBidi"/>
              <w:b w:val="0"/>
              <w:bCs w:val="0"/>
              <w:caps w:val="0"/>
              <w:color w:val="auto"/>
              <w:sz w:val="22"/>
              <w:szCs w:val="22"/>
              <w:lang w:val="en-AU" w:eastAsia="en-AU"/>
            </w:rPr>
          </w:pPr>
          <w:hyperlink w:anchor="_Toc103271287" w:history="1">
            <w:r w:rsidR="00221D19" w:rsidRPr="008D4DA5">
              <w:rPr>
                <w:rStyle w:val="Hyperlink"/>
              </w:rPr>
              <w:t>FOREST AND CLIMATE: KPI 3 - CLIMATE BENEFITS</w:t>
            </w:r>
            <w:r w:rsidR="00221D19">
              <w:rPr>
                <w:webHidden/>
              </w:rPr>
              <w:tab/>
            </w:r>
            <w:r w:rsidR="00221D19">
              <w:rPr>
                <w:webHidden/>
              </w:rPr>
              <w:fldChar w:fldCharType="begin"/>
            </w:r>
            <w:r w:rsidR="00221D19">
              <w:rPr>
                <w:webHidden/>
              </w:rPr>
              <w:instrText xml:space="preserve"> PAGEREF _Toc103271287 \h </w:instrText>
            </w:r>
            <w:r w:rsidR="00221D19">
              <w:rPr>
                <w:webHidden/>
              </w:rPr>
            </w:r>
            <w:r w:rsidR="00221D19">
              <w:rPr>
                <w:webHidden/>
              </w:rPr>
              <w:fldChar w:fldCharType="separate"/>
            </w:r>
            <w:r w:rsidR="00221D19">
              <w:rPr>
                <w:webHidden/>
              </w:rPr>
              <w:t>12</w:t>
            </w:r>
            <w:r w:rsidR="00221D19">
              <w:rPr>
                <w:webHidden/>
              </w:rPr>
              <w:fldChar w:fldCharType="end"/>
            </w:r>
          </w:hyperlink>
        </w:p>
        <w:p w14:paraId="7013510B" w14:textId="70573B65" w:rsidR="00221D19" w:rsidRDefault="007B3985">
          <w:pPr>
            <w:pStyle w:val="TOC2"/>
            <w:rPr>
              <w:rFonts w:asciiTheme="minorHAnsi" w:hAnsiTheme="minorHAnsi" w:cstheme="minorBidi"/>
              <w:sz w:val="22"/>
              <w:szCs w:val="22"/>
              <w:lang w:val="en-AU" w:eastAsia="en-AU"/>
            </w:rPr>
          </w:pPr>
          <w:hyperlink w:anchor="_Toc103271288" w:history="1">
            <w:r w:rsidR="00221D19" w:rsidRPr="008D4DA5">
              <w:rPr>
                <w:rStyle w:val="Hyperlink"/>
              </w:rPr>
              <w:t>OPI 3.1 Emissions reductions</w:t>
            </w:r>
            <w:r w:rsidR="00221D19">
              <w:rPr>
                <w:webHidden/>
              </w:rPr>
              <w:tab/>
            </w:r>
            <w:r w:rsidR="00221D19">
              <w:rPr>
                <w:webHidden/>
              </w:rPr>
              <w:fldChar w:fldCharType="begin"/>
            </w:r>
            <w:r w:rsidR="00221D19">
              <w:rPr>
                <w:webHidden/>
              </w:rPr>
              <w:instrText xml:space="preserve"> PAGEREF _Toc103271288 \h </w:instrText>
            </w:r>
            <w:r w:rsidR="00221D19">
              <w:rPr>
                <w:webHidden/>
              </w:rPr>
            </w:r>
            <w:r w:rsidR="00221D19">
              <w:rPr>
                <w:webHidden/>
              </w:rPr>
              <w:fldChar w:fldCharType="separate"/>
            </w:r>
            <w:r w:rsidR="00221D19">
              <w:rPr>
                <w:webHidden/>
              </w:rPr>
              <w:t>12</w:t>
            </w:r>
            <w:r w:rsidR="00221D19">
              <w:rPr>
                <w:webHidden/>
              </w:rPr>
              <w:fldChar w:fldCharType="end"/>
            </w:r>
          </w:hyperlink>
        </w:p>
        <w:p w14:paraId="301912E6" w14:textId="394EC56E" w:rsidR="00221D19" w:rsidRDefault="007B3985">
          <w:pPr>
            <w:pStyle w:val="TOC2"/>
            <w:rPr>
              <w:rFonts w:asciiTheme="minorHAnsi" w:hAnsiTheme="minorHAnsi" w:cstheme="minorBidi"/>
              <w:sz w:val="22"/>
              <w:szCs w:val="22"/>
              <w:lang w:val="en-AU" w:eastAsia="en-AU"/>
            </w:rPr>
          </w:pPr>
          <w:hyperlink w:anchor="_Toc103271289" w:history="1">
            <w:r w:rsidR="00221D19" w:rsidRPr="008D4DA5">
              <w:rPr>
                <w:rStyle w:val="Hyperlink"/>
              </w:rPr>
              <w:t>OPI 3.2 Emissions sequestration</w:t>
            </w:r>
            <w:r w:rsidR="00221D19">
              <w:rPr>
                <w:webHidden/>
              </w:rPr>
              <w:tab/>
            </w:r>
            <w:r w:rsidR="00221D19">
              <w:rPr>
                <w:webHidden/>
              </w:rPr>
              <w:fldChar w:fldCharType="begin"/>
            </w:r>
            <w:r w:rsidR="00221D19">
              <w:rPr>
                <w:webHidden/>
              </w:rPr>
              <w:instrText xml:space="preserve"> PAGEREF _Toc103271289 \h </w:instrText>
            </w:r>
            <w:r w:rsidR="00221D19">
              <w:rPr>
                <w:webHidden/>
              </w:rPr>
            </w:r>
            <w:r w:rsidR="00221D19">
              <w:rPr>
                <w:webHidden/>
              </w:rPr>
              <w:fldChar w:fldCharType="separate"/>
            </w:r>
            <w:r w:rsidR="00221D19">
              <w:rPr>
                <w:webHidden/>
              </w:rPr>
              <w:t>13</w:t>
            </w:r>
            <w:r w:rsidR="00221D19">
              <w:rPr>
                <w:webHidden/>
              </w:rPr>
              <w:fldChar w:fldCharType="end"/>
            </w:r>
          </w:hyperlink>
        </w:p>
        <w:p w14:paraId="4CF6DDCA" w14:textId="1B04B975" w:rsidR="00221D19" w:rsidRDefault="007B3985">
          <w:pPr>
            <w:pStyle w:val="TOC2"/>
            <w:rPr>
              <w:rFonts w:asciiTheme="minorHAnsi" w:hAnsiTheme="minorHAnsi" w:cstheme="minorBidi"/>
              <w:sz w:val="22"/>
              <w:szCs w:val="22"/>
              <w:lang w:val="en-AU" w:eastAsia="en-AU"/>
            </w:rPr>
          </w:pPr>
          <w:hyperlink w:anchor="_Toc103271290" w:history="1">
            <w:r w:rsidR="00221D19" w:rsidRPr="008D4DA5">
              <w:rPr>
                <w:rStyle w:val="Hyperlink"/>
              </w:rPr>
              <w:t>OPI 3.3 Emissions stored</w:t>
            </w:r>
            <w:r w:rsidR="00221D19">
              <w:rPr>
                <w:webHidden/>
              </w:rPr>
              <w:tab/>
            </w:r>
            <w:r w:rsidR="00221D19">
              <w:rPr>
                <w:webHidden/>
              </w:rPr>
              <w:fldChar w:fldCharType="begin"/>
            </w:r>
            <w:r w:rsidR="00221D19">
              <w:rPr>
                <w:webHidden/>
              </w:rPr>
              <w:instrText xml:space="preserve"> PAGEREF _Toc103271290 \h </w:instrText>
            </w:r>
            <w:r w:rsidR="00221D19">
              <w:rPr>
                <w:webHidden/>
              </w:rPr>
            </w:r>
            <w:r w:rsidR="00221D19">
              <w:rPr>
                <w:webHidden/>
              </w:rPr>
              <w:fldChar w:fldCharType="separate"/>
            </w:r>
            <w:r w:rsidR="00221D19">
              <w:rPr>
                <w:webHidden/>
              </w:rPr>
              <w:t>14</w:t>
            </w:r>
            <w:r w:rsidR="00221D19">
              <w:rPr>
                <w:webHidden/>
              </w:rPr>
              <w:fldChar w:fldCharType="end"/>
            </w:r>
          </w:hyperlink>
        </w:p>
        <w:p w14:paraId="35A77F3A" w14:textId="2EE54D07" w:rsidR="00221D19" w:rsidRDefault="007B3985">
          <w:pPr>
            <w:pStyle w:val="TOC1"/>
            <w:rPr>
              <w:rFonts w:asciiTheme="minorHAnsi" w:eastAsiaTheme="minorEastAsia" w:hAnsiTheme="minorHAnsi" w:cstheme="minorBidi"/>
              <w:b w:val="0"/>
              <w:bCs w:val="0"/>
              <w:caps w:val="0"/>
              <w:color w:val="auto"/>
              <w:sz w:val="22"/>
              <w:szCs w:val="22"/>
              <w:lang w:val="en-AU" w:eastAsia="en-AU"/>
            </w:rPr>
          </w:pPr>
          <w:hyperlink w:anchor="_Toc103271291" w:history="1">
            <w:r w:rsidR="00221D19" w:rsidRPr="008D4DA5">
              <w:rPr>
                <w:rStyle w:val="Hyperlink"/>
              </w:rPr>
              <w:t>PRODUCTION: KPI 4 - ECOSYSTEMS WITH IMPROVED RESILIENCE</w:t>
            </w:r>
            <w:r w:rsidR="00221D19">
              <w:rPr>
                <w:webHidden/>
              </w:rPr>
              <w:tab/>
            </w:r>
            <w:r w:rsidR="00221D19">
              <w:rPr>
                <w:webHidden/>
              </w:rPr>
              <w:fldChar w:fldCharType="begin"/>
            </w:r>
            <w:r w:rsidR="00221D19">
              <w:rPr>
                <w:webHidden/>
              </w:rPr>
              <w:instrText xml:space="preserve"> PAGEREF _Toc103271291 \h </w:instrText>
            </w:r>
            <w:r w:rsidR="00221D19">
              <w:rPr>
                <w:webHidden/>
              </w:rPr>
            </w:r>
            <w:r w:rsidR="00221D19">
              <w:rPr>
                <w:webHidden/>
              </w:rPr>
              <w:fldChar w:fldCharType="separate"/>
            </w:r>
            <w:r w:rsidR="00221D19">
              <w:rPr>
                <w:webHidden/>
              </w:rPr>
              <w:t>15</w:t>
            </w:r>
            <w:r w:rsidR="00221D19">
              <w:rPr>
                <w:webHidden/>
              </w:rPr>
              <w:fldChar w:fldCharType="end"/>
            </w:r>
          </w:hyperlink>
        </w:p>
        <w:p w14:paraId="75C89CAC" w14:textId="79DC7CC0" w:rsidR="00221D19" w:rsidRDefault="007B3985">
          <w:pPr>
            <w:pStyle w:val="TOC2"/>
            <w:rPr>
              <w:rFonts w:asciiTheme="minorHAnsi" w:hAnsiTheme="minorHAnsi" w:cstheme="minorBidi"/>
              <w:sz w:val="22"/>
              <w:szCs w:val="22"/>
              <w:lang w:val="en-AU" w:eastAsia="en-AU"/>
            </w:rPr>
          </w:pPr>
          <w:hyperlink w:anchor="_Toc103271292" w:history="1">
            <w:r w:rsidR="00221D19" w:rsidRPr="008D4DA5">
              <w:rPr>
                <w:rStyle w:val="Hyperlink"/>
              </w:rPr>
              <w:t>OPI 4.1a Increase in yield</w:t>
            </w:r>
            <w:r w:rsidR="00221D19">
              <w:rPr>
                <w:webHidden/>
              </w:rPr>
              <w:tab/>
            </w:r>
            <w:r w:rsidR="00221D19">
              <w:rPr>
                <w:webHidden/>
              </w:rPr>
              <w:fldChar w:fldCharType="begin"/>
            </w:r>
            <w:r w:rsidR="00221D19">
              <w:rPr>
                <w:webHidden/>
              </w:rPr>
              <w:instrText xml:space="preserve"> PAGEREF _Toc103271292 \h </w:instrText>
            </w:r>
            <w:r w:rsidR="00221D19">
              <w:rPr>
                <w:webHidden/>
              </w:rPr>
            </w:r>
            <w:r w:rsidR="00221D19">
              <w:rPr>
                <w:webHidden/>
              </w:rPr>
              <w:fldChar w:fldCharType="separate"/>
            </w:r>
            <w:r w:rsidR="00221D19">
              <w:rPr>
                <w:webHidden/>
              </w:rPr>
              <w:t>15</w:t>
            </w:r>
            <w:r w:rsidR="00221D19">
              <w:rPr>
                <w:webHidden/>
              </w:rPr>
              <w:fldChar w:fldCharType="end"/>
            </w:r>
          </w:hyperlink>
        </w:p>
        <w:p w14:paraId="2C2F7310" w14:textId="517ADBCE" w:rsidR="00221D19" w:rsidRDefault="007B3985">
          <w:pPr>
            <w:pStyle w:val="TOC2"/>
            <w:rPr>
              <w:rFonts w:asciiTheme="minorHAnsi" w:hAnsiTheme="minorHAnsi" w:cstheme="minorBidi"/>
              <w:sz w:val="22"/>
              <w:szCs w:val="22"/>
              <w:lang w:val="en-AU" w:eastAsia="en-AU"/>
            </w:rPr>
          </w:pPr>
          <w:hyperlink w:anchor="_Toc103271293" w:history="1">
            <w:r w:rsidR="00221D19" w:rsidRPr="008D4DA5">
              <w:rPr>
                <w:rStyle w:val="Hyperlink"/>
              </w:rPr>
              <w:t>OPI 4.1b Yield gap over sector average</w:t>
            </w:r>
            <w:r w:rsidR="00221D19">
              <w:rPr>
                <w:webHidden/>
              </w:rPr>
              <w:tab/>
            </w:r>
            <w:r w:rsidR="00221D19">
              <w:rPr>
                <w:webHidden/>
              </w:rPr>
              <w:fldChar w:fldCharType="begin"/>
            </w:r>
            <w:r w:rsidR="00221D19">
              <w:rPr>
                <w:webHidden/>
              </w:rPr>
              <w:instrText xml:space="preserve"> PAGEREF _Toc103271293 \h </w:instrText>
            </w:r>
            <w:r w:rsidR="00221D19">
              <w:rPr>
                <w:webHidden/>
              </w:rPr>
            </w:r>
            <w:r w:rsidR="00221D19">
              <w:rPr>
                <w:webHidden/>
              </w:rPr>
              <w:fldChar w:fldCharType="separate"/>
            </w:r>
            <w:r w:rsidR="00221D19">
              <w:rPr>
                <w:webHidden/>
              </w:rPr>
              <w:t>15</w:t>
            </w:r>
            <w:r w:rsidR="00221D19">
              <w:rPr>
                <w:webHidden/>
              </w:rPr>
              <w:fldChar w:fldCharType="end"/>
            </w:r>
          </w:hyperlink>
        </w:p>
        <w:p w14:paraId="335DFAF7" w14:textId="6A546F52" w:rsidR="00221D19" w:rsidRDefault="007B3985">
          <w:pPr>
            <w:pStyle w:val="TOC2"/>
            <w:rPr>
              <w:rFonts w:asciiTheme="minorHAnsi" w:hAnsiTheme="minorHAnsi" w:cstheme="minorBidi"/>
              <w:sz w:val="22"/>
              <w:szCs w:val="22"/>
              <w:lang w:val="en-AU" w:eastAsia="en-AU"/>
            </w:rPr>
          </w:pPr>
          <w:hyperlink w:anchor="_Toc103271294" w:history="1">
            <w:r w:rsidR="00221D19" w:rsidRPr="008D4DA5">
              <w:rPr>
                <w:rStyle w:val="Hyperlink"/>
              </w:rPr>
              <w:t>OPI 4.2 Avoided deforestation in supply shed</w:t>
            </w:r>
            <w:r w:rsidR="00221D19">
              <w:rPr>
                <w:webHidden/>
              </w:rPr>
              <w:tab/>
            </w:r>
            <w:r w:rsidR="00221D19">
              <w:rPr>
                <w:webHidden/>
              </w:rPr>
              <w:fldChar w:fldCharType="begin"/>
            </w:r>
            <w:r w:rsidR="00221D19">
              <w:rPr>
                <w:webHidden/>
              </w:rPr>
              <w:instrText xml:space="preserve"> PAGEREF _Toc103271294 \h </w:instrText>
            </w:r>
            <w:r w:rsidR="00221D19">
              <w:rPr>
                <w:webHidden/>
              </w:rPr>
            </w:r>
            <w:r w:rsidR="00221D19">
              <w:rPr>
                <w:webHidden/>
              </w:rPr>
              <w:fldChar w:fldCharType="separate"/>
            </w:r>
            <w:r w:rsidR="00221D19">
              <w:rPr>
                <w:webHidden/>
              </w:rPr>
              <w:t>16</w:t>
            </w:r>
            <w:r w:rsidR="00221D19">
              <w:rPr>
                <w:webHidden/>
              </w:rPr>
              <w:fldChar w:fldCharType="end"/>
            </w:r>
          </w:hyperlink>
        </w:p>
        <w:p w14:paraId="37719A84" w14:textId="04E2B44B" w:rsidR="00221D19" w:rsidRDefault="007B3985">
          <w:pPr>
            <w:pStyle w:val="TOC2"/>
            <w:rPr>
              <w:rFonts w:asciiTheme="minorHAnsi" w:hAnsiTheme="minorHAnsi" w:cstheme="minorBidi"/>
              <w:sz w:val="22"/>
              <w:szCs w:val="22"/>
              <w:lang w:val="en-AU" w:eastAsia="en-AU"/>
            </w:rPr>
          </w:pPr>
          <w:hyperlink w:anchor="_Toc103271295" w:history="1">
            <w:r w:rsidR="00221D19" w:rsidRPr="008D4DA5">
              <w:rPr>
                <w:rStyle w:val="Hyperlink"/>
              </w:rPr>
              <w:t>OPI 4.3 Avoided emissions</w:t>
            </w:r>
            <w:r w:rsidR="00221D19">
              <w:rPr>
                <w:webHidden/>
              </w:rPr>
              <w:tab/>
            </w:r>
            <w:r w:rsidR="00221D19">
              <w:rPr>
                <w:webHidden/>
              </w:rPr>
              <w:fldChar w:fldCharType="begin"/>
            </w:r>
            <w:r w:rsidR="00221D19">
              <w:rPr>
                <w:webHidden/>
              </w:rPr>
              <w:instrText xml:space="preserve"> PAGEREF _Toc103271295 \h </w:instrText>
            </w:r>
            <w:r w:rsidR="00221D19">
              <w:rPr>
                <w:webHidden/>
              </w:rPr>
            </w:r>
            <w:r w:rsidR="00221D19">
              <w:rPr>
                <w:webHidden/>
              </w:rPr>
              <w:fldChar w:fldCharType="separate"/>
            </w:r>
            <w:r w:rsidR="00221D19">
              <w:rPr>
                <w:webHidden/>
              </w:rPr>
              <w:t>17</w:t>
            </w:r>
            <w:r w:rsidR="00221D19">
              <w:rPr>
                <w:webHidden/>
              </w:rPr>
              <w:fldChar w:fldCharType="end"/>
            </w:r>
          </w:hyperlink>
        </w:p>
        <w:p w14:paraId="1C418A0E" w14:textId="5245DB96" w:rsidR="00221D19" w:rsidRDefault="007B3985">
          <w:pPr>
            <w:pStyle w:val="TOC2"/>
            <w:rPr>
              <w:rFonts w:asciiTheme="minorHAnsi" w:hAnsiTheme="minorHAnsi" w:cstheme="minorBidi"/>
              <w:sz w:val="22"/>
              <w:szCs w:val="22"/>
              <w:lang w:val="en-AU" w:eastAsia="en-AU"/>
            </w:rPr>
          </w:pPr>
          <w:hyperlink w:anchor="_Toc103271296" w:history="1">
            <w:r w:rsidR="00221D19" w:rsidRPr="008D4DA5">
              <w:rPr>
                <w:rStyle w:val="Hyperlink"/>
              </w:rPr>
              <w:t>OPI 4.4 Agricultural land under cultivation</w:t>
            </w:r>
            <w:r w:rsidR="00221D19">
              <w:rPr>
                <w:webHidden/>
              </w:rPr>
              <w:tab/>
            </w:r>
            <w:r w:rsidR="00221D19">
              <w:rPr>
                <w:webHidden/>
              </w:rPr>
              <w:fldChar w:fldCharType="begin"/>
            </w:r>
            <w:r w:rsidR="00221D19">
              <w:rPr>
                <w:webHidden/>
              </w:rPr>
              <w:instrText xml:space="preserve"> PAGEREF _Toc103271296 \h </w:instrText>
            </w:r>
            <w:r w:rsidR="00221D19">
              <w:rPr>
                <w:webHidden/>
              </w:rPr>
            </w:r>
            <w:r w:rsidR="00221D19">
              <w:rPr>
                <w:webHidden/>
              </w:rPr>
              <w:fldChar w:fldCharType="separate"/>
            </w:r>
            <w:r w:rsidR="00221D19">
              <w:rPr>
                <w:webHidden/>
              </w:rPr>
              <w:t>18</w:t>
            </w:r>
            <w:r w:rsidR="00221D19">
              <w:rPr>
                <w:webHidden/>
              </w:rPr>
              <w:fldChar w:fldCharType="end"/>
            </w:r>
          </w:hyperlink>
        </w:p>
        <w:p w14:paraId="1959F53C" w14:textId="38A40AA2" w:rsidR="00221D19" w:rsidRDefault="007B3985">
          <w:pPr>
            <w:pStyle w:val="TOC2"/>
            <w:rPr>
              <w:rFonts w:asciiTheme="minorHAnsi" w:hAnsiTheme="minorHAnsi" w:cstheme="minorBidi"/>
              <w:sz w:val="22"/>
              <w:szCs w:val="22"/>
              <w:lang w:val="en-AU" w:eastAsia="en-AU"/>
            </w:rPr>
          </w:pPr>
          <w:hyperlink w:anchor="_Toc103271297" w:history="1">
            <w:r w:rsidR="00221D19" w:rsidRPr="008D4DA5">
              <w:rPr>
                <w:rStyle w:val="Hyperlink"/>
              </w:rPr>
              <w:t>OPI 4.5a Land Sustainably Intensified</w:t>
            </w:r>
            <w:r w:rsidR="00221D19">
              <w:rPr>
                <w:webHidden/>
              </w:rPr>
              <w:tab/>
            </w:r>
            <w:r w:rsidR="00221D19">
              <w:rPr>
                <w:webHidden/>
              </w:rPr>
              <w:fldChar w:fldCharType="begin"/>
            </w:r>
            <w:r w:rsidR="00221D19">
              <w:rPr>
                <w:webHidden/>
              </w:rPr>
              <w:instrText xml:space="preserve"> PAGEREF _Toc103271297 \h </w:instrText>
            </w:r>
            <w:r w:rsidR="00221D19">
              <w:rPr>
                <w:webHidden/>
              </w:rPr>
            </w:r>
            <w:r w:rsidR="00221D19">
              <w:rPr>
                <w:webHidden/>
              </w:rPr>
              <w:fldChar w:fldCharType="separate"/>
            </w:r>
            <w:r w:rsidR="00221D19">
              <w:rPr>
                <w:webHidden/>
              </w:rPr>
              <w:t>18</w:t>
            </w:r>
            <w:r w:rsidR="00221D19">
              <w:rPr>
                <w:webHidden/>
              </w:rPr>
              <w:fldChar w:fldCharType="end"/>
            </w:r>
          </w:hyperlink>
        </w:p>
        <w:p w14:paraId="2B21B07A" w14:textId="0BEFE823" w:rsidR="00221D19" w:rsidRDefault="007B3985">
          <w:pPr>
            <w:pStyle w:val="TOC2"/>
            <w:rPr>
              <w:rFonts w:asciiTheme="minorHAnsi" w:hAnsiTheme="minorHAnsi" w:cstheme="minorBidi"/>
              <w:sz w:val="22"/>
              <w:szCs w:val="22"/>
              <w:lang w:val="en-AU" w:eastAsia="en-AU"/>
            </w:rPr>
          </w:pPr>
          <w:hyperlink w:anchor="_Toc103271298" w:history="1">
            <w:r w:rsidR="00221D19" w:rsidRPr="008D4DA5">
              <w:rPr>
                <w:rStyle w:val="Hyperlink"/>
              </w:rPr>
              <w:t>OPI 4.5b Land restored to productive</w:t>
            </w:r>
            <w:r w:rsidR="00221D19">
              <w:rPr>
                <w:webHidden/>
              </w:rPr>
              <w:tab/>
            </w:r>
            <w:r w:rsidR="00221D19">
              <w:rPr>
                <w:webHidden/>
              </w:rPr>
              <w:fldChar w:fldCharType="begin"/>
            </w:r>
            <w:r w:rsidR="00221D19">
              <w:rPr>
                <w:webHidden/>
              </w:rPr>
              <w:instrText xml:space="preserve"> PAGEREF _Toc103271298 \h </w:instrText>
            </w:r>
            <w:r w:rsidR="00221D19">
              <w:rPr>
                <w:webHidden/>
              </w:rPr>
            </w:r>
            <w:r w:rsidR="00221D19">
              <w:rPr>
                <w:webHidden/>
              </w:rPr>
              <w:fldChar w:fldCharType="separate"/>
            </w:r>
            <w:r w:rsidR="00221D19">
              <w:rPr>
                <w:webHidden/>
              </w:rPr>
              <w:t>18</w:t>
            </w:r>
            <w:r w:rsidR="00221D19">
              <w:rPr>
                <w:webHidden/>
              </w:rPr>
              <w:fldChar w:fldCharType="end"/>
            </w:r>
          </w:hyperlink>
        </w:p>
        <w:p w14:paraId="467BFC35" w14:textId="739AB88E" w:rsidR="00221D19" w:rsidRDefault="007B3985">
          <w:pPr>
            <w:pStyle w:val="TOC1"/>
            <w:rPr>
              <w:rFonts w:asciiTheme="minorHAnsi" w:eastAsiaTheme="minorEastAsia" w:hAnsiTheme="minorHAnsi" w:cstheme="minorBidi"/>
              <w:b w:val="0"/>
              <w:bCs w:val="0"/>
              <w:caps w:val="0"/>
              <w:color w:val="auto"/>
              <w:sz w:val="22"/>
              <w:szCs w:val="22"/>
              <w:lang w:val="en-AU" w:eastAsia="en-AU"/>
            </w:rPr>
          </w:pPr>
          <w:hyperlink w:anchor="_Toc103271299" w:history="1">
            <w:r w:rsidR="00221D19" w:rsidRPr="008D4DA5">
              <w:rPr>
                <w:rStyle w:val="Hyperlink"/>
              </w:rPr>
              <w:t>PEOPLE: KPI 5 - PEOPLE WITH INCREASED RESILIENCE</w:t>
            </w:r>
            <w:r w:rsidR="00221D19">
              <w:rPr>
                <w:webHidden/>
              </w:rPr>
              <w:tab/>
            </w:r>
            <w:r w:rsidR="00221D19">
              <w:rPr>
                <w:webHidden/>
              </w:rPr>
              <w:fldChar w:fldCharType="begin"/>
            </w:r>
            <w:r w:rsidR="00221D19">
              <w:rPr>
                <w:webHidden/>
              </w:rPr>
              <w:instrText xml:space="preserve"> PAGEREF _Toc103271299 \h </w:instrText>
            </w:r>
            <w:r w:rsidR="00221D19">
              <w:rPr>
                <w:webHidden/>
              </w:rPr>
            </w:r>
            <w:r w:rsidR="00221D19">
              <w:rPr>
                <w:webHidden/>
              </w:rPr>
              <w:fldChar w:fldCharType="separate"/>
            </w:r>
            <w:r w:rsidR="00221D19">
              <w:rPr>
                <w:webHidden/>
              </w:rPr>
              <w:t>19</w:t>
            </w:r>
            <w:r w:rsidR="00221D19">
              <w:rPr>
                <w:webHidden/>
              </w:rPr>
              <w:fldChar w:fldCharType="end"/>
            </w:r>
          </w:hyperlink>
        </w:p>
        <w:p w14:paraId="1D874676" w14:textId="455BA26B" w:rsidR="00221D19" w:rsidRDefault="007B3985">
          <w:pPr>
            <w:pStyle w:val="TOC1"/>
            <w:rPr>
              <w:rFonts w:asciiTheme="minorHAnsi" w:eastAsiaTheme="minorEastAsia" w:hAnsiTheme="minorHAnsi" w:cstheme="minorBidi"/>
              <w:b w:val="0"/>
              <w:bCs w:val="0"/>
              <w:caps w:val="0"/>
              <w:color w:val="auto"/>
              <w:sz w:val="22"/>
              <w:szCs w:val="22"/>
              <w:lang w:val="en-AU" w:eastAsia="en-AU"/>
            </w:rPr>
          </w:pPr>
          <w:hyperlink w:anchor="_Toc103271300" w:history="1">
            <w:r w:rsidR="00221D19" w:rsidRPr="008D4DA5">
              <w:rPr>
                <w:rStyle w:val="Hyperlink"/>
              </w:rPr>
              <w:t>PEOPLE: KPI 6 – PEOPLE BENEFITTING</w:t>
            </w:r>
            <w:r w:rsidR="00221D19">
              <w:rPr>
                <w:webHidden/>
              </w:rPr>
              <w:tab/>
            </w:r>
            <w:r w:rsidR="00221D19">
              <w:rPr>
                <w:webHidden/>
              </w:rPr>
              <w:fldChar w:fldCharType="begin"/>
            </w:r>
            <w:r w:rsidR="00221D19">
              <w:rPr>
                <w:webHidden/>
              </w:rPr>
              <w:instrText xml:space="preserve"> PAGEREF _Toc103271300 \h </w:instrText>
            </w:r>
            <w:r w:rsidR="00221D19">
              <w:rPr>
                <w:webHidden/>
              </w:rPr>
            </w:r>
            <w:r w:rsidR="00221D19">
              <w:rPr>
                <w:webHidden/>
              </w:rPr>
              <w:fldChar w:fldCharType="separate"/>
            </w:r>
            <w:r w:rsidR="00221D19">
              <w:rPr>
                <w:webHidden/>
              </w:rPr>
              <w:t>21</w:t>
            </w:r>
            <w:r w:rsidR="00221D19">
              <w:rPr>
                <w:webHidden/>
              </w:rPr>
              <w:fldChar w:fldCharType="end"/>
            </w:r>
          </w:hyperlink>
        </w:p>
        <w:p w14:paraId="69A6E219" w14:textId="55BE8C93" w:rsidR="00221D19" w:rsidRDefault="007B3985">
          <w:pPr>
            <w:pStyle w:val="TOC2"/>
            <w:rPr>
              <w:rFonts w:asciiTheme="minorHAnsi" w:hAnsiTheme="minorHAnsi" w:cstheme="minorBidi"/>
              <w:sz w:val="22"/>
              <w:szCs w:val="22"/>
              <w:lang w:val="en-AU" w:eastAsia="en-AU"/>
            </w:rPr>
          </w:pPr>
          <w:hyperlink w:anchor="_Toc103271301" w:history="1">
            <w:r w:rsidR="00221D19" w:rsidRPr="008D4DA5">
              <w:rPr>
                <w:rStyle w:val="Hyperlink"/>
              </w:rPr>
              <w:t>OPI 6.1 People receiving community services</w:t>
            </w:r>
            <w:r w:rsidR="00221D19">
              <w:rPr>
                <w:webHidden/>
              </w:rPr>
              <w:tab/>
            </w:r>
            <w:r w:rsidR="00221D19">
              <w:rPr>
                <w:webHidden/>
              </w:rPr>
              <w:fldChar w:fldCharType="begin"/>
            </w:r>
            <w:r w:rsidR="00221D19">
              <w:rPr>
                <w:webHidden/>
              </w:rPr>
              <w:instrText xml:space="preserve"> PAGEREF _Toc103271301 \h </w:instrText>
            </w:r>
            <w:r w:rsidR="00221D19">
              <w:rPr>
                <w:webHidden/>
              </w:rPr>
            </w:r>
            <w:r w:rsidR="00221D19">
              <w:rPr>
                <w:webHidden/>
              </w:rPr>
              <w:fldChar w:fldCharType="separate"/>
            </w:r>
            <w:r w:rsidR="00221D19">
              <w:rPr>
                <w:webHidden/>
              </w:rPr>
              <w:t>21</w:t>
            </w:r>
            <w:r w:rsidR="00221D19">
              <w:rPr>
                <w:webHidden/>
              </w:rPr>
              <w:fldChar w:fldCharType="end"/>
            </w:r>
          </w:hyperlink>
        </w:p>
        <w:p w14:paraId="423CD2FE" w14:textId="7E2D1AC9" w:rsidR="00221D19" w:rsidRDefault="007B3985">
          <w:pPr>
            <w:pStyle w:val="TOC2"/>
            <w:rPr>
              <w:rFonts w:asciiTheme="minorHAnsi" w:hAnsiTheme="minorHAnsi" w:cstheme="minorBidi"/>
              <w:sz w:val="22"/>
              <w:szCs w:val="22"/>
              <w:lang w:val="en-AU" w:eastAsia="en-AU"/>
            </w:rPr>
          </w:pPr>
          <w:hyperlink w:anchor="_Toc103271302" w:history="1">
            <w:r w:rsidR="00221D19" w:rsidRPr="008D4DA5">
              <w:rPr>
                <w:rStyle w:val="Hyperlink"/>
              </w:rPr>
              <w:t>OPI 6.2a Jobs supported (direct)</w:t>
            </w:r>
            <w:r w:rsidR="00221D19">
              <w:rPr>
                <w:webHidden/>
              </w:rPr>
              <w:tab/>
            </w:r>
            <w:r w:rsidR="00221D19">
              <w:rPr>
                <w:webHidden/>
              </w:rPr>
              <w:fldChar w:fldCharType="begin"/>
            </w:r>
            <w:r w:rsidR="00221D19">
              <w:rPr>
                <w:webHidden/>
              </w:rPr>
              <w:instrText xml:space="preserve"> PAGEREF _Toc103271302 \h </w:instrText>
            </w:r>
            <w:r w:rsidR="00221D19">
              <w:rPr>
                <w:webHidden/>
              </w:rPr>
            </w:r>
            <w:r w:rsidR="00221D19">
              <w:rPr>
                <w:webHidden/>
              </w:rPr>
              <w:fldChar w:fldCharType="separate"/>
            </w:r>
            <w:r w:rsidR="00221D19">
              <w:rPr>
                <w:webHidden/>
              </w:rPr>
              <w:t>22</w:t>
            </w:r>
            <w:r w:rsidR="00221D19">
              <w:rPr>
                <w:webHidden/>
              </w:rPr>
              <w:fldChar w:fldCharType="end"/>
            </w:r>
          </w:hyperlink>
        </w:p>
        <w:p w14:paraId="3277220E" w14:textId="408182E4" w:rsidR="00221D19" w:rsidRDefault="007B3985">
          <w:pPr>
            <w:pStyle w:val="TOC2"/>
            <w:rPr>
              <w:rFonts w:asciiTheme="minorHAnsi" w:hAnsiTheme="minorHAnsi" w:cstheme="minorBidi"/>
              <w:sz w:val="22"/>
              <w:szCs w:val="22"/>
              <w:lang w:val="en-AU" w:eastAsia="en-AU"/>
            </w:rPr>
          </w:pPr>
          <w:hyperlink w:anchor="_Toc103271303" w:history="1">
            <w:r w:rsidR="00221D19" w:rsidRPr="008D4DA5">
              <w:rPr>
                <w:rStyle w:val="Hyperlink"/>
              </w:rPr>
              <w:t>OPI 6.2b Jobs supported (indirect)</w:t>
            </w:r>
            <w:r w:rsidR="00221D19">
              <w:rPr>
                <w:webHidden/>
              </w:rPr>
              <w:tab/>
            </w:r>
            <w:r w:rsidR="00221D19">
              <w:rPr>
                <w:webHidden/>
              </w:rPr>
              <w:fldChar w:fldCharType="begin"/>
            </w:r>
            <w:r w:rsidR="00221D19">
              <w:rPr>
                <w:webHidden/>
              </w:rPr>
              <w:instrText xml:space="preserve"> PAGEREF _Toc103271303 \h </w:instrText>
            </w:r>
            <w:r w:rsidR="00221D19">
              <w:rPr>
                <w:webHidden/>
              </w:rPr>
            </w:r>
            <w:r w:rsidR="00221D19">
              <w:rPr>
                <w:webHidden/>
              </w:rPr>
              <w:fldChar w:fldCharType="separate"/>
            </w:r>
            <w:r w:rsidR="00221D19">
              <w:rPr>
                <w:webHidden/>
              </w:rPr>
              <w:t>22</w:t>
            </w:r>
            <w:r w:rsidR="00221D19">
              <w:rPr>
                <w:webHidden/>
              </w:rPr>
              <w:fldChar w:fldCharType="end"/>
            </w:r>
          </w:hyperlink>
        </w:p>
        <w:p w14:paraId="1F624D60" w14:textId="5542D324" w:rsidR="00221D19" w:rsidRDefault="007B3985">
          <w:pPr>
            <w:pStyle w:val="TOC2"/>
            <w:rPr>
              <w:rFonts w:asciiTheme="minorHAnsi" w:hAnsiTheme="minorHAnsi" w:cstheme="minorBidi"/>
              <w:sz w:val="22"/>
              <w:szCs w:val="22"/>
              <w:lang w:val="en-AU" w:eastAsia="en-AU"/>
            </w:rPr>
          </w:pPr>
          <w:hyperlink w:anchor="_Toc103271304" w:history="1">
            <w:r w:rsidR="00221D19" w:rsidRPr="008D4DA5">
              <w:rPr>
                <w:rStyle w:val="Hyperlink"/>
              </w:rPr>
              <w:t>OPI 6.3 Producers receiving NDPE training</w:t>
            </w:r>
            <w:r w:rsidR="00221D19">
              <w:rPr>
                <w:webHidden/>
              </w:rPr>
              <w:tab/>
            </w:r>
            <w:r w:rsidR="00221D19">
              <w:rPr>
                <w:webHidden/>
              </w:rPr>
              <w:fldChar w:fldCharType="begin"/>
            </w:r>
            <w:r w:rsidR="00221D19">
              <w:rPr>
                <w:webHidden/>
              </w:rPr>
              <w:instrText xml:space="preserve"> PAGEREF _Toc103271304 \h </w:instrText>
            </w:r>
            <w:r w:rsidR="00221D19">
              <w:rPr>
                <w:webHidden/>
              </w:rPr>
            </w:r>
            <w:r w:rsidR="00221D19">
              <w:rPr>
                <w:webHidden/>
              </w:rPr>
              <w:fldChar w:fldCharType="separate"/>
            </w:r>
            <w:r w:rsidR="00221D19">
              <w:rPr>
                <w:webHidden/>
              </w:rPr>
              <w:t>22</w:t>
            </w:r>
            <w:r w:rsidR="00221D19">
              <w:rPr>
                <w:webHidden/>
              </w:rPr>
              <w:fldChar w:fldCharType="end"/>
            </w:r>
          </w:hyperlink>
        </w:p>
        <w:p w14:paraId="193F30FF" w14:textId="6D189978" w:rsidR="00221D19" w:rsidRDefault="007B3985">
          <w:pPr>
            <w:pStyle w:val="TOC2"/>
            <w:rPr>
              <w:rFonts w:asciiTheme="minorHAnsi" w:hAnsiTheme="minorHAnsi" w:cstheme="minorBidi"/>
              <w:sz w:val="22"/>
              <w:szCs w:val="22"/>
              <w:lang w:val="en-AU" w:eastAsia="en-AU"/>
            </w:rPr>
          </w:pPr>
          <w:hyperlink w:anchor="_Toc103271305" w:history="1">
            <w:r w:rsidR="00221D19" w:rsidRPr="008D4DA5">
              <w:rPr>
                <w:rStyle w:val="Hyperlink"/>
              </w:rPr>
              <w:t>OPI 6.4 Producers Reached</w:t>
            </w:r>
            <w:r w:rsidR="00221D19">
              <w:rPr>
                <w:webHidden/>
              </w:rPr>
              <w:tab/>
            </w:r>
            <w:r w:rsidR="00221D19">
              <w:rPr>
                <w:webHidden/>
              </w:rPr>
              <w:fldChar w:fldCharType="begin"/>
            </w:r>
            <w:r w:rsidR="00221D19">
              <w:rPr>
                <w:webHidden/>
              </w:rPr>
              <w:instrText xml:space="preserve"> PAGEREF _Toc103271305 \h </w:instrText>
            </w:r>
            <w:r w:rsidR="00221D19">
              <w:rPr>
                <w:webHidden/>
              </w:rPr>
            </w:r>
            <w:r w:rsidR="00221D19">
              <w:rPr>
                <w:webHidden/>
              </w:rPr>
              <w:fldChar w:fldCharType="separate"/>
            </w:r>
            <w:r w:rsidR="00221D19">
              <w:rPr>
                <w:webHidden/>
              </w:rPr>
              <w:t>23</w:t>
            </w:r>
            <w:r w:rsidR="00221D19">
              <w:rPr>
                <w:webHidden/>
              </w:rPr>
              <w:fldChar w:fldCharType="end"/>
            </w:r>
          </w:hyperlink>
        </w:p>
        <w:p w14:paraId="2847674D" w14:textId="2C8C6C61" w:rsidR="00221D19" w:rsidRDefault="007B3985">
          <w:pPr>
            <w:pStyle w:val="TOC2"/>
            <w:rPr>
              <w:rFonts w:asciiTheme="minorHAnsi" w:hAnsiTheme="minorHAnsi" w:cstheme="minorBidi"/>
              <w:sz w:val="22"/>
              <w:szCs w:val="22"/>
              <w:lang w:val="en-AU" w:eastAsia="en-AU"/>
            </w:rPr>
          </w:pPr>
          <w:hyperlink w:anchor="_Toc103271306" w:history="1">
            <w:r w:rsidR="00221D19" w:rsidRPr="008D4DA5">
              <w:rPr>
                <w:rStyle w:val="Hyperlink"/>
              </w:rPr>
              <w:t>OPI 6.5 Land tenure</w:t>
            </w:r>
            <w:r w:rsidR="00221D19">
              <w:rPr>
                <w:webHidden/>
              </w:rPr>
              <w:tab/>
            </w:r>
            <w:r w:rsidR="00221D19">
              <w:rPr>
                <w:webHidden/>
              </w:rPr>
              <w:fldChar w:fldCharType="begin"/>
            </w:r>
            <w:r w:rsidR="00221D19">
              <w:rPr>
                <w:webHidden/>
              </w:rPr>
              <w:instrText xml:space="preserve"> PAGEREF _Toc103271306 \h </w:instrText>
            </w:r>
            <w:r w:rsidR="00221D19">
              <w:rPr>
                <w:webHidden/>
              </w:rPr>
            </w:r>
            <w:r w:rsidR="00221D19">
              <w:rPr>
                <w:webHidden/>
              </w:rPr>
              <w:fldChar w:fldCharType="separate"/>
            </w:r>
            <w:r w:rsidR="00221D19">
              <w:rPr>
                <w:webHidden/>
              </w:rPr>
              <w:t>24</w:t>
            </w:r>
            <w:r w:rsidR="00221D19">
              <w:rPr>
                <w:webHidden/>
              </w:rPr>
              <w:fldChar w:fldCharType="end"/>
            </w:r>
          </w:hyperlink>
        </w:p>
        <w:p w14:paraId="5652C572" w14:textId="52EACFD7" w:rsidR="00221D19" w:rsidRDefault="007B3985">
          <w:pPr>
            <w:pStyle w:val="TOC1"/>
            <w:rPr>
              <w:rFonts w:asciiTheme="minorHAnsi" w:eastAsiaTheme="minorEastAsia" w:hAnsiTheme="minorHAnsi" w:cstheme="minorBidi"/>
              <w:b w:val="0"/>
              <w:bCs w:val="0"/>
              <w:caps w:val="0"/>
              <w:color w:val="auto"/>
              <w:sz w:val="22"/>
              <w:szCs w:val="22"/>
              <w:lang w:val="en-AU" w:eastAsia="en-AU"/>
            </w:rPr>
          </w:pPr>
          <w:hyperlink w:anchor="_Toc103271307" w:history="1">
            <w:r w:rsidR="00221D19" w:rsidRPr="008D4DA5">
              <w:rPr>
                <w:rStyle w:val="Hyperlink"/>
              </w:rPr>
              <w:t>FINANCIAL - KPI 7 - CAPITAL MOBILISED</w:t>
            </w:r>
            <w:r w:rsidR="00221D19">
              <w:rPr>
                <w:webHidden/>
              </w:rPr>
              <w:tab/>
            </w:r>
            <w:r w:rsidR="00221D19">
              <w:rPr>
                <w:webHidden/>
              </w:rPr>
              <w:fldChar w:fldCharType="begin"/>
            </w:r>
            <w:r w:rsidR="00221D19">
              <w:rPr>
                <w:webHidden/>
              </w:rPr>
              <w:instrText xml:space="preserve"> PAGEREF _Toc103271307 \h </w:instrText>
            </w:r>
            <w:r w:rsidR="00221D19">
              <w:rPr>
                <w:webHidden/>
              </w:rPr>
            </w:r>
            <w:r w:rsidR="00221D19">
              <w:rPr>
                <w:webHidden/>
              </w:rPr>
              <w:fldChar w:fldCharType="separate"/>
            </w:r>
            <w:r w:rsidR="00221D19">
              <w:rPr>
                <w:webHidden/>
              </w:rPr>
              <w:t>25</w:t>
            </w:r>
            <w:r w:rsidR="00221D19">
              <w:rPr>
                <w:webHidden/>
              </w:rPr>
              <w:fldChar w:fldCharType="end"/>
            </w:r>
          </w:hyperlink>
        </w:p>
        <w:p w14:paraId="406D8366" w14:textId="5C261827" w:rsidR="00221D19" w:rsidRDefault="007B3985">
          <w:pPr>
            <w:pStyle w:val="TOC2"/>
            <w:rPr>
              <w:rFonts w:asciiTheme="minorHAnsi" w:hAnsiTheme="minorHAnsi" w:cstheme="minorBidi"/>
              <w:sz w:val="22"/>
              <w:szCs w:val="22"/>
              <w:lang w:val="en-AU" w:eastAsia="en-AU"/>
            </w:rPr>
          </w:pPr>
          <w:hyperlink w:anchor="_Toc103271308" w:history="1">
            <w:r w:rsidR="00221D19" w:rsidRPr="008D4DA5">
              <w:rPr>
                <w:rStyle w:val="Hyperlink"/>
              </w:rPr>
              <w:t>OPI 7.1 Taxes paid by Clients</w:t>
            </w:r>
            <w:r w:rsidR="00221D19">
              <w:rPr>
                <w:webHidden/>
              </w:rPr>
              <w:tab/>
            </w:r>
            <w:r w:rsidR="00221D19">
              <w:rPr>
                <w:webHidden/>
              </w:rPr>
              <w:fldChar w:fldCharType="begin"/>
            </w:r>
            <w:r w:rsidR="00221D19">
              <w:rPr>
                <w:webHidden/>
              </w:rPr>
              <w:instrText xml:space="preserve"> PAGEREF _Toc103271308 \h </w:instrText>
            </w:r>
            <w:r w:rsidR="00221D19">
              <w:rPr>
                <w:webHidden/>
              </w:rPr>
            </w:r>
            <w:r w:rsidR="00221D19">
              <w:rPr>
                <w:webHidden/>
              </w:rPr>
              <w:fldChar w:fldCharType="separate"/>
            </w:r>
            <w:r w:rsidR="00221D19">
              <w:rPr>
                <w:webHidden/>
              </w:rPr>
              <w:t>25</w:t>
            </w:r>
            <w:r w:rsidR="00221D19">
              <w:rPr>
                <w:webHidden/>
              </w:rPr>
              <w:fldChar w:fldCharType="end"/>
            </w:r>
          </w:hyperlink>
        </w:p>
        <w:p w14:paraId="4456C9DA" w14:textId="6DB2D62F" w:rsidR="00221D19" w:rsidRDefault="007B3985">
          <w:pPr>
            <w:pStyle w:val="TOC2"/>
            <w:rPr>
              <w:rFonts w:asciiTheme="minorHAnsi" w:hAnsiTheme="minorHAnsi" w:cstheme="minorBidi"/>
              <w:sz w:val="22"/>
              <w:szCs w:val="22"/>
              <w:lang w:val="en-AU" w:eastAsia="en-AU"/>
            </w:rPr>
          </w:pPr>
          <w:hyperlink w:anchor="_Toc103271309" w:history="1">
            <w:r w:rsidR="00221D19" w:rsidRPr="008D4DA5">
              <w:rPr>
                <w:rStyle w:val="Hyperlink"/>
              </w:rPr>
              <w:t>OPI 7.2 Revenue of Clients</w:t>
            </w:r>
            <w:r w:rsidR="00221D19">
              <w:rPr>
                <w:webHidden/>
              </w:rPr>
              <w:tab/>
            </w:r>
            <w:r w:rsidR="00221D19">
              <w:rPr>
                <w:webHidden/>
              </w:rPr>
              <w:fldChar w:fldCharType="begin"/>
            </w:r>
            <w:r w:rsidR="00221D19">
              <w:rPr>
                <w:webHidden/>
              </w:rPr>
              <w:instrText xml:space="preserve"> PAGEREF _Toc103271309 \h </w:instrText>
            </w:r>
            <w:r w:rsidR="00221D19">
              <w:rPr>
                <w:webHidden/>
              </w:rPr>
            </w:r>
            <w:r w:rsidR="00221D19">
              <w:rPr>
                <w:webHidden/>
              </w:rPr>
              <w:fldChar w:fldCharType="separate"/>
            </w:r>
            <w:r w:rsidR="00221D19">
              <w:rPr>
                <w:webHidden/>
              </w:rPr>
              <w:t>25</w:t>
            </w:r>
            <w:r w:rsidR="00221D19">
              <w:rPr>
                <w:webHidden/>
              </w:rPr>
              <w:fldChar w:fldCharType="end"/>
            </w:r>
          </w:hyperlink>
        </w:p>
        <w:p w14:paraId="508A9C51" w14:textId="253B0451" w:rsidR="00221D19" w:rsidRDefault="007B3985">
          <w:pPr>
            <w:pStyle w:val="TOC2"/>
            <w:rPr>
              <w:rFonts w:asciiTheme="minorHAnsi" w:hAnsiTheme="minorHAnsi" w:cstheme="minorBidi"/>
              <w:sz w:val="22"/>
              <w:szCs w:val="22"/>
              <w:lang w:val="en-AU" w:eastAsia="en-AU"/>
            </w:rPr>
          </w:pPr>
          <w:hyperlink w:anchor="_Toc103271310" w:history="1">
            <w:r w:rsidR="00221D19" w:rsidRPr="008D4DA5">
              <w:rPr>
                <w:rStyle w:val="Hyperlink"/>
              </w:rPr>
              <w:t>OPI 7.3 Fund Net Asset Value (NAV)</w:t>
            </w:r>
            <w:r w:rsidR="00221D19">
              <w:rPr>
                <w:webHidden/>
              </w:rPr>
              <w:tab/>
            </w:r>
            <w:r w:rsidR="00221D19">
              <w:rPr>
                <w:webHidden/>
              </w:rPr>
              <w:fldChar w:fldCharType="begin"/>
            </w:r>
            <w:r w:rsidR="00221D19">
              <w:rPr>
                <w:webHidden/>
              </w:rPr>
              <w:instrText xml:space="preserve"> PAGEREF _Toc103271310 \h </w:instrText>
            </w:r>
            <w:r w:rsidR="00221D19">
              <w:rPr>
                <w:webHidden/>
              </w:rPr>
            </w:r>
            <w:r w:rsidR="00221D19">
              <w:rPr>
                <w:webHidden/>
              </w:rPr>
              <w:fldChar w:fldCharType="separate"/>
            </w:r>
            <w:r w:rsidR="00221D19">
              <w:rPr>
                <w:webHidden/>
              </w:rPr>
              <w:t>26</w:t>
            </w:r>
            <w:r w:rsidR="00221D19">
              <w:rPr>
                <w:webHidden/>
              </w:rPr>
              <w:fldChar w:fldCharType="end"/>
            </w:r>
          </w:hyperlink>
        </w:p>
        <w:p w14:paraId="709BAD62" w14:textId="7C38E312" w:rsidR="00221D19" w:rsidRDefault="007B3985">
          <w:pPr>
            <w:pStyle w:val="TOC2"/>
            <w:rPr>
              <w:rFonts w:asciiTheme="minorHAnsi" w:hAnsiTheme="minorHAnsi" w:cstheme="minorBidi"/>
              <w:sz w:val="22"/>
              <w:szCs w:val="22"/>
              <w:lang w:val="en-AU" w:eastAsia="en-AU"/>
            </w:rPr>
          </w:pPr>
          <w:hyperlink w:anchor="_Toc103271311" w:history="1">
            <w:r w:rsidR="00221D19" w:rsidRPr="008D4DA5">
              <w:rPr>
                <w:rStyle w:val="Hyperlink"/>
              </w:rPr>
              <w:t>OPI 7.4a Fund capital committed</w:t>
            </w:r>
            <w:r w:rsidR="00221D19">
              <w:rPr>
                <w:webHidden/>
              </w:rPr>
              <w:tab/>
            </w:r>
            <w:r w:rsidR="00221D19">
              <w:rPr>
                <w:webHidden/>
              </w:rPr>
              <w:fldChar w:fldCharType="begin"/>
            </w:r>
            <w:r w:rsidR="00221D19">
              <w:rPr>
                <w:webHidden/>
              </w:rPr>
              <w:instrText xml:space="preserve"> PAGEREF _Toc103271311 \h </w:instrText>
            </w:r>
            <w:r w:rsidR="00221D19">
              <w:rPr>
                <w:webHidden/>
              </w:rPr>
            </w:r>
            <w:r w:rsidR="00221D19">
              <w:rPr>
                <w:webHidden/>
              </w:rPr>
              <w:fldChar w:fldCharType="separate"/>
            </w:r>
            <w:r w:rsidR="00221D19">
              <w:rPr>
                <w:webHidden/>
              </w:rPr>
              <w:t>26</w:t>
            </w:r>
            <w:r w:rsidR="00221D19">
              <w:rPr>
                <w:webHidden/>
              </w:rPr>
              <w:fldChar w:fldCharType="end"/>
            </w:r>
          </w:hyperlink>
        </w:p>
        <w:p w14:paraId="1F578044" w14:textId="6A71CB48" w:rsidR="00221D19" w:rsidRDefault="007B3985">
          <w:pPr>
            <w:pStyle w:val="TOC2"/>
            <w:rPr>
              <w:rFonts w:asciiTheme="minorHAnsi" w:hAnsiTheme="minorHAnsi" w:cstheme="minorBidi"/>
              <w:sz w:val="22"/>
              <w:szCs w:val="22"/>
              <w:lang w:val="en-AU" w:eastAsia="en-AU"/>
            </w:rPr>
          </w:pPr>
          <w:hyperlink w:anchor="_Toc103271312" w:history="1">
            <w:r w:rsidR="00221D19" w:rsidRPr="008D4DA5">
              <w:rPr>
                <w:rStyle w:val="Hyperlink"/>
              </w:rPr>
              <w:t>OPI 7.4b Fund capital disbursed</w:t>
            </w:r>
            <w:r w:rsidR="00221D19">
              <w:rPr>
                <w:webHidden/>
              </w:rPr>
              <w:tab/>
            </w:r>
            <w:r w:rsidR="00221D19">
              <w:rPr>
                <w:webHidden/>
              </w:rPr>
              <w:fldChar w:fldCharType="begin"/>
            </w:r>
            <w:r w:rsidR="00221D19">
              <w:rPr>
                <w:webHidden/>
              </w:rPr>
              <w:instrText xml:space="preserve"> PAGEREF _Toc103271312 \h </w:instrText>
            </w:r>
            <w:r w:rsidR="00221D19">
              <w:rPr>
                <w:webHidden/>
              </w:rPr>
            </w:r>
            <w:r w:rsidR="00221D19">
              <w:rPr>
                <w:webHidden/>
              </w:rPr>
              <w:fldChar w:fldCharType="separate"/>
            </w:r>
            <w:r w:rsidR="00221D19">
              <w:rPr>
                <w:webHidden/>
              </w:rPr>
              <w:t>26</w:t>
            </w:r>
            <w:r w:rsidR="00221D19">
              <w:rPr>
                <w:webHidden/>
              </w:rPr>
              <w:fldChar w:fldCharType="end"/>
            </w:r>
          </w:hyperlink>
        </w:p>
        <w:p w14:paraId="7AE06753" w14:textId="08E7BB5E" w:rsidR="00221D19" w:rsidRDefault="007B3985">
          <w:pPr>
            <w:pStyle w:val="TOC2"/>
            <w:rPr>
              <w:rFonts w:asciiTheme="minorHAnsi" w:hAnsiTheme="minorHAnsi" w:cstheme="minorBidi"/>
              <w:sz w:val="22"/>
              <w:szCs w:val="22"/>
              <w:lang w:val="en-AU" w:eastAsia="en-AU"/>
            </w:rPr>
          </w:pPr>
          <w:hyperlink w:anchor="_Toc103271313" w:history="1">
            <w:r w:rsidR="00221D19" w:rsidRPr="008D4DA5">
              <w:rPr>
                <w:rStyle w:val="Hyperlink"/>
              </w:rPr>
              <w:t>OPI 7.5 Non-Performing Loans (NPLs)</w:t>
            </w:r>
            <w:r w:rsidR="00221D19">
              <w:rPr>
                <w:webHidden/>
              </w:rPr>
              <w:tab/>
            </w:r>
            <w:r w:rsidR="00221D19">
              <w:rPr>
                <w:webHidden/>
              </w:rPr>
              <w:fldChar w:fldCharType="begin"/>
            </w:r>
            <w:r w:rsidR="00221D19">
              <w:rPr>
                <w:webHidden/>
              </w:rPr>
              <w:instrText xml:space="preserve"> PAGEREF _Toc103271313 \h </w:instrText>
            </w:r>
            <w:r w:rsidR="00221D19">
              <w:rPr>
                <w:webHidden/>
              </w:rPr>
            </w:r>
            <w:r w:rsidR="00221D19">
              <w:rPr>
                <w:webHidden/>
              </w:rPr>
              <w:fldChar w:fldCharType="separate"/>
            </w:r>
            <w:r w:rsidR="00221D19">
              <w:rPr>
                <w:webHidden/>
              </w:rPr>
              <w:t>26</w:t>
            </w:r>
            <w:r w:rsidR="00221D19">
              <w:rPr>
                <w:webHidden/>
              </w:rPr>
              <w:fldChar w:fldCharType="end"/>
            </w:r>
          </w:hyperlink>
        </w:p>
        <w:p w14:paraId="0DE8C4F4" w14:textId="6B26FEE4" w:rsidR="00221D19" w:rsidRDefault="007B3985">
          <w:pPr>
            <w:pStyle w:val="TOC2"/>
            <w:rPr>
              <w:rFonts w:asciiTheme="minorHAnsi" w:hAnsiTheme="minorHAnsi" w:cstheme="minorBidi"/>
              <w:sz w:val="22"/>
              <w:szCs w:val="22"/>
              <w:lang w:val="en-AU" w:eastAsia="en-AU"/>
            </w:rPr>
          </w:pPr>
          <w:hyperlink w:anchor="_Toc103271314" w:history="1">
            <w:r w:rsidR="00221D19" w:rsidRPr="008D4DA5">
              <w:rPr>
                <w:rStyle w:val="Hyperlink"/>
              </w:rPr>
              <w:t>OPI 7.6a Non-Fund capital catalysed for Clients</w:t>
            </w:r>
            <w:r w:rsidR="00221D19">
              <w:rPr>
                <w:webHidden/>
              </w:rPr>
              <w:tab/>
            </w:r>
            <w:r w:rsidR="00221D19">
              <w:rPr>
                <w:webHidden/>
              </w:rPr>
              <w:fldChar w:fldCharType="begin"/>
            </w:r>
            <w:r w:rsidR="00221D19">
              <w:rPr>
                <w:webHidden/>
              </w:rPr>
              <w:instrText xml:space="preserve"> PAGEREF _Toc103271314 \h </w:instrText>
            </w:r>
            <w:r w:rsidR="00221D19">
              <w:rPr>
                <w:webHidden/>
              </w:rPr>
            </w:r>
            <w:r w:rsidR="00221D19">
              <w:rPr>
                <w:webHidden/>
              </w:rPr>
              <w:fldChar w:fldCharType="separate"/>
            </w:r>
            <w:r w:rsidR="00221D19">
              <w:rPr>
                <w:webHidden/>
              </w:rPr>
              <w:t>27</w:t>
            </w:r>
            <w:r w:rsidR="00221D19">
              <w:rPr>
                <w:webHidden/>
              </w:rPr>
              <w:fldChar w:fldCharType="end"/>
            </w:r>
          </w:hyperlink>
        </w:p>
        <w:p w14:paraId="35D88A66" w14:textId="1CC6D866" w:rsidR="00221D19" w:rsidRDefault="007B3985">
          <w:pPr>
            <w:pStyle w:val="TOC2"/>
            <w:rPr>
              <w:rFonts w:asciiTheme="minorHAnsi" w:hAnsiTheme="minorHAnsi" w:cstheme="minorBidi"/>
              <w:sz w:val="22"/>
              <w:szCs w:val="22"/>
              <w:lang w:val="en-AU" w:eastAsia="en-AU"/>
            </w:rPr>
          </w:pPr>
          <w:hyperlink w:anchor="_Toc103271315" w:history="1">
            <w:r w:rsidR="00221D19" w:rsidRPr="008D4DA5">
              <w:rPr>
                <w:rStyle w:val="Hyperlink"/>
              </w:rPr>
              <w:t>OPI 7.6b Syndication partners mobilized (#Co-investors)</w:t>
            </w:r>
            <w:r w:rsidR="00221D19">
              <w:rPr>
                <w:webHidden/>
              </w:rPr>
              <w:tab/>
            </w:r>
            <w:r w:rsidR="00221D19">
              <w:rPr>
                <w:webHidden/>
              </w:rPr>
              <w:fldChar w:fldCharType="begin"/>
            </w:r>
            <w:r w:rsidR="00221D19">
              <w:rPr>
                <w:webHidden/>
              </w:rPr>
              <w:instrText xml:space="preserve"> PAGEREF _Toc103271315 \h </w:instrText>
            </w:r>
            <w:r w:rsidR="00221D19">
              <w:rPr>
                <w:webHidden/>
              </w:rPr>
            </w:r>
            <w:r w:rsidR="00221D19">
              <w:rPr>
                <w:webHidden/>
              </w:rPr>
              <w:fldChar w:fldCharType="separate"/>
            </w:r>
            <w:r w:rsidR="00221D19">
              <w:rPr>
                <w:webHidden/>
              </w:rPr>
              <w:t>27</w:t>
            </w:r>
            <w:r w:rsidR="00221D19">
              <w:rPr>
                <w:webHidden/>
              </w:rPr>
              <w:fldChar w:fldCharType="end"/>
            </w:r>
          </w:hyperlink>
        </w:p>
        <w:p w14:paraId="4F424904" w14:textId="0E014762" w:rsidR="00221D19" w:rsidRDefault="007B3985">
          <w:pPr>
            <w:pStyle w:val="TOC2"/>
            <w:rPr>
              <w:rFonts w:asciiTheme="minorHAnsi" w:hAnsiTheme="minorHAnsi" w:cstheme="minorBidi"/>
              <w:sz w:val="22"/>
              <w:szCs w:val="22"/>
              <w:lang w:val="en-AU" w:eastAsia="en-AU"/>
            </w:rPr>
          </w:pPr>
          <w:hyperlink w:anchor="_Toc103271316" w:history="1">
            <w:r w:rsidR="00221D19" w:rsidRPr="008D4DA5">
              <w:rPr>
                <w:rStyle w:val="Hyperlink"/>
              </w:rPr>
              <w:t>OPI 7.7 Leverage ratio</w:t>
            </w:r>
            <w:r w:rsidR="00221D19">
              <w:rPr>
                <w:webHidden/>
              </w:rPr>
              <w:tab/>
            </w:r>
            <w:r w:rsidR="00221D19">
              <w:rPr>
                <w:webHidden/>
              </w:rPr>
              <w:fldChar w:fldCharType="begin"/>
            </w:r>
            <w:r w:rsidR="00221D19">
              <w:rPr>
                <w:webHidden/>
              </w:rPr>
              <w:instrText xml:space="preserve"> PAGEREF _Toc103271316 \h </w:instrText>
            </w:r>
            <w:r w:rsidR="00221D19">
              <w:rPr>
                <w:webHidden/>
              </w:rPr>
            </w:r>
            <w:r w:rsidR="00221D19">
              <w:rPr>
                <w:webHidden/>
              </w:rPr>
              <w:fldChar w:fldCharType="separate"/>
            </w:r>
            <w:r w:rsidR="00221D19">
              <w:rPr>
                <w:webHidden/>
              </w:rPr>
              <w:t>27</w:t>
            </w:r>
            <w:r w:rsidR="00221D19">
              <w:rPr>
                <w:webHidden/>
              </w:rPr>
              <w:fldChar w:fldCharType="end"/>
            </w:r>
          </w:hyperlink>
        </w:p>
        <w:p w14:paraId="3CF7EFC0" w14:textId="0199FD83" w:rsidR="00221D19" w:rsidRDefault="007B3985">
          <w:pPr>
            <w:pStyle w:val="TOC1"/>
            <w:rPr>
              <w:rFonts w:asciiTheme="minorHAnsi" w:eastAsiaTheme="minorEastAsia" w:hAnsiTheme="minorHAnsi" w:cstheme="minorBidi"/>
              <w:b w:val="0"/>
              <w:bCs w:val="0"/>
              <w:caps w:val="0"/>
              <w:color w:val="auto"/>
              <w:sz w:val="22"/>
              <w:szCs w:val="22"/>
              <w:lang w:val="en-AU" w:eastAsia="en-AU"/>
            </w:rPr>
          </w:pPr>
          <w:hyperlink w:anchor="_Toc103271317" w:history="1">
            <w:r w:rsidR="00221D19" w:rsidRPr="008D4DA5">
              <w:rPr>
                <w:rStyle w:val="Hyperlink"/>
              </w:rPr>
              <w:t>PARTNERSHIP AND SUPPORT</w:t>
            </w:r>
            <w:r w:rsidR="00221D19">
              <w:rPr>
                <w:webHidden/>
              </w:rPr>
              <w:tab/>
            </w:r>
            <w:r w:rsidR="00221D19">
              <w:rPr>
                <w:webHidden/>
              </w:rPr>
              <w:fldChar w:fldCharType="begin"/>
            </w:r>
            <w:r w:rsidR="00221D19">
              <w:rPr>
                <w:webHidden/>
              </w:rPr>
              <w:instrText xml:space="preserve"> PAGEREF _Toc103271317 \h </w:instrText>
            </w:r>
            <w:r w:rsidR="00221D19">
              <w:rPr>
                <w:webHidden/>
              </w:rPr>
            </w:r>
            <w:r w:rsidR="00221D19">
              <w:rPr>
                <w:webHidden/>
              </w:rPr>
              <w:fldChar w:fldCharType="separate"/>
            </w:r>
            <w:r w:rsidR="00221D19">
              <w:rPr>
                <w:webHidden/>
              </w:rPr>
              <w:t>28</w:t>
            </w:r>
            <w:r w:rsidR="00221D19">
              <w:rPr>
                <w:webHidden/>
              </w:rPr>
              <w:fldChar w:fldCharType="end"/>
            </w:r>
          </w:hyperlink>
        </w:p>
        <w:p w14:paraId="0EB575AA" w14:textId="6B33F955" w:rsidR="00221D19" w:rsidRDefault="007B3985">
          <w:pPr>
            <w:pStyle w:val="TOC2"/>
            <w:rPr>
              <w:rFonts w:asciiTheme="minorHAnsi" w:hAnsiTheme="minorHAnsi" w:cstheme="minorBidi"/>
              <w:sz w:val="22"/>
              <w:szCs w:val="22"/>
              <w:lang w:val="en-AU" w:eastAsia="en-AU"/>
            </w:rPr>
          </w:pPr>
          <w:hyperlink w:anchor="_Toc103271318" w:history="1">
            <w:r w:rsidR="00221D19" w:rsidRPr="008D4DA5">
              <w:rPr>
                <w:rStyle w:val="Hyperlink"/>
              </w:rPr>
              <w:t>OPI 8.1 Partner institutions</w:t>
            </w:r>
            <w:r w:rsidR="00221D19">
              <w:rPr>
                <w:webHidden/>
              </w:rPr>
              <w:tab/>
            </w:r>
            <w:r w:rsidR="00221D19">
              <w:rPr>
                <w:webHidden/>
              </w:rPr>
              <w:fldChar w:fldCharType="begin"/>
            </w:r>
            <w:r w:rsidR="00221D19">
              <w:rPr>
                <w:webHidden/>
              </w:rPr>
              <w:instrText xml:space="preserve"> PAGEREF _Toc103271318 \h </w:instrText>
            </w:r>
            <w:r w:rsidR="00221D19">
              <w:rPr>
                <w:webHidden/>
              </w:rPr>
            </w:r>
            <w:r w:rsidR="00221D19">
              <w:rPr>
                <w:webHidden/>
              </w:rPr>
              <w:fldChar w:fldCharType="separate"/>
            </w:r>
            <w:r w:rsidR="00221D19">
              <w:rPr>
                <w:webHidden/>
              </w:rPr>
              <w:t>28</w:t>
            </w:r>
            <w:r w:rsidR="00221D19">
              <w:rPr>
                <w:webHidden/>
              </w:rPr>
              <w:fldChar w:fldCharType="end"/>
            </w:r>
          </w:hyperlink>
        </w:p>
        <w:p w14:paraId="626FB739" w14:textId="71DD0BFD" w:rsidR="00221D19" w:rsidRDefault="007B3985">
          <w:pPr>
            <w:pStyle w:val="TOC2"/>
            <w:rPr>
              <w:rFonts w:asciiTheme="minorHAnsi" w:hAnsiTheme="minorHAnsi" w:cstheme="minorBidi"/>
              <w:sz w:val="22"/>
              <w:szCs w:val="22"/>
              <w:lang w:val="en-AU" w:eastAsia="en-AU"/>
            </w:rPr>
          </w:pPr>
          <w:hyperlink w:anchor="_Toc103271319" w:history="1">
            <w:r w:rsidR="00221D19" w:rsidRPr="008D4DA5">
              <w:rPr>
                <w:rStyle w:val="Hyperlink"/>
              </w:rPr>
              <w:t>OPI 8.2a Technical Assistance budget</w:t>
            </w:r>
            <w:r w:rsidR="00221D19">
              <w:rPr>
                <w:webHidden/>
              </w:rPr>
              <w:tab/>
            </w:r>
            <w:r w:rsidR="00221D19">
              <w:rPr>
                <w:webHidden/>
              </w:rPr>
              <w:fldChar w:fldCharType="begin"/>
            </w:r>
            <w:r w:rsidR="00221D19">
              <w:rPr>
                <w:webHidden/>
              </w:rPr>
              <w:instrText xml:space="preserve"> PAGEREF _Toc103271319 \h </w:instrText>
            </w:r>
            <w:r w:rsidR="00221D19">
              <w:rPr>
                <w:webHidden/>
              </w:rPr>
            </w:r>
            <w:r w:rsidR="00221D19">
              <w:rPr>
                <w:webHidden/>
              </w:rPr>
              <w:fldChar w:fldCharType="separate"/>
            </w:r>
            <w:r w:rsidR="00221D19">
              <w:rPr>
                <w:webHidden/>
              </w:rPr>
              <w:t>28</w:t>
            </w:r>
            <w:r w:rsidR="00221D19">
              <w:rPr>
                <w:webHidden/>
              </w:rPr>
              <w:fldChar w:fldCharType="end"/>
            </w:r>
          </w:hyperlink>
        </w:p>
        <w:p w14:paraId="72D4F5F2" w14:textId="4BB22101" w:rsidR="00221D19" w:rsidRDefault="007B3985">
          <w:pPr>
            <w:pStyle w:val="TOC2"/>
            <w:rPr>
              <w:rFonts w:asciiTheme="minorHAnsi" w:hAnsiTheme="minorHAnsi" w:cstheme="minorBidi"/>
              <w:sz w:val="22"/>
              <w:szCs w:val="22"/>
              <w:lang w:val="en-AU" w:eastAsia="en-AU"/>
            </w:rPr>
          </w:pPr>
          <w:hyperlink w:anchor="_Toc103271320" w:history="1">
            <w:r w:rsidR="00221D19" w:rsidRPr="008D4DA5">
              <w:rPr>
                <w:rStyle w:val="Hyperlink"/>
              </w:rPr>
              <w:t>OPI 8.2b Technical Assistance budget allocated</w:t>
            </w:r>
            <w:r w:rsidR="00221D19">
              <w:rPr>
                <w:webHidden/>
              </w:rPr>
              <w:tab/>
            </w:r>
            <w:r w:rsidR="00221D19">
              <w:rPr>
                <w:webHidden/>
              </w:rPr>
              <w:fldChar w:fldCharType="begin"/>
            </w:r>
            <w:r w:rsidR="00221D19">
              <w:rPr>
                <w:webHidden/>
              </w:rPr>
              <w:instrText xml:space="preserve"> PAGEREF _Toc103271320 \h </w:instrText>
            </w:r>
            <w:r w:rsidR="00221D19">
              <w:rPr>
                <w:webHidden/>
              </w:rPr>
            </w:r>
            <w:r w:rsidR="00221D19">
              <w:rPr>
                <w:webHidden/>
              </w:rPr>
              <w:fldChar w:fldCharType="separate"/>
            </w:r>
            <w:r w:rsidR="00221D19">
              <w:rPr>
                <w:webHidden/>
              </w:rPr>
              <w:t>29</w:t>
            </w:r>
            <w:r w:rsidR="00221D19">
              <w:rPr>
                <w:webHidden/>
              </w:rPr>
              <w:fldChar w:fldCharType="end"/>
            </w:r>
          </w:hyperlink>
        </w:p>
        <w:p w14:paraId="6EEC48DC" w14:textId="77833FEA" w:rsidR="00221D19" w:rsidRDefault="007B3985">
          <w:pPr>
            <w:pStyle w:val="TOC2"/>
            <w:rPr>
              <w:rFonts w:asciiTheme="minorHAnsi" w:hAnsiTheme="minorHAnsi" w:cstheme="minorBidi"/>
              <w:sz w:val="22"/>
              <w:szCs w:val="22"/>
              <w:lang w:val="en-AU" w:eastAsia="en-AU"/>
            </w:rPr>
          </w:pPr>
          <w:hyperlink w:anchor="_Toc103271321" w:history="1">
            <w:r w:rsidR="00221D19" w:rsidRPr="008D4DA5">
              <w:rPr>
                <w:rStyle w:val="Hyperlink"/>
              </w:rPr>
              <w:t>OPI 8.2c Technical Assistance budget mobilized</w:t>
            </w:r>
            <w:r w:rsidR="00221D19">
              <w:rPr>
                <w:webHidden/>
              </w:rPr>
              <w:tab/>
            </w:r>
            <w:r w:rsidR="00221D19">
              <w:rPr>
                <w:webHidden/>
              </w:rPr>
              <w:fldChar w:fldCharType="begin"/>
            </w:r>
            <w:r w:rsidR="00221D19">
              <w:rPr>
                <w:webHidden/>
              </w:rPr>
              <w:instrText xml:space="preserve"> PAGEREF _Toc103271321 \h </w:instrText>
            </w:r>
            <w:r w:rsidR="00221D19">
              <w:rPr>
                <w:webHidden/>
              </w:rPr>
            </w:r>
            <w:r w:rsidR="00221D19">
              <w:rPr>
                <w:webHidden/>
              </w:rPr>
              <w:fldChar w:fldCharType="separate"/>
            </w:r>
            <w:r w:rsidR="00221D19">
              <w:rPr>
                <w:webHidden/>
              </w:rPr>
              <w:t>30</w:t>
            </w:r>
            <w:r w:rsidR="00221D19">
              <w:rPr>
                <w:webHidden/>
              </w:rPr>
              <w:fldChar w:fldCharType="end"/>
            </w:r>
          </w:hyperlink>
        </w:p>
        <w:p w14:paraId="79B41B2D" w14:textId="1F002B78" w:rsidR="00221D19" w:rsidRDefault="007B3985">
          <w:pPr>
            <w:pStyle w:val="TOC1"/>
            <w:rPr>
              <w:rFonts w:asciiTheme="minorHAnsi" w:eastAsiaTheme="minorEastAsia" w:hAnsiTheme="minorHAnsi" w:cstheme="minorBidi"/>
              <w:b w:val="0"/>
              <w:bCs w:val="0"/>
              <w:caps w:val="0"/>
              <w:color w:val="auto"/>
              <w:sz w:val="22"/>
              <w:szCs w:val="22"/>
              <w:lang w:val="en-AU" w:eastAsia="en-AU"/>
            </w:rPr>
          </w:pPr>
          <w:hyperlink w:anchor="_Toc103271322" w:history="1">
            <w:r w:rsidR="00221D19" w:rsidRPr="008D4DA5">
              <w:rPr>
                <w:rStyle w:val="Hyperlink"/>
              </w:rPr>
              <w:t>COMPLIANCE</w:t>
            </w:r>
            <w:r w:rsidR="00221D19">
              <w:rPr>
                <w:webHidden/>
              </w:rPr>
              <w:tab/>
            </w:r>
            <w:r w:rsidR="00221D19">
              <w:rPr>
                <w:webHidden/>
              </w:rPr>
              <w:fldChar w:fldCharType="begin"/>
            </w:r>
            <w:r w:rsidR="00221D19">
              <w:rPr>
                <w:webHidden/>
              </w:rPr>
              <w:instrText xml:space="preserve"> PAGEREF _Toc103271322 \h </w:instrText>
            </w:r>
            <w:r w:rsidR="00221D19">
              <w:rPr>
                <w:webHidden/>
              </w:rPr>
            </w:r>
            <w:r w:rsidR="00221D19">
              <w:rPr>
                <w:webHidden/>
              </w:rPr>
              <w:fldChar w:fldCharType="separate"/>
            </w:r>
            <w:r w:rsidR="00221D19">
              <w:rPr>
                <w:webHidden/>
              </w:rPr>
              <w:t>31</w:t>
            </w:r>
            <w:r w:rsidR="00221D19">
              <w:rPr>
                <w:webHidden/>
              </w:rPr>
              <w:fldChar w:fldCharType="end"/>
            </w:r>
          </w:hyperlink>
        </w:p>
        <w:p w14:paraId="0D8385E9" w14:textId="482FAF96" w:rsidR="00221D19" w:rsidRDefault="007B3985">
          <w:pPr>
            <w:pStyle w:val="TOC2"/>
            <w:rPr>
              <w:rFonts w:asciiTheme="minorHAnsi" w:hAnsiTheme="minorHAnsi" w:cstheme="minorBidi"/>
              <w:sz w:val="22"/>
              <w:szCs w:val="22"/>
              <w:lang w:val="en-AU" w:eastAsia="en-AU"/>
            </w:rPr>
          </w:pPr>
          <w:hyperlink w:anchor="_Toc103271323" w:history="1">
            <w:r w:rsidR="00221D19" w:rsidRPr="008D4DA5">
              <w:rPr>
                <w:rStyle w:val="Hyperlink"/>
              </w:rPr>
              <w:t>OPI 9.1: Total targets met</w:t>
            </w:r>
            <w:r w:rsidR="00221D19">
              <w:rPr>
                <w:webHidden/>
              </w:rPr>
              <w:tab/>
            </w:r>
            <w:r w:rsidR="00221D19">
              <w:rPr>
                <w:webHidden/>
              </w:rPr>
              <w:fldChar w:fldCharType="begin"/>
            </w:r>
            <w:r w:rsidR="00221D19">
              <w:rPr>
                <w:webHidden/>
              </w:rPr>
              <w:instrText xml:space="preserve"> PAGEREF _Toc103271323 \h </w:instrText>
            </w:r>
            <w:r w:rsidR="00221D19">
              <w:rPr>
                <w:webHidden/>
              </w:rPr>
            </w:r>
            <w:r w:rsidR="00221D19">
              <w:rPr>
                <w:webHidden/>
              </w:rPr>
              <w:fldChar w:fldCharType="separate"/>
            </w:r>
            <w:r w:rsidR="00221D19">
              <w:rPr>
                <w:webHidden/>
              </w:rPr>
              <w:t>31</w:t>
            </w:r>
            <w:r w:rsidR="00221D19">
              <w:rPr>
                <w:webHidden/>
              </w:rPr>
              <w:fldChar w:fldCharType="end"/>
            </w:r>
          </w:hyperlink>
        </w:p>
        <w:p w14:paraId="09B4F92A" w14:textId="1749F14E" w:rsidR="00221D19" w:rsidRDefault="007B3985">
          <w:pPr>
            <w:pStyle w:val="TOC2"/>
            <w:rPr>
              <w:rFonts w:asciiTheme="minorHAnsi" w:hAnsiTheme="minorHAnsi" w:cstheme="minorBidi"/>
              <w:sz w:val="22"/>
              <w:szCs w:val="22"/>
              <w:lang w:val="en-AU" w:eastAsia="en-AU"/>
            </w:rPr>
          </w:pPr>
          <w:hyperlink w:anchor="_Toc103271324" w:history="1">
            <w:r w:rsidR="00221D19" w:rsidRPr="008D4DA5">
              <w:rPr>
                <w:rStyle w:val="Hyperlink"/>
              </w:rPr>
              <w:t>OPI 9.2: IFC PS compliance</w:t>
            </w:r>
            <w:r w:rsidR="00221D19">
              <w:rPr>
                <w:webHidden/>
              </w:rPr>
              <w:tab/>
            </w:r>
            <w:r w:rsidR="00221D19">
              <w:rPr>
                <w:webHidden/>
              </w:rPr>
              <w:fldChar w:fldCharType="begin"/>
            </w:r>
            <w:r w:rsidR="00221D19">
              <w:rPr>
                <w:webHidden/>
              </w:rPr>
              <w:instrText xml:space="preserve"> PAGEREF _Toc103271324 \h </w:instrText>
            </w:r>
            <w:r w:rsidR="00221D19">
              <w:rPr>
                <w:webHidden/>
              </w:rPr>
            </w:r>
            <w:r w:rsidR="00221D19">
              <w:rPr>
                <w:webHidden/>
              </w:rPr>
              <w:fldChar w:fldCharType="separate"/>
            </w:r>
            <w:r w:rsidR="00221D19">
              <w:rPr>
                <w:webHidden/>
              </w:rPr>
              <w:t>31</w:t>
            </w:r>
            <w:r w:rsidR="00221D19">
              <w:rPr>
                <w:webHidden/>
              </w:rPr>
              <w:fldChar w:fldCharType="end"/>
            </w:r>
          </w:hyperlink>
        </w:p>
        <w:p w14:paraId="7EC7789A" w14:textId="02911451" w:rsidR="00221D19" w:rsidRDefault="007B3985">
          <w:pPr>
            <w:pStyle w:val="TOC2"/>
            <w:rPr>
              <w:rFonts w:asciiTheme="minorHAnsi" w:hAnsiTheme="minorHAnsi" w:cstheme="minorBidi"/>
              <w:sz w:val="22"/>
              <w:szCs w:val="22"/>
              <w:lang w:val="en-AU" w:eastAsia="en-AU"/>
            </w:rPr>
          </w:pPr>
          <w:hyperlink w:anchor="_Toc103271325" w:history="1">
            <w:r w:rsidR="00221D19" w:rsidRPr="008D4DA5">
              <w:rPr>
                <w:rStyle w:val="Hyperlink"/>
              </w:rPr>
              <w:t>OPI 9.3: E&amp;S Action Plan targets met</w:t>
            </w:r>
            <w:r w:rsidR="00221D19">
              <w:rPr>
                <w:webHidden/>
              </w:rPr>
              <w:tab/>
            </w:r>
            <w:r w:rsidR="00221D19">
              <w:rPr>
                <w:webHidden/>
              </w:rPr>
              <w:fldChar w:fldCharType="begin"/>
            </w:r>
            <w:r w:rsidR="00221D19">
              <w:rPr>
                <w:webHidden/>
              </w:rPr>
              <w:instrText xml:space="preserve"> PAGEREF _Toc103271325 \h </w:instrText>
            </w:r>
            <w:r w:rsidR="00221D19">
              <w:rPr>
                <w:webHidden/>
              </w:rPr>
            </w:r>
            <w:r w:rsidR="00221D19">
              <w:rPr>
                <w:webHidden/>
              </w:rPr>
              <w:fldChar w:fldCharType="separate"/>
            </w:r>
            <w:r w:rsidR="00221D19">
              <w:rPr>
                <w:webHidden/>
              </w:rPr>
              <w:t>32</w:t>
            </w:r>
            <w:r w:rsidR="00221D19">
              <w:rPr>
                <w:webHidden/>
              </w:rPr>
              <w:fldChar w:fldCharType="end"/>
            </w:r>
          </w:hyperlink>
        </w:p>
        <w:p w14:paraId="456A9C90" w14:textId="388C63D3" w:rsidR="00221D19" w:rsidRDefault="007B3985">
          <w:pPr>
            <w:pStyle w:val="TOC2"/>
            <w:rPr>
              <w:rFonts w:asciiTheme="minorHAnsi" w:hAnsiTheme="minorHAnsi" w:cstheme="minorBidi"/>
              <w:sz w:val="22"/>
              <w:szCs w:val="22"/>
              <w:lang w:val="en-AU" w:eastAsia="en-AU"/>
            </w:rPr>
          </w:pPr>
          <w:hyperlink w:anchor="_Toc103271326" w:history="1">
            <w:r w:rsidR="00221D19" w:rsidRPr="008D4DA5">
              <w:rPr>
                <w:rStyle w:val="Hyperlink"/>
              </w:rPr>
              <w:t>OPI 9.4: NDPE Compliance</w:t>
            </w:r>
            <w:r w:rsidR="00221D19">
              <w:rPr>
                <w:webHidden/>
              </w:rPr>
              <w:tab/>
            </w:r>
            <w:r w:rsidR="00221D19">
              <w:rPr>
                <w:webHidden/>
              </w:rPr>
              <w:fldChar w:fldCharType="begin"/>
            </w:r>
            <w:r w:rsidR="00221D19">
              <w:rPr>
                <w:webHidden/>
              </w:rPr>
              <w:instrText xml:space="preserve"> PAGEREF _Toc103271326 \h </w:instrText>
            </w:r>
            <w:r w:rsidR="00221D19">
              <w:rPr>
                <w:webHidden/>
              </w:rPr>
            </w:r>
            <w:r w:rsidR="00221D19">
              <w:rPr>
                <w:webHidden/>
              </w:rPr>
              <w:fldChar w:fldCharType="separate"/>
            </w:r>
            <w:r w:rsidR="00221D19">
              <w:rPr>
                <w:webHidden/>
              </w:rPr>
              <w:t>32</w:t>
            </w:r>
            <w:r w:rsidR="00221D19">
              <w:rPr>
                <w:webHidden/>
              </w:rPr>
              <w:fldChar w:fldCharType="end"/>
            </w:r>
          </w:hyperlink>
        </w:p>
        <w:p w14:paraId="5EFEA822" w14:textId="26051A74" w:rsidR="00CD64AA" w:rsidRPr="00700241" w:rsidRDefault="00CD64AA">
          <w:r w:rsidRPr="00700241">
            <w:rPr>
              <w:b/>
              <w:bCs/>
              <w:noProof/>
            </w:rPr>
            <w:fldChar w:fldCharType="end"/>
          </w:r>
        </w:p>
      </w:sdtContent>
    </w:sdt>
    <w:p w14:paraId="23CCE0C4" w14:textId="12FC3857" w:rsidR="00286EAB" w:rsidRPr="00700241" w:rsidRDefault="00286EAB" w:rsidP="000A0F4A">
      <w:pPr>
        <w:pStyle w:val="GreenHeading1"/>
      </w:pPr>
      <w:bookmarkStart w:id="1" w:name="_Toc103271278"/>
      <w:r w:rsidRPr="00700241">
        <w:t>Introduction</w:t>
      </w:r>
      <w:bookmarkEnd w:id="1"/>
    </w:p>
    <w:p w14:paraId="01503B6E" w14:textId="78268E67" w:rsidR="002C688C" w:rsidRPr="00700241" w:rsidRDefault="00286EAB" w:rsidP="00286EAB">
      <w:pPr>
        <w:rPr>
          <w:lang w:val="en-AU"/>
        </w:rPr>
      </w:pPr>
      <w:r w:rsidRPr="00700241">
        <w:rPr>
          <w:lang w:val="en-AU"/>
        </w:rPr>
        <w:t xml:space="preserve">The </w:t>
      </w:r>
      <w:r w:rsidR="005313FC" w:rsidRPr="00700241">
        <w:rPr>
          <w:lang w:val="en-AU"/>
        </w:rPr>
        <w:t xml:space="preserve">monitoring </w:t>
      </w:r>
      <w:r w:rsidR="00EC00F8" w:rsidRPr="00700241">
        <w:rPr>
          <w:lang w:val="en-AU"/>
        </w:rPr>
        <w:t xml:space="preserve">and reporting of &amp;Green’s impacts covers seven (7) </w:t>
      </w:r>
      <w:r w:rsidR="002C688C" w:rsidRPr="00700241">
        <w:rPr>
          <w:lang w:val="en-AU"/>
        </w:rPr>
        <w:t>groups</w:t>
      </w:r>
      <w:r w:rsidR="001662D8" w:rsidRPr="00700241">
        <w:rPr>
          <w:lang w:val="en-AU"/>
        </w:rPr>
        <w:t xml:space="preserve"> and includes Key Performance Indicators and Operational Performance Indicators</w:t>
      </w:r>
      <w:r w:rsidR="008D0D42" w:rsidRPr="00700241">
        <w:rPr>
          <w:lang w:val="en-AU"/>
        </w:rPr>
        <w:t xml:space="preserve">. Some </w:t>
      </w:r>
      <w:r w:rsidR="00D41364" w:rsidRPr="00700241">
        <w:rPr>
          <w:lang w:val="en-AU"/>
        </w:rPr>
        <w:t>groups</w:t>
      </w:r>
      <w:r w:rsidR="008D0D42" w:rsidRPr="00700241">
        <w:rPr>
          <w:lang w:val="en-AU"/>
        </w:rPr>
        <w:t xml:space="preserve"> do not have </w:t>
      </w:r>
      <w:r w:rsidRPr="00700241">
        <w:rPr>
          <w:lang w:val="en-AU"/>
        </w:rPr>
        <w:t>KPI</w:t>
      </w:r>
      <w:r w:rsidR="008D0D42" w:rsidRPr="00700241">
        <w:rPr>
          <w:lang w:val="en-AU"/>
        </w:rPr>
        <w:t>s</w:t>
      </w:r>
      <w:r w:rsidR="002C688C" w:rsidRPr="00700241">
        <w:rPr>
          <w:lang w:val="en-AU"/>
        </w:rPr>
        <w:t>.</w:t>
      </w:r>
    </w:p>
    <w:p w14:paraId="469D322E" w14:textId="09BF422A" w:rsidR="00286EAB" w:rsidRPr="00700241" w:rsidRDefault="002C688C" w:rsidP="00286EAB">
      <w:pPr>
        <w:rPr>
          <w:lang w:val="en-AU"/>
        </w:rPr>
      </w:pPr>
      <w:r w:rsidRPr="00700241">
        <w:rPr>
          <w:lang w:val="en-AU"/>
        </w:rPr>
        <w:t xml:space="preserve">The </w:t>
      </w:r>
      <w:r w:rsidR="00D41364" w:rsidRPr="00700241">
        <w:rPr>
          <w:lang w:val="en-AU"/>
        </w:rPr>
        <w:t xml:space="preserve">groups and </w:t>
      </w:r>
      <w:r w:rsidR="00DB38BD" w:rsidRPr="00700241">
        <w:rPr>
          <w:lang w:val="en-AU"/>
        </w:rPr>
        <w:t xml:space="preserve">their </w:t>
      </w:r>
      <w:r w:rsidR="00D41364" w:rsidRPr="00700241">
        <w:rPr>
          <w:lang w:val="en-AU"/>
        </w:rPr>
        <w:t>KPIs are:</w:t>
      </w:r>
    </w:p>
    <w:p w14:paraId="3D7D57AF" w14:textId="77777777" w:rsidR="00E6498D" w:rsidRPr="00700241" w:rsidRDefault="00286EAB" w:rsidP="00327E26">
      <w:pPr>
        <w:pStyle w:val="ListParagraph"/>
        <w:numPr>
          <w:ilvl w:val="0"/>
          <w:numId w:val="32"/>
        </w:numPr>
        <w:ind w:hanging="357"/>
        <w:rPr>
          <w:lang w:val="en-AU"/>
        </w:rPr>
      </w:pPr>
      <w:proofErr w:type="gramStart"/>
      <w:r w:rsidRPr="00700241">
        <w:rPr>
          <w:lang w:val="en-AU"/>
        </w:rPr>
        <w:t>Strategic;</w:t>
      </w:r>
      <w:proofErr w:type="gramEnd"/>
      <w:r w:rsidRPr="00700241">
        <w:rPr>
          <w:lang w:val="en-AU"/>
        </w:rPr>
        <w:t xml:space="preserve"> </w:t>
      </w:r>
    </w:p>
    <w:p w14:paraId="54EB0468" w14:textId="77777777" w:rsidR="00A67A31" w:rsidRPr="002136DE" w:rsidRDefault="00A67A31" w:rsidP="00F40C24">
      <w:pPr>
        <w:pStyle w:val="ListParagraph"/>
        <w:numPr>
          <w:ilvl w:val="1"/>
          <w:numId w:val="32"/>
        </w:numPr>
        <w:spacing w:before="0" w:after="240" w:line="360" w:lineRule="auto"/>
        <w:ind w:hanging="357"/>
        <w:rPr>
          <w:sz w:val="22"/>
          <w:szCs w:val="22"/>
          <w:lang w:val="en-AU"/>
        </w:rPr>
      </w:pPr>
      <w:r w:rsidRPr="002136DE">
        <w:rPr>
          <w:sz w:val="22"/>
          <w:szCs w:val="22"/>
          <w:lang w:val="en-AU"/>
        </w:rPr>
        <w:t>KPI1: Progress toward Transformational Change</w:t>
      </w:r>
    </w:p>
    <w:p w14:paraId="7ED069A9" w14:textId="77777777" w:rsidR="00E6498D" w:rsidRPr="00700241" w:rsidRDefault="00286EAB" w:rsidP="00327E26">
      <w:pPr>
        <w:pStyle w:val="ListParagraph"/>
        <w:numPr>
          <w:ilvl w:val="0"/>
          <w:numId w:val="32"/>
        </w:numPr>
        <w:ind w:hanging="357"/>
        <w:rPr>
          <w:lang w:val="en-AU"/>
        </w:rPr>
      </w:pPr>
      <w:r w:rsidRPr="00700241">
        <w:rPr>
          <w:lang w:val="en-AU"/>
        </w:rPr>
        <w:t xml:space="preserve">Forest and </w:t>
      </w:r>
      <w:proofErr w:type="gramStart"/>
      <w:r w:rsidRPr="00700241">
        <w:rPr>
          <w:lang w:val="en-AU"/>
        </w:rPr>
        <w:t>Climate;</w:t>
      </w:r>
      <w:proofErr w:type="gramEnd"/>
      <w:r w:rsidRPr="00700241">
        <w:rPr>
          <w:lang w:val="en-AU"/>
        </w:rPr>
        <w:t xml:space="preserve"> </w:t>
      </w:r>
    </w:p>
    <w:p w14:paraId="1AC32229" w14:textId="1B251B8A" w:rsidR="00A67A31" w:rsidRPr="002136DE" w:rsidRDefault="00A67A31" w:rsidP="00327E26">
      <w:pPr>
        <w:pStyle w:val="ListParagraph"/>
        <w:numPr>
          <w:ilvl w:val="1"/>
          <w:numId w:val="32"/>
        </w:numPr>
        <w:spacing w:before="0"/>
        <w:ind w:hanging="357"/>
        <w:rPr>
          <w:sz w:val="22"/>
          <w:szCs w:val="22"/>
          <w:lang w:val="en-AU"/>
        </w:rPr>
      </w:pPr>
      <w:r w:rsidRPr="002136DE">
        <w:rPr>
          <w:sz w:val="22"/>
          <w:szCs w:val="22"/>
          <w:lang w:val="en-AU"/>
        </w:rPr>
        <w:t>KPI2: #ha of Forest Protected</w:t>
      </w:r>
    </w:p>
    <w:p w14:paraId="2E05DAB7" w14:textId="21591CC5" w:rsidR="00A67A31" w:rsidRPr="002136DE" w:rsidRDefault="00A67A31" w:rsidP="00F40C24">
      <w:pPr>
        <w:pStyle w:val="ListParagraph"/>
        <w:numPr>
          <w:ilvl w:val="1"/>
          <w:numId w:val="32"/>
        </w:numPr>
        <w:spacing w:before="0" w:line="360" w:lineRule="auto"/>
        <w:ind w:hanging="357"/>
        <w:rPr>
          <w:sz w:val="22"/>
          <w:szCs w:val="22"/>
          <w:lang w:val="en-AU"/>
        </w:rPr>
      </w:pPr>
      <w:r w:rsidRPr="002136DE">
        <w:rPr>
          <w:sz w:val="22"/>
          <w:szCs w:val="22"/>
          <w:lang w:val="en-AU"/>
        </w:rPr>
        <w:t>KPI3: #tCO</w:t>
      </w:r>
      <w:r w:rsidRPr="002136DE">
        <w:rPr>
          <w:sz w:val="22"/>
          <w:szCs w:val="22"/>
          <w:vertAlign w:val="subscript"/>
          <w:lang w:val="en-AU"/>
        </w:rPr>
        <w:t>2</w:t>
      </w:r>
      <w:r w:rsidRPr="002136DE">
        <w:rPr>
          <w:sz w:val="22"/>
          <w:szCs w:val="22"/>
          <w:lang w:val="en-AU"/>
        </w:rPr>
        <w:t>e of Climate Benefits</w:t>
      </w:r>
    </w:p>
    <w:p w14:paraId="6BFFB48E" w14:textId="77777777" w:rsidR="00E6498D" w:rsidRPr="008C4635" w:rsidRDefault="00286EAB" w:rsidP="00327E26">
      <w:pPr>
        <w:pStyle w:val="ListParagraph"/>
        <w:numPr>
          <w:ilvl w:val="0"/>
          <w:numId w:val="32"/>
        </w:numPr>
        <w:ind w:hanging="357"/>
        <w:rPr>
          <w:lang w:val="en-AU"/>
        </w:rPr>
      </w:pPr>
      <w:proofErr w:type="gramStart"/>
      <w:r w:rsidRPr="008C4635">
        <w:rPr>
          <w:lang w:val="en-AU"/>
        </w:rPr>
        <w:t>Production;</w:t>
      </w:r>
      <w:proofErr w:type="gramEnd"/>
      <w:r w:rsidRPr="008C4635">
        <w:rPr>
          <w:lang w:val="en-AU"/>
        </w:rPr>
        <w:t xml:space="preserve"> </w:t>
      </w:r>
    </w:p>
    <w:p w14:paraId="69172DFC" w14:textId="3C5DB156" w:rsidR="00DD49D5" w:rsidRPr="008C4635" w:rsidRDefault="00DD49D5" w:rsidP="00F40C24">
      <w:pPr>
        <w:pStyle w:val="ListParagraph"/>
        <w:numPr>
          <w:ilvl w:val="1"/>
          <w:numId w:val="32"/>
        </w:numPr>
        <w:spacing w:before="0" w:line="360" w:lineRule="auto"/>
        <w:ind w:hanging="357"/>
        <w:rPr>
          <w:sz w:val="22"/>
          <w:szCs w:val="22"/>
          <w:lang w:val="en-AU"/>
        </w:rPr>
      </w:pPr>
      <w:r w:rsidRPr="008C4635">
        <w:rPr>
          <w:sz w:val="22"/>
          <w:szCs w:val="22"/>
          <w:lang w:val="en-IE"/>
        </w:rPr>
        <w:t>KPI</w:t>
      </w:r>
      <w:r w:rsidR="00D06D78">
        <w:rPr>
          <w:sz w:val="22"/>
          <w:szCs w:val="22"/>
          <w:lang w:val="en-IE"/>
        </w:rPr>
        <w:t>4</w:t>
      </w:r>
      <w:r w:rsidRPr="008C4635">
        <w:rPr>
          <w:sz w:val="22"/>
          <w:szCs w:val="22"/>
          <w:lang w:val="en-IE"/>
        </w:rPr>
        <w:t xml:space="preserve">: </w:t>
      </w:r>
      <w:r w:rsidRPr="008C4635">
        <w:rPr>
          <w:sz w:val="22"/>
          <w:szCs w:val="22"/>
          <w:lang w:val="en-AU"/>
        </w:rPr>
        <w:t># ha of ecosystems with improved resilience</w:t>
      </w:r>
    </w:p>
    <w:p w14:paraId="2F94A223" w14:textId="77777777" w:rsidR="00D2499C" w:rsidRPr="008C4635" w:rsidRDefault="00D2499C" w:rsidP="00327E26">
      <w:pPr>
        <w:pStyle w:val="ListParagraph"/>
        <w:numPr>
          <w:ilvl w:val="0"/>
          <w:numId w:val="32"/>
        </w:numPr>
        <w:spacing w:before="0"/>
        <w:ind w:hanging="357"/>
        <w:rPr>
          <w:sz w:val="22"/>
          <w:szCs w:val="22"/>
          <w:lang w:val="en-AU"/>
        </w:rPr>
      </w:pPr>
      <w:proofErr w:type="gramStart"/>
      <w:r w:rsidRPr="008C4635">
        <w:rPr>
          <w:sz w:val="22"/>
          <w:szCs w:val="22"/>
          <w:lang w:val="en-AU"/>
        </w:rPr>
        <w:t>People;</w:t>
      </w:r>
      <w:proofErr w:type="gramEnd"/>
      <w:r w:rsidRPr="008C4635">
        <w:rPr>
          <w:sz w:val="22"/>
          <w:szCs w:val="22"/>
          <w:lang w:val="en-AU"/>
        </w:rPr>
        <w:t xml:space="preserve"> </w:t>
      </w:r>
    </w:p>
    <w:p w14:paraId="286FDDAF" w14:textId="29A942F1" w:rsidR="00061983" w:rsidRPr="002136DE" w:rsidRDefault="00061983" w:rsidP="00327E26">
      <w:pPr>
        <w:pStyle w:val="ListParagraph"/>
        <w:numPr>
          <w:ilvl w:val="1"/>
          <w:numId w:val="32"/>
        </w:numPr>
        <w:spacing w:before="0"/>
        <w:ind w:hanging="357"/>
        <w:rPr>
          <w:sz w:val="22"/>
          <w:szCs w:val="22"/>
          <w:lang w:val="en-IE"/>
        </w:rPr>
      </w:pPr>
      <w:r w:rsidRPr="008C4635">
        <w:rPr>
          <w:sz w:val="22"/>
          <w:szCs w:val="22"/>
          <w:lang w:val="en-AU"/>
        </w:rPr>
        <w:t>KPI</w:t>
      </w:r>
      <w:r w:rsidR="000D03FF">
        <w:rPr>
          <w:sz w:val="22"/>
          <w:szCs w:val="22"/>
          <w:lang w:val="en-AU"/>
        </w:rPr>
        <w:t>5</w:t>
      </w:r>
      <w:r w:rsidRPr="008C4635">
        <w:rPr>
          <w:sz w:val="22"/>
          <w:szCs w:val="22"/>
          <w:lang w:val="en-AU"/>
        </w:rPr>
        <w:t>: # people with increased</w:t>
      </w:r>
      <w:r w:rsidRPr="002136DE">
        <w:rPr>
          <w:sz w:val="22"/>
          <w:szCs w:val="22"/>
          <w:lang w:val="en-AU"/>
        </w:rPr>
        <w:t xml:space="preserve"> resilience</w:t>
      </w:r>
      <w:r w:rsidRPr="002136DE">
        <w:rPr>
          <w:sz w:val="22"/>
          <w:szCs w:val="22"/>
          <w:lang w:val="en-IE"/>
        </w:rPr>
        <w:t xml:space="preserve"> </w:t>
      </w:r>
    </w:p>
    <w:p w14:paraId="780451A7" w14:textId="3B22B03E" w:rsidR="00DD49D5" w:rsidRPr="002136DE" w:rsidRDefault="00DD49D5" w:rsidP="00F40C24">
      <w:pPr>
        <w:pStyle w:val="ListParagraph"/>
        <w:numPr>
          <w:ilvl w:val="1"/>
          <w:numId w:val="32"/>
        </w:numPr>
        <w:spacing w:before="0" w:line="360" w:lineRule="auto"/>
        <w:ind w:hanging="357"/>
        <w:rPr>
          <w:sz w:val="22"/>
          <w:szCs w:val="22"/>
          <w:lang w:val="en-AU"/>
        </w:rPr>
      </w:pPr>
      <w:r w:rsidRPr="002136DE">
        <w:rPr>
          <w:sz w:val="22"/>
          <w:szCs w:val="22"/>
          <w:lang w:val="en-AU"/>
        </w:rPr>
        <w:t>KPI6: # of People Benefiting</w:t>
      </w:r>
    </w:p>
    <w:p w14:paraId="313DBD2A" w14:textId="77777777" w:rsidR="00E6498D" w:rsidRPr="00700241" w:rsidRDefault="00286EAB" w:rsidP="00327E26">
      <w:pPr>
        <w:pStyle w:val="ListParagraph"/>
        <w:numPr>
          <w:ilvl w:val="0"/>
          <w:numId w:val="32"/>
        </w:numPr>
        <w:ind w:hanging="357"/>
        <w:rPr>
          <w:lang w:val="en-AU"/>
        </w:rPr>
      </w:pPr>
      <w:proofErr w:type="gramStart"/>
      <w:r w:rsidRPr="00700241">
        <w:rPr>
          <w:lang w:val="en-AU"/>
        </w:rPr>
        <w:t>Financial;</w:t>
      </w:r>
      <w:proofErr w:type="gramEnd"/>
      <w:r w:rsidRPr="00700241">
        <w:rPr>
          <w:lang w:val="en-AU"/>
        </w:rPr>
        <w:t xml:space="preserve"> </w:t>
      </w:r>
    </w:p>
    <w:p w14:paraId="5A73F9F6" w14:textId="172B3421" w:rsidR="008560F1" w:rsidRPr="008A2575" w:rsidRDefault="008560F1" w:rsidP="00F40C24">
      <w:pPr>
        <w:pStyle w:val="ListParagraph"/>
        <w:numPr>
          <w:ilvl w:val="1"/>
          <w:numId w:val="32"/>
        </w:numPr>
        <w:spacing w:before="0" w:line="360" w:lineRule="auto"/>
        <w:ind w:hanging="357"/>
        <w:rPr>
          <w:sz w:val="22"/>
          <w:szCs w:val="22"/>
          <w:lang w:val="en-AU"/>
        </w:rPr>
      </w:pPr>
      <w:r w:rsidRPr="008A2575">
        <w:rPr>
          <w:sz w:val="22"/>
          <w:szCs w:val="22"/>
          <w:lang w:val="en-AU"/>
        </w:rPr>
        <w:t>KPI7: USD of Capital Mobilised</w:t>
      </w:r>
    </w:p>
    <w:p w14:paraId="0749607E" w14:textId="6F7BA03D" w:rsidR="00E6498D" w:rsidRPr="00700241" w:rsidRDefault="00286EAB" w:rsidP="00327E26">
      <w:pPr>
        <w:pStyle w:val="ListParagraph"/>
        <w:numPr>
          <w:ilvl w:val="0"/>
          <w:numId w:val="32"/>
        </w:numPr>
        <w:ind w:hanging="357"/>
        <w:rPr>
          <w:lang w:val="en-AU"/>
        </w:rPr>
      </w:pPr>
      <w:r w:rsidRPr="00700241">
        <w:rPr>
          <w:lang w:val="en-AU"/>
        </w:rPr>
        <w:t xml:space="preserve">Partnership and </w:t>
      </w:r>
      <w:proofErr w:type="gramStart"/>
      <w:r w:rsidRPr="00700241">
        <w:rPr>
          <w:lang w:val="en-AU"/>
        </w:rPr>
        <w:t>Support;</w:t>
      </w:r>
      <w:proofErr w:type="gramEnd"/>
      <w:r w:rsidRPr="00700241">
        <w:rPr>
          <w:lang w:val="en-AU"/>
        </w:rPr>
        <w:t xml:space="preserve"> </w:t>
      </w:r>
    </w:p>
    <w:p w14:paraId="15108D72" w14:textId="195F24A5" w:rsidR="002A299B" w:rsidRPr="00700241" w:rsidRDefault="002A299B" w:rsidP="00F40C24">
      <w:pPr>
        <w:pStyle w:val="ListParagraph"/>
        <w:numPr>
          <w:ilvl w:val="1"/>
          <w:numId w:val="32"/>
        </w:numPr>
        <w:spacing w:line="360" w:lineRule="auto"/>
        <w:ind w:hanging="357"/>
        <w:rPr>
          <w:lang w:val="en-AU"/>
        </w:rPr>
      </w:pPr>
      <w:r w:rsidRPr="00700241">
        <w:rPr>
          <w:lang w:val="en-AU"/>
        </w:rPr>
        <w:t>OPIs only</w:t>
      </w:r>
    </w:p>
    <w:p w14:paraId="4F712EC2" w14:textId="77777777" w:rsidR="002A299B" w:rsidRPr="00700241" w:rsidRDefault="00286EAB" w:rsidP="00327E26">
      <w:pPr>
        <w:pStyle w:val="ListParagraph"/>
        <w:numPr>
          <w:ilvl w:val="0"/>
          <w:numId w:val="32"/>
        </w:numPr>
        <w:ind w:hanging="357"/>
        <w:rPr>
          <w:lang w:val="en-AU"/>
        </w:rPr>
      </w:pPr>
      <w:r w:rsidRPr="00700241">
        <w:rPr>
          <w:lang w:val="en-AU"/>
        </w:rPr>
        <w:t>Compliance</w:t>
      </w:r>
    </w:p>
    <w:p w14:paraId="179AEF25" w14:textId="127BEF6B" w:rsidR="00286EAB" w:rsidRPr="00700241" w:rsidRDefault="002A299B" w:rsidP="00327E26">
      <w:pPr>
        <w:pStyle w:val="ListParagraph"/>
        <w:numPr>
          <w:ilvl w:val="1"/>
          <w:numId w:val="32"/>
        </w:numPr>
        <w:ind w:hanging="357"/>
        <w:rPr>
          <w:lang w:val="en-AU"/>
        </w:rPr>
      </w:pPr>
      <w:r w:rsidRPr="00700241">
        <w:rPr>
          <w:lang w:val="en-AU"/>
        </w:rPr>
        <w:t>OPIs only</w:t>
      </w:r>
      <w:r w:rsidR="00286EAB" w:rsidRPr="00700241">
        <w:rPr>
          <w:lang w:val="en-AU"/>
        </w:rPr>
        <w:t>.</w:t>
      </w:r>
    </w:p>
    <w:p w14:paraId="4DA733B0" w14:textId="4B5C59E8" w:rsidR="00A0582E" w:rsidRPr="00700241" w:rsidRDefault="002B6812" w:rsidP="00A0582E">
      <w:pPr>
        <w:rPr>
          <w:lang w:val="en-AU"/>
        </w:rPr>
      </w:pPr>
      <w:r w:rsidRPr="00700241">
        <w:rPr>
          <w:lang w:val="en-AU"/>
        </w:rPr>
        <w:t>Refer to the document ‘</w:t>
      </w:r>
      <w:r w:rsidRPr="00700241">
        <w:rPr>
          <w:i/>
          <w:iCs/>
          <w:lang w:val="en-AU"/>
        </w:rPr>
        <w:t xml:space="preserve">KPI Framework Overview’ </w:t>
      </w:r>
      <w:r w:rsidRPr="00700241">
        <w:rPr>
          <w:lang w:val="en-AU"/>
        </w:rPr>
        <w:t xml:space="preserve">for more information. </w:t>
      </w:r>
    </w:p>
    <w:p w14:paraId="7B21FA71" w14:textId="77777777" w:rsidR="00A0582E" w:rsidRPr="00700241" w:rsidRDefault="00A0582E" w:rsidP="00286EAB">
      <w:pPr>
        <w:rPr>
          <w:lang w:val="en-AU"/>
        </w:rPr>
      </w:pPr>
    </w:p>
    <w:p w14:paraId="566BE071" w14:textId="59A1B75A" w:rsidR="00201757" w:rsidRPr="00700241" w:rsidRDefault="007A7011" w:rsidP="00286EAB">
      <w:pPr>
        <w:rPr>
          <w:lang w:val="en-AU"/>
        </w:rPr>
      </w:pPr>
      <w:r w:rsidRPr="00700241">
        <w:rPr>
          <w:lang w:val="en-AU"/>
        </w:rPr>
        <w:t xml:space="preserve">This </w:t>
      </w:r>
      <w:r w:rsidR="00201757" w:rsidRPr="00700241">
        <w:rPr>
          <w:lang w:val="en-AU"/>
        </w:rPr>
        <w:t>document</w:t>
      </w:r>
      <w:r w:rsidRPr="00700241">
        <w:rPr>
          <w:lang w:val="en-AU"/>
        </w:rPr>
        <w:t xml:space="preserve"> uses terms </w:t>
      </w:r>
      <w:r w:rsidR="00BB5EF0" w:rsidRPr="00700241">
        <w:rPr>
          <w:lang w:val="en-AU"/>
        </w:rPr>
        <w:t>with</w:t>
      </w:r>
      <w:r w:rsidRPr="00700241">
        <w:rPr>
          <w:lang w:val="en-AU"/>
        </w:rPr>
        <w:t xml:space="preserve"> specific meaning</w:t>
      </w:r>
      <w:r w:rsidR="00BB5EF0" w:rsidRPr="00700241">
        <w:rPr>
          <w:lang w:val="en-AU"/>
        </w:rPr>
        <w:t>s</w:t>
      </w:r>
      <w:r w:rsidRPr="00700241">
        <w:rPr>
          <w:lang w:val="en-AU"/>
        </w:rPr>
        <w:t>:</w:t>
      </w:r>
    </w:p>
    <w:p w14:paraId="366DA79F" w14:textId="08D674B2" w:rsidR="0052211E" w:rsidRPr="00700241" w:rsidRDefault="007A7011" w:rsidP="00286EAB">
      <w:pPr>
        <w:rPr>
          <w:lang w:val="en-AU"/>
        </w:rPr>
      </w:pPr>
      <w:r w:rsidRPr="00700241">
        <w:rPr>
          <w:b/>
          <w:bCs/>
          <w:lang w:val="en-AU"/>
        </w:rPr>
        <w:t>Client</w:t>
      </w:r>
      <w:r w:rsidRPr="00700241">
        <w:rPr>
          <w:lang w:val="en-AU"/>
        </w:rPr>
        <w:t xml:space="preserve">: the </w:t>
      </w:r>
      <w:r w:rsidR="004367F9" w:rsidRPr="00700241">
        <w:rPr>
          <w:lang w:val="en-AU"/>
        </w:rPr>
        <w:t>‘Client’ refers to the company, organisation or business that is the recipient of an &amp;Green loan</w:t>
      </w:r>
      <w:r w:rsidR="0052211E" w:rsidRPr="00700241">
        <w:rPr>
          <w:lang w:val="en-AU"/>
        </w:rPr>
        <w:t xml:space="preserve"> and support services</w:t>
      </w:r>
      <w:r w:rsidR="004367F9" w:rsidRPr="00700241">
        <w:rPr>
          <w:lang w:val="en-AU"/>
        </w:rPr>
        <w:t>.</w:t>
      </w:r>
      <w:r w:rsidR="0052211E" w:rsidRPr="00700241">
        <w:rPr>
          <w:lang w:val="en-AU"/>
        </w:rPr>
        <w:t xml:space="preserve"> </w:t>
      </w:r>
      <w:r w:rsidR="00351DA0" w:rsidRPr="00700241">
        <w:rPr>
          <w:lang w:val="en-AU"/>
        </w:rPr>
        <w:t xml:space="preserve">The terms </w:t>
      </w:r>
      <w:r w:rsidR="0052211E" w:rsidRPr="00700241">
        <w:rPr>
          <w:lang w:val="en-AU"/>
        </w:rPr>
        <w:t>Borrower or Investee</w:t>
      </w:r>
      <w:r w:rsidR="00351DA0" w:rsidRPr="00700241">
        <w:rPr>
          <w:lang w:val="en-AU"/>
        </w:rPr>
        <w:t xml:space="preserve"> may be used </w:t>
      </w:r>
      <w:r w:rsidR="0075045A" w:rsidRPr="00700241">
        <w:rPr>
          <w:lang w:val="en-AU"/>
        </w:rPr>
        <w:t>with the same intent i</w:t>
      </w:r>
      <w:r w:rsidR="00351DA0" w:rsidRPr="00700241">
        <w:rPr>
          <w:lang w:val="en-AU"/>
        </w:rPr>
        <w:t>n other context</w:t>
      </w:r>
      <w:r w:rsidR="0075045A" w:rsidRPr="00700241">
        <w:rPr>
          <w:lang w:val="en-AU"/>
        </w:rPr>
        <w:t>s</w:t>
      </w:r>
      <w:r w:rsidR="0052211E" w:rsidRPr="00700241">
        <w:rPr>
          <w:lang w:val="en-AU"/>
        </w:rPr>
        <w:t xml:space="preserve">. </w:t>
      </w:r>
    </w:p>
    <w:p w14:paraId="3EBEF086" w14:textId="20FD697D" w:rsidR="007A7011" w:rsidRPr="00700241" w:rsidRDefault="000E17DC" w:rsidP="00286EAB">
      <w:pPr>
        <w:rPr>
          <w:lang w:val="en-AU"/>
        </w:rPr>
      </w:pPr>
      <w:r w:rsidRPr="00700241">
        <w:rPr>
          <w:b/>
          <w:bCs/>
          <w:lang w:val="en-AU"/>
        </w:rPr>
        <w:t>Transaction</w:t>
      </w:r>
      <w:r w:rsidR="00351DA0" w:rsidRPr="00700241">
        <w:rPr>
          <w:lang w:val="en-AU"/>
        </w:rPr>
        <w:t>: t</w:t>
      </w:r>
      <w:r w:rsidR="004367F9" w:rsidRPr="00700241">
        <w:rPr>
          <w:lang w:val="en-AU"/>
        </w:rPr>
        <w:t>he loan</w:t>
      </w:r>
      <w:r w:rsidR="0075045A" w:rsidRPr="00700241">
        <w:rPr>
          <w:lang w:val="en-AU"/>
        </w:rPr>
        <w:t xml:space="preserve">, </w:t>
      </w:r>
      <w:r w:rsidR="000952F8" w:rsidRPr="00700241">
        <w:rPr>
          <w:lang w:val="en-AU"/>
        </w:rPr>
        <w:t xml:space="preserve">technical assistant </w:t>
      </w:r>
      <w:r w:rsidR="004367F9" w:rsidRPr="00700241">
        <w:rPr>
          <w:lang w:val="en-AU"/>
        </w:rPr>
        <w:t xml:space="preserve">and other support services provided by &amp;Green </w:t>
      </w:r>
      <w:r w:rsidR="000952F8" w:rsidRPr="00700241">
        <w:rPr>
          <w:lang w:val="en-AU"/>
        </w:rPr>
        <w:t xml:space="preserve">to the Client. </w:t>
      </w:r>
      <w:r w:rsidR="005F6DD0" w:rsidRPr="00700241">
        <w:rPr>
          <w:lang w:val="en-AU"/>
        </w:rPr>
        <w:t xml:space="preserve">The terms </w:t>
      </w:r>
      <w:r w:rsidR="004367F9" w:rsidRPr="00700241">
        <w:rPr>
          <w:lang w:val="en-AU"/>
        </w:rPr>
        <w:t>intervention</w:t>
      </w:r>
      <w:r w:rsidR="00CE2ACC" w:rsidRPr="00700241">
        <w:rPr>
          <w:lang w:val="en-AU"/>
        </w:rPr>
        <w:t>,</w:t>
      </w:r>
      <w:r w:rsidR="005F6DD0" w:rsidRPr="00700241">
        <w:rPr>
          <w:lang w:val="en-AU"/>
        </w:rPr>
        <w:t xml:space="preserve"> deal </w:t>
      </w:r>
      <w:r w:rsidR="00CE2ACC" w:rsidRPr="00700241">
        <w:rPr>
          <w:lang w:val="en-AU"/>
        </w:rPr>
        <w:t xml:space="preserve">or investment </w:t>
      </w:r>
      <w:r w:rsidR="005F6DD0" w:rsidRPr="00700241">
        <w:rPr>
          <w:lang w:val="en-AU"/>
        </w:rPr>
        <w:t>may be used in other contexts</w:t>
      </w:r>
      <w:r w:rsidR="004367F9" w:rsidRPr="00700241">
        <w:rPr>
          <w:lang w:val="en-AU"/>
        </w:rPr>
        <w:t>.</w:t>
      </w:r>
    </w:p>
    <w:p w14:paraId="3E8285C7" w14:textId="064F1991" w:rsidR="005F6DD0" w:rsidRPr="00700241" w:rsidRDefault="005F6DD0" w:rsidP="00286EAB">
      <w:pPr>
        <w:rPr>
          <w:lang w:val="en-AU"/>
        </w:rPr>
      </w:pPr>
      <w:r w:rsidRPr="00700241">
        <w:rPr>
          <w:b/>
          <w:bCs/>
          <w:lang w:val="en-AU"/>
        </w:rPr>
        <w:t>&amp;Green</w:t>
      </w:r>
      <w:r w:rsidR="00BE13B6" w:rsidRPr="00700241">
        <w:rPr>
          <w:lang w:val="en-AU"/>
        </w:rPr>
        <w:t xml:space="preserve">: refers to the &amp;Green Fund and </w:t>
      </w:r>
      <w:proofErr w:type="spellStart"/>
      <w:proofErr w:type="gramStart"/>
      <w:r w:rsidR="00BE13B6" w:rsidRPr="00700241">
        <w:rPr>
          <w:lang w:val="en-AU"/>
        </w:rPr>
        <w:t>it’s</w:t>
      </w:r>
      <w:proofErr w:type="spellEnd"/>
      <w:proofErr w:type="gramEnd"/>
      <w:r w:rsidR="00BE13B6" w:rsidRPr="00700241">
        <w:rPr>
          <w:lang w:val="en-AU"/>
        </w:rPr>
        <w:t xml:space="preserve"> operations. </w:t>
      </w:r>
      <w:r w:rsidR="00FA5E10" w:rsidRPr="00700241">
        <w:rPr>
          <w:lang w:val="en-AU"/>
        </w:rPr>
        <w:t>Where the grammar is clear, t</w:t>
      </w:r>
      <w:r w:rsidR="00BE13B6" w:rsidRPr="00700241">
        <w:rPr>
          <w:lang w:val="en-AU"/>
        </w:rPr>
        <w:t>his may be simpl</w:t>
      </w:r>
      <w:r w:rsidR="00E50775" w:rsidRPr="00700241">
        <w:rPr>
          <w:lang w:val="en-AU"/>
        </w:rPr>
        <w:t>y</w:t>
      </w:r>
      <w:r w:rsidR="00BE13B6" w:rsidRPr="00700241">
        <w:rPr>
          <w:lang w:val="en-AU"/>
        </w:rPr>
        <w:t xml:space="preserve"> ‘the Fund’</w:t>
      </w:r>
      <w:r w:rsidR="00FA5E10" w:rsidRPr="00700241">
        <w:rPr>
          <w:lang w:val="en-AU"/>
        </w:rPr>
        <w:t>.</w:t>
      </w:r>
    </w:p>
    <w:p w14:paraId="14B2EA68" w14:textId="77777777" w:rsidR="00754B87" w:rsidRPr="00700241" w:rsidRDefault="00754B87" w:rsidP="00286EAB">
      <w:pPr>
        <w:rPr>
          <w:lang w:val="en-AU"/>
        </w:rPr>
      </w:pPr>
    </w:p>
    <w:p w14:paraId="04B69CFC" w14:textId="77777777" w:rsidR="002B6812" w:rsidRPr="00700241" w:rsidRDefault="002B6812" w:rsidP="00286EAB">
      <w:pPr>
        <w:rPr>
          <w:lang w:val="en-AU"/>
        </w:rPr>
      </w:pPr>
    </w:p>
    <w:p w14:paraId="628511C1" w14:textId="77777777" w:rsidR="00BB5EF0" w:rsidRPr="00700241" w:rsidRDefault="00BB5EF0">
      <w:pPr>
        <w:spacing w:after="100"/>
        <w:rPr>
          <w:rFonts w:eastAsiaTheme="minorEastAsia"/>
          <w:b/>
          <w:bCs/>
          <w:color w:val="034427"/>
          <w:spacing w:val="15"/>
          <w:sz w:val="24"/>
          <w:szCs w:val="28"/>
          <w:lang w:val="en-IE"/>
        </w:rPr>
      </w:pPr>
      <w:r w:rsidRPr="00700241">
        <w:br w:type="page"/>
      </w:r>
    </w:p>
    <w:p w14:paraId="177BE973" w14:textId="1088933C" w:rsidR="002B6812" w:rsidRPr="00700241" w:rsidRDefault="002B6812" w:rsidP="000A0F4A">
      <w:pPr>
        <w:pStyle w:val="GreenHeading1"/>
      </w:pPr>
      <w:bookmarkStart w:id="2" w:name="_Toc103271279"/>
      <w:r w:rsidRPr="00700241">
        <w:t>Summary of KPIs (Tier A)</w:t>
      </w:r>
      <w:bookmarkEnd w:id="2"/>
    </w:p>
    <w:p w14:paraId="29B6882A" w14:textId="77777777" w:rsidR="002B6812" w:rsidRPr="008A2575" w:rsidRDefault="002B6812" w:rsidP="002B6812">
      <w:pPr>
        <w:spacing w:before="0" w:after="0"/>
        <w:rPr>
          <w:b/>
          <w:bCs/>
          <w:sz w:val="22"/>
          <w:szCs w:val="22"/>
          <w:lang w:val="en-AU"/>
        </w:rPr>
      </w:pPr>
      <w:r w:rsidRPr="008A2575">
        <w:rPr>
          <w:b/>
          <w:bCs/>
          <w:sz w:val="22"/>
          <w:szCs w:val="22"/>
          <w:lang w:val="en-AU"/>
        </w:rPr>
        <w:t>KPI1: Progress toward Transformational Change</w:t>
      </w:r>
    </w:p>
    <w:p w14:paraId="5A928381" w14:textId="77777777" w:rsidR="002B6812" w:rsidRPr="008A2575" w:rsidRDefault="002B6812" w:rsidP="002B6812">
      <w:pPr>
        <w:spacing w:before="0" w:after="0"/>
        <w:rPr>
          <w:sz w:val="22"/>
          <w:szCs w:val="22"/>
          <w:lang w:val="en-AU"/>
        </w:rPr>
      </w:pPr>
      <w:r w:rsidRPr="008A2575">
        <w:rPr>
          <w:sz w:val="22"/>
          <w:szCs w:val="22"/>
          <w:lang w:val="en-AU"/>
        </w:rPr>
        <w:t xml:space="preserve">A qualitative metric that assesses progress toward the Transformational Changes set out in investment rationales, that support the &amp;Green mission. It is judged by monitoring evidence of progress against milestones relating to System Change, Scale, and Durability of the Transformation. </w:t>
      </w:r>
    </w:p>
    <w:p w14:paraId="41CBDA4F" w14:textId="77777777" w:rsidR="002B6812" w:rsidRPr="008A2575" w:rsidRDefault="002B6812" w:rsidP="002B6812">
      <w:pPr>
        <w:spacing w:before="0" w:after="0"/>
        <w:rPr>
          <w:sz w:val="22"/>
          <w:szCs w:val="22"/>
          <w:lang w:val="en-AU"/>
        </w:rPr>
      </w:pPr>
    </w:p>
    <w:p w14:paraId="4482D87F" w14:textId="77777777" w:rsidR="002B6812" w:rsidRPr="008A2575" w:rsidRDefault="002B6812" w:rsidP="002B6812">
      <w:pPr>
        <w:spacing w:before="0" w:after="0"/>
        <w:rPr>
          <w:b/>
          <w:bCs/>
          <w:sz w:val="22"/>
          <w:szCs w:val="22"/>
          <w:lang w:val="en-AU"/>
        </w:rPr>
      </w:pPr>
      <w:r w:rsidRPr="008A2575">
        <w:rPr>
          <w:b/>
          <w:bCs/>
          <w:sz w:val="22"/>
          <w:szCs w:val="22"/>
          <w:lang w:val="en-AU"/>
        </w:rPr>
        <w:t>KPI2: #ha of Forest Protected</w:t>
      </w:r>
    </w:p>
    <w:p w14:paraId="6AB86B22" w14:textId="77777777" w:rsidR="002B6812" w:rsidRPr="008A2575" w:rsidRDefault="002B6812" w:rsidP="002B6812">
      <w:pPr>
        <w:spacing w:before="0" w:after="0"/>
        <w:rPr>
          <w:bCs/>
          <w:sz w:val="22"/>
          <w:szCs w:val="22"/>
          <w:lang w:val="en-IE"/>
        </w:rPr>
      </w:pPr>
      <w:r w:rsidRPr="008A2575">
        <w:rPr>
          <w:sz w:val="22"/>
          <w:szCs w:val="22"/>
          <w:lang w:val="en-AU"/>
        </w:rPr>
        <w:t xml:space="preserve">Monitors the area of identifiable forest </w:t>
      </w:r>
      <w:r w:rsidRPr="008A2575">
        <w:rPr>
          <w:i/>
          <w:iCs/>
          <w:sz w:val="22"/>
          <w:szCs w:val="22"/>
          <w:lang w:val="en-AU"/>
        </w:rPr>
        <w:t>conserved</w:t>
      </w:r>
      <w:r w:rsidRPr="008A2575">
        <w:rPr>
          <w:sz w:val="22"/>
          <w:szCs w:val="22"/>
          <w:lang w:val="en-AU"/>
        </w:rPr>
        <w:t xml:space="preserve"> plus forest </w:t>
      </w:r>
      <w:r w:rsidRPr="008A2575">
        <w:rPr>
          <w:i/>
          <w:iCs/>
          <w:sz w:val="22"/>
          <w:szCs w:val="22"/>
          <w:lang w:val="en-AU"/>
        </w:rPr>
        <w:t>restored,</w:t>
      </w:r>
      <w:r w:rsidRPr="008A2575">
        <w:rPr>
          <w:sz w:val="22"/>
          <w:szCs w:val="22"/>
          <w:lang w:val="en-AU"/>
        </w:rPr>
        <w:t xml:space="preserve"> plus peatland conserved or rehabilitated</w:t>
      </w:r>
      <w:r w:rsidRPr="008A2575">
        <w:rPr>
          <w:sz w:val="22"/>
          <w:szCs w:val="22"/>
          <w:vertAlign w:val="superscript"/>
          <w:lang w:val="en-AU"/>
        </w:rPr>
        <w:footnoteReference w:id="2"/>
      </w:r>
      <w:r w:rsidRPr="008A2575">
        <w:rPr>
          <w:sz w:val="22"/>
          <w:szCs w:val="22"/>
          <w:lang w:val="en-AU"/>
        </w:rPr>
        <w:t xml:space="preserve">. ‘Forest’ uses national definitions relating to </w:t>
      </w:r>
      <w:r w:rsidRPr="008A2575">
        <w:rPr>
          <w:bCs/>
          <w:sz w:val="22"/>
          <w:szCs w:val="22"/>
          <w:lang w:val="en-IE"/>
        </w:rPr>
        <w:t xml:space="preserve">crown cover, minimum area, land use type, and excludes plantation forests. Any reversals are deducted. </w:t>
      </w:r>
    </w:p>
    <w:p w14:paraId="3FF2DFE0" w14:textId="77777777" w:rsidR="002B6812" w:rsidRPr="008A2575" w:rsidRDefault="002B6812" w:rsidP="002B6812">
      <w:pPr>
        <w:spacing w:before="0" w:after="0"/>
        <w:rPr>
          <w:sz w:val="22"/>
          <w:szCs w:val="22"/>
          <w:lang w:val="en-AU"/>
        </w:rPr>
      </w:pPr>
    </w:p>
    <w:p w14:paraId="63837D1F" w14:textId="77777777" w:rsidR="002B6812" w:rsidRPr="008A2575" w:rsidRDefault="002B6812" w:rsidP="002B6812">
      <w:pPr>
        <w:spacing w:before="0" w:after="0"/>
        <w:rPr>
          <w:b/>
          <w:bCs/>
          <w:sz w:val="22"/>
          <w:szCs w:val="22"/>
          <w:lang w:val="en-AU"/>
        </w:rPr>
      </w:pPr>
      <w:r w:rsidRPr="008A2575">
        <w:rPr>
          <w:b/>
          <w:bCs/>
          <w:sz w:val="22"/>
          <w:szCs w:val="22"/>
          <w:lang w:val="en-AU"/>
        </w:rPr>
        <w:t>KPI3: #tCO</w:t>
      </w:r>
      <w:r w:rsidRPr="008A2575">
        <w:rPr>
          <w:b/>
          <w:bCs/>
          <w:sz w:val="22"/>
          <w:szCs w:val="22"/>
          <w:vertAlign w:val="subscript"/>
          <w:lang w:val="en-AU"/>
        </w:rPr>
        <w:t>2</w:t>
      </w:r>
      <w:r w:rsidRPr="008A2575">
        <w:rPr>
          <w:b/>
          <w:bCs/>
          <w:sz w:val="22"/>
          <w:szCs w:val="22"/>
          <w:lang w:val="en-AU"/>
        </w:rPr>
        <w:t>e of Climate Benefits</w:t>
      </w:r>
    </w:p>
    <w:p w14:paraId="46640BEB" w14:textId="77777777" w:rsidR="002B6812" w:rsidRPr="008A2575" w:rsidRDefault="002B6812" w:rsidP="002B6812">
      <w:pPr>
        <w:spacing w:before="0" w:after="0"/>
        <w:rPr>
          <w:sz w:val="22"/>
          <w:szCs w:val="22"/>
          <w:lang w:val="en-AU"/>
        </w:rPr>
      </w:pPr>
      <w:r w:rsidRPr="008A2575">
        <w:rPr>
          <w:sz w:val="22"/>
          <w:szCs w:val="22"/>
          <w:lang w:val="en-AU"/>
        </w:rPr>
        <w:t>Monitors the mitigation benefits in tonnes of Carbon Dioxide equivalent (tCO</w:t>
      </w:r>
      <w:r w:rsidRPr="008A2575">
        <w:rPr>
          <w:sz w:val="22"/>
          <w:szCs w:val="22"/>
          <w:vertAlign w:val="subscript"/>
          <w:lang w:val="en-AU"/>
        </w:rPr>
        <w:t>2</w:t>
      </w:r>
      <w:r w:rsidRPr="008A2575">
        <w:rPr>
          <w:sz w:val="22"/>
          <w:szCs w:val="22"/>
          <w:lang w:val="en-AU"/>
        </w:rPr>
        <w:t xml:space="preserve">e) from emissions </w:t>
      </w:r>
      <w:r w:rsidRPr="008A2575">
        <w:rPr>
          <w:i/>
          <w:iCs/>
          <w:sz w:val="22"/>
          <w:szCs w:val="22"/>
          <w:lang w:val="en-AU"/>
        </w:rPr>
        <w:t>reductions</w:t>
      </w:r>
      <w:r w:rsidRPr="008A2575">
        <w:rPr>
          <w:sz w:val="22"/>
          <w:szCs w:val="22"/>
          <w:lang w:val="en-AU"/>
        </w:rPr>
        <w:t xml:space="preserve"> plus emissions </w:t>
      </w:r>
      <w:r w:rsidRPr="008A2575">
        <w:rPr>
          <w:i/>
          <w:iCs/>
          <w:sz w:val="22"/>
          <w:szCs w:val="22"/>
          <w:lang w:val="en-AU"/>
        </w:rPr>
        <w:t>sequestration</w:t>
      </w:r>
      <w:r w:rsidRPr="008A2575">
        <w:rPr>
          <w:sz w:val="22"/>
          <w:szCs w:val="22"/>
          <w:lang w:val="en-AU"/>
        </w:rPr>
        <w:t xml:space="preserve">. Emissions reductions are generated from </w:t>
      </w:r>
      <w:r w:rsidRPr="008A2575">
        <w:rPr>
          <w:bCs/>
          <w:sz w:val="22"/>
          <w:szCs w:val="22"/>
          <w:lang w:val="en-IE"/>
        </w:rPr>
        <w:t xml:space="preserve">changes in farm management practices. Emissions sequestration results from regrowth and densification in degraded forests that are conserved, and from tree growth and establishment in forest restoration areas. Any reversals (and hence emissions) are deducted. </w:t>
      </w:r>
    </w:p>
    <w:p w14:paraId="072A014E" w14:textId="77777777" w:rsidR="002B6812" w:rsidRPr="008A2575" w:rsidRDefault="002B6812" w:rsidP="002B6812">
      <w:pPr>
        <w:spacing w:before="0" w:after="0"/>
        <w:rPr>
          <w:sz w:val="22"/>
          <w:szCs w:val="22"/>
          <w:lang w:val="en-AU"/>
        </w:rPr>
      </w:pPr>
    </w:p>
    <w:p w14:paraId="32FA5045" w14:textId="76BAFA82" w:rsidR="002B6812" w:rsidRPr="00DF7637" w:rsidRDefault="002B6812" w:rsidP="002B6812">
      <w:pPr>
        <w:spacing w:before="0" w:after="0"/>
        <w:rPr>
          <w:b/>
          <w:sz w:val="22"/>
          <w:szCs w:val="22"/>
          <w:lang w:val="en-AU"/>
        </w:rPr>
      </w:pPr>
      <w:r w:rsidRPr="00DF7637">
        <w:rPr>
          <w:b/>
          <w:sz w:val="22"/>
          <w:szCs w:val="22"/>
          <w:lang w:val="en-IE"/>
        </w:rPr>
        <w:t>KPI</w:t>
      </w:r>
      <w:r w:rsidR="007D5C83" w:rsidRPr="00DF7637">
        <w:rPr>
          <w:b/>
          <w:sz w:val="22"/>
          <w:szCs w:val="22"/>
          <w:lang w:val="en-IE"/>
        </w:rPr>
        <w:t>4</w:t>
      </w:r>
      <w:r w:rsidRPr="00DF7637">
        <w:rPr>
          <w:b/>
          <w:sz w:val="22"/>
          <w:szCs w:val="22"/>
          <w:lang w:val="en-IE"/>
        </w:rPr>
        <w:t xml:space="preserve">: </w:t>
      </w:r>
      <w:bookmarkStart w:id="3" w:name="_Hlk96617242"/>
      <w:r w:rsidRPr="00DF7637">
        <w:rPr>
          <w:b/>
          <w:sz w:val="22"/>
          <w:szCs w:val="22"/>
          <w:lang w:val="en-AU"/>
        </w:rPr>
        <w:t># ha of ecosystems with improved resilience</w:t>
      </w:r>
      <w:bookmarkEnd w:id="3"/>
    </w:p>
    <w:p w14:paraId="47E6293A" w14:textId="77777777" w:rsidR="002B6812" w:rsidRPr="00DF7637" w:rsidRDefault="002B6812" w:rsidP="002B6812">
      <w:pPr>
        <w:spacing w:before="0" w:after="0"/>
        <w:rPr>
          <w:bCs/>
          <w:sz w:val="22"/>
          <w:szCs w:val="22"/>
          <w:lang w:val="en-IE"/>
        </w:rPr>
      </w:pPr>
      <w:r w:rsidRPr="00DF7637">
        <w:rPr>
          <w:bCs/>
          <w:sz w:val="22"/>
          <w:szCs w:val="22"/>
          <w:lang w:val="en-IE"/>
        </w:rPr>
        <w:t>Monitors the a</w:t>
      </w:r>
      <w:r w:rsidRPr="00DF7637">
        <w:rPr>
          <w:sz w:val="22"/>
          <w:szCs w:val="22"/>
          <w:lang w:val="en-AU"/>
        </w:rPr>
        <w:t xml:space="preserve">rea of land rehabilitated, restored or protected, made up of the: area of forest protected (KPI2); </w:t>
      </w:r>
      <w:proofErr w:type="gramStart"/>
      <w:r w:rsidRPr="00DF7637">
        <w:rPr>
          <w:sz w:val="22"/>
          <w:szCs w:val="22"/>
          <w:lang w:val="en-AU"/>
        </w:rPr>
        <w:t>plus</w:t>
      </w:r>
      <w:proofErr w:type="gramEnd"/>
      <w:r w:rsidRPr="00DF7637">
        <w:rPr>
          <w:sz w:val="22"/>
          <w:szCs w:val="22"/>
          <w:lang w:val="en-AU"/>
        </w:rPr>
        <w:t xml:space="preserve"> area of </w:t>
      </w:r>
      <w:r w:rsidRPr="00DF7637">
        <w:rPr>
          <w:bCs/>
          <w:sz w:val="22"/>
          <w:szCs w:val="22"/>
          <w:lang w:val="en-IE"/>
        </w:rPr>
        <w:t>non-forest ecosystems restored or improved; plus</w:t>
      </w:r>
      <w:r w:rsidRPr="00DF7637">
        <w:rPr>
          <w:sz w:val="22"/>
          <w:szCs w:val="22"/>
          <w:lang w:val="en-AU"/>
        </w:rPr>
        <w:t xml:space="preserve"> areas of degraded land restored through regenerative agriculture, </w:t>
      </w:r>
      <w:proofErr w:type="spellStart"/>
      <w:r w:rsidRPr="00DF7637">
        <w:rPr>
          <w:bCs/>
          <w:sz w:val="22"/>
          <w:szCs w:val="22"/>
          <w:lang w:val="en-IE"/>
        </w:rPr>
        <w:t>silvo</w:t>
      </w:r>
      <w:proofErr w:type="spellEnd"/>
      <w:r w:rsidRPr="00DF7637">
        <w:rPr>
          <w:bCs/>
          <w:sz w:val="22"/>
          <w:szCs w:val="22"/>
          <w:lang w:val="en-IE"/>
        </w:rPr>
        <w:t>-pastoral agriculture or agroforestry.</w:t>
      </w:r>
    </w:p>
    <w:p w14:paraId="63C87ED1" w14:textId="77777777" w:rsidR="002B6812" w:rsidRPr="00DF7637" w:rsidRDefault="002B6812" w:rsidP="002B6812">
      <w:pPr>
        <w:spacing w:before="0" w:after="0"/>
        <w:rPr>
          <w:bCs/>
          <w:sz w:val="22"/>
          <w:szCs w:val="22"/>
          <w:lang w:val="en-IE"/>
        </w:rPr>
      </w:pPr>
    </w:p>
    <w:p w14:paraId="2C4AAE8B" w14:textId="77777777" w:rsidR="00DF7637" w:rsidRPr="008A2575" w:rsidRDefault="00DF7637" w:rsidP="00DF7637">
      <w:pPr>
        <w:spacing w:before="0" w:after="0"/>
        <w:rPr>
          <w:b/>
          <w:bCs/>
          <w:sz w:val="22"/>
          <w:szCs w:val="22"/>
          <w:lang w:val="en-IE"/>
        </w:rPr>
      </w:pPr>
      <w:r w:rsidRPr="00DF7637">
        <w:rPr>
          <w:b/>
          <w:bCs/>
          <w:sz w:val="22"/>
          <w:szCs w:val="22"/>
          <w:lang w:val="en-AU"/>
        </w:rPr>
        <w:t>KPI5: # people</w:t>
      </w:r>
      <w:r w:rsidRPr="008A2575">
        <w:rPr>
          <w:b/>
          <w:bCs/>
          <w:sz w:val="22"/>
          <w:szCs w:val="22"/>
          <w:lang w:val="en-AU"/>
        </w:rPr>
        <w:t xml:space="preserve"> with increased resilience</w:t>
      </w:r>
      <w:r w:rsidRPr="008A2575">
        <w:rPr>
          <w:b/>
          <w:bCs/>
          <w:sz w:val="22"/>
          <w:szCs w:val="22"/>
          <w:lang w:val="en-IE"/>
        </w:rPr>
        <w:t xml:space="preserve"> </w:t>
      </w:r>
    </w:p>
    <w:p w14:paraId="4816C83D" w14:textId="3BCA3AB4" w:rsidR="00DF7637" w:rsidRPr="008A2575" w:rsidRDefault="009D0440" w:rsidP="00DF7637">
      <w:pPr>
        <w:spacing w:before="0" w:after="0"/>
        <w:rPr>
          <w:bCs/>
          <w:sz w:val="22"/>
          <w:szCs w:val="22"/>
          <w:lang w:val="en-IE"/>
        </w:rPr>
      </w:pPr>
      <w:r>
        <w:rPr>
          <w:bCs/>
          <w:sz w:val="22"/>
          <w:szCs w:val="22"/>
          <w:lang w:val="en-IE"/>
        </w:rPr>
        <w:t>M</w:t>
      </w:r>
      <w:r w:rsidR="00DF7637" w:rsidRPr="008A2575">
        <w:rPr>
          <w:bCs/>
          <w:sz w:val="22"/>
          <w:szCs w:val="22"/>
          <w:lang w:val="en-IE"/>
        </w:rPr>
        <w:t xml:space="preserve">onitors and conservatively assesses the number of </w:t>
      </w:r>
      <w:r w:rsidR="00006837">
        <w:rPr>
          <w:bCs/>
          <w:sz w:val="22"/>
          <w:szCs w:val="22"/>
          <w:lang w:val="en-IE"/>
        </w:rPr>
        <w:t>people</w:t>
      </w:r>
      <w:r w:rsidR="00DF7637" w:rsidRPr="008A2575">
        <w:rPr>
          <w:bCs/>
          <w:sz w:val="22"/>
          <w:szCs w:val="22"/>
          <w:lang w:val="en-IE"/>
        </w:rPr>
        <w:t xml:space="preserve"> where a benefit or service is provided or made possible to improve the resilience of livelihoods.</w:t>
      </w:r>
    </w:p>
    <w:p w14:paraId="256B9BF4" w14:textId="77777777" w:rsidR="00DF7637" w:rsidRPr="008A2575" w:rsidRDefault="00DF7637" w:rsidP="002B6812">
      <w:pPr>
        <w:spacing w:before="0" w:after="0"/>
        <w:rPr>
          <w:bCs/>
          <w:sz w:val="22"/>
          <w:szCs w:val="22"/>
          <w:lang w:val="en-IE"/>
        </w:rPr>
      </w:pPr>
    </w:p>
    <w:p w14:paraId="1DB61595" w14:textId="77777777" w:rsidR="002B6812" w:rsidRPr="008A2575" w:rsidRDefault="002B6812" w:rsidP="002B6812">
      <w:pPr>
        <w:spacing w:before="0" w:after="0"/>
        <w:rPr>
          <w:b/>
          <w:bCs/>
          <w:sz w:val="22"/>
          <w:szCs w:val="22"/>
          <w:lang w:val="en-AU"/>
        </w:rPr>
      </w:pPr>
      <w:r w:rsidRPr="008A2575">
        <w:rPr>
          <w:b/>
          <w:bCs/>
          <w:sz w:val="22"/>
          <w:szCs w:val="22"/>
          <w:lang w:val="en-AU"/>
        </w:rPr>
        <w:t>KPI6: # of People Benefiting</w:t>
      </w:r>
    </w:p>
    <w:p w14:paraId="6D66C00E" w14:textId="21E993D7" w:rsidR="002B6812" w:rsidRPr="008A2575" w:rsidRDefault="002B6812" w:rsidP="002B6812">
      <w:pPr>
        <w:spacing w:before="0" w:after="0"/>
        <w:rPr>
          <w:sz w:val="22"/>
          <w:szCs w:val="22"/>
          <w:lang w:val="en-AU"/>
        </w:rPr>
      </w:pPr>
      <w:r w:rsidRPr="008A2575">
        <w:rPr>
          <w:sz w:val="22"/>
          <w:szCs w:val="22"/>
          <w:lang w:val="en-AU"/>
        </w:rPr>
        <w:t xml:space="preserve">Monitors the number of individuals benefitting from &amp;Green's </w:t>
      </w:r>
      <w:proofErr w:type="gramStart"/>
      <w:r w:rsidR="00BB5EF0" w:rsidRPr="008A2575">
        <w:rPr>
          <w:sz w:val="22"/>
          <w:szCs w:val="22"/>
          <w:lang w:val="en-AU"/>
        </w:rPr>
        <w:t>transaction</w:t>
      </w:r>
      <w:r w:rsidRPr="008A2575">
        <w:rPr>
          <w:sz w:val="22"/>
          <w:szCs w:val="22"/>
          <w:lang w:val="en-AU"/>
        </w:rPr>
        <w:t>s, and</w:t>
      </w:r>
      <w:proofErr w:type="gramEnd"/>
      <w:r w:rsidRPr="008A2575">
        <w:rPr>
          <w:sz w:val="22"/>
          <w:szCs w:val="22"/>
          <w:lang w:val="en-AU"/>
        </w:rPr>
        <w:t xml:space="preserve"> is the sum of: number of producers reached; community services provided to individuals; individuals benefiting from secured land tenure agreements; and jobs supported.</w:t>
      </w:r>
    </w:p>
    <w:p w14:paraId="19E2CB81" w14:textId="77777777" w:rsidR="002B6812" w:rsidRPr="008A2575" w:rsidRDefault="002B6812" w:rsidP="002B6812">
      <w:pPr>
        <w:spacing w:before="0" w:after="0"/>
        <w:rPr>
          <w:sz w:val="22"/>
          <w:szCs w:val="22"/>
          <w:lang w:val="en-AU"/>
        </w:rPr>
      </w:pPr>
    </w:p>
    <w:p w14:paraId="2CA5D56D" w14:textId="77777777" w:rsidR="002B6812" w:rsidRPr="008A2575" w:rsidRDefault="002B6812" w:rsidP="002B6812">
      <w:pPr>
        <w:spacing w:before="0" w:after="0"/>
        <w:rPr>
          <w:b/>
          <w:bCs/>
          <w:sz w:val="22"/>
          <w:szCs w:val="22"/>
          <w:lang w:val="en-AU"/>
        </w:rPr>
      </w:pPr>
      <w:r w:rsidRPr="008A2575">
        <w:rPr>
          <w:b/>
          <w:bCs/>
          <w:sz w:val="22"/>
          <w:szCs w:val="22"/>
          <w:lang w:val="en-AU"/>
        </w:rPr>
        <w:t>KPI7: USD of Capital Mobilised</w:t>
      </w:r>
    </w:p>
    <w:p w14:paraId="680FBA3E" w14:textId="18288465" w:rsidR="00286EAB" w:rsidRPr="00221D19" w:rsidRDefault="00752AB5" w:rsidP="00221D19">
      <w:pPr>
        <w:rPr>
          <w:lang w:val="en-AU"/>
        </w:rPr>
      </w:pPr>
      <w:r>
        <w:rPr>
          <w:bCs/>
          <w:sz w:val="22"/>
          <w:szCs w:val="22"/>
          <w:lang w:val="en-IE"/>
        </w:rPr>
        <w:t>M</w:t>
      </w:r>
      <w:r w:rsidR="002B6812" w:rsidRPr="008A2575">
        <w:rPr>
          <w:bCs/>
          <w:sz w:val="22"/>
          <w:szCs w:val="22"/>
          <w:lang w:val="en-IE"/>
        </w:rPr>
        <w:t>onitors the ability to attract and direct capital towards supporting and implementing &amp;Green’s investment principles.</w:t>
      </w:r>
      <w:r w:rsidR="00286EAB" w:rsidRPr="00700241">
        <w:br w:type="page"/>
      </w:r>
    </w:p>
    <w:p w14:paraId="5503D3B2" w14:textId="64FB0869" w:rsidR="000D6C7D" w:rsidRPr="00700241" w:rsidRDefault="000506D7" w:rsidP="000A0F4A">
      <w:pPr>
        <w:pStyle w:val="GreenHeading1"/>
      </w:pPr>
      <w:bookmarkStart w:id="4" w:name="_Toc103271280"/>
      <w:r w:rsidRPr="00700241">
        <w:t xml:space="preserve">STRATEGIC: </w:t>
      </w:r>
      <w:r w:rsidR="00AD2C1A" w:rsidRPr="00700241">
        <w:t xml:space="preserve">KPI 1 </w:t>
      </w:r>
      <w:r w:rsidR="005646F7" w:rsidRPr="00700241">
        <w:t>–</w:t>
      </w:r>
      <w:r w:rsidR="00AA0843" w:rsidRPr="00700241">
        <w:t xml:space="preserve"> </w:t>
      </w:r>
      <w:r w:rsidR="005646F7" w:rsidRPr="00700241">
        <w:t>Transformational Change</w:t>
      </w:r>
      <w:bookmarkEnd w:id="4"/>
    </w:p>
    <w:p w14:paraId="2021BE0D" w14:textId="39FBC221" w:rsidR="0046373A" w:rsidRPr="00700241" w:rsidRDefault="00350974" w:rsidP="00AA0843">
      <w:pPr>
        <w:spacing w:before="0" w:after="0"/>
        <w:rPr>
          <w:szCs w:val="20"/>
          <w:lang w:val="en-AU"/>
        </w:rPr>
      </w:pPr>
      <w:r w:rsidRPr="00700241">
        <w:rPr>
          <w:szCs w:val="20"/>
          <w:lang w:val="en-AU"/>
        </w:rPr>
        <w:t xml:space="preserve">The Transformational Change (TC) KPI is qualitatively different from the other 6 KPIs in that it is </w:t>
      </w:r>
      <w:r w:rsidR="00A50230" w:rsidRPr="00700241">
        <w:rPr>
          <w:szCs w:val="20"/>
          <w:lang w:val="en-AU"/>
        </w:rPr>
        <w:t>assessed by &amp;Green</w:t>
      </w:r>
      <w:r w:rsidR="00DC23BF" w:rsidRPr="00700241">
        <w:rPr>
          <w:szCs w:val="20"/>
          <w:lang w:val="en-AU"/>
        </w:rPr>
        <w:t xml:space="preserve"> using monitored proxies, rather than directly monitoring activity outcomes.</w:t>
      </w:r>
      <w:r w:rsidR="00261A09" w:rsidRPr="00700241">
        <w:rPr>
          <w:szCs w:val="20"/>
          <w:lang w:val="en-AU"/>
        </w:rPr>
        <w:t xml:space="preserve"> KPI1 directly inform</w:t>
      </w:r>
      <w:r w:rsidR="00A7291E" w:rsidRPr="00700241">
        <w:rPr>
          <w:szCs w:val="20"/>
          <w:lang w:val="en-AU"/>
        </w:rPr>
        <w:t>s</w:t>
      </w:r>
      <w:r w:rsidR="00261A09" w:rsidRPr="00700241">
        <w:rPr>
          <w:szCs w:val="20"/>
          <w:lang w:val="en-AU"/>
        </w:rPr>
        <w:t xml:space="preserve"> project and portfolio </w:t>
      </w:r>
      <w:r w:rsidR="00A7291E" w:rsidRPr="00700241">
        <w:rPr>
          <w:szCs w:val="20"/>
          <w:lang w:val="en-AU"/>
        </w:rPr>
        <w:t xml:space="preserve">results </w:t>
      </w:r>
      <w:r w:rsidR="00261A09" w:rsidRPr="00700241">
        <w:rPr>
          <w:szCs w:val="20"/>
          <w:lang w:val="en-AU"/>
        </w:rPr>
        <w:t>relat</w:t>
      </w:r>
      <w:r w:rsidR="00A7291E" w:rsidRPr="00700241">
        <w:rPr>
          <w:szCs w:val="20"/>
          <w:lang w:val="en-AU"/>
        </w:rPr>
        <w:t xml:space="preserve">ive to the &amp;Green vision, but do not form part of the </w:t>
      </w:r>
      <w:r w:rsidR="00E051A3" w:rsidRPr="00700241">
        <w:rPr>
          <w:szCs w:val="20"/>
          <w:lang w:val="en-AU"/>
        </w:rPr>
        <w:t xml:space="preserve">contractually binding Environmental Returns (ERs). </w:t>
      </w:r>
      <w:r w:rsidR="004A25E8" w:rsidRPr="00700241">
        <w:rPr>
          <w:szCs w:val="20"/>
          <w:lang w:val="en-AU"/>
        </w:rPr>
        <w:t xml:space="preserve">Assessment of KPI1 per investment </w:t>
      </w:r>
      <w:r w:rsidR="0054396D" w:rsidRPr="00700241">
        <w:rPr>
          <w:szCs w:val="20"/>
          <w:lang w:val="en-AU"/>
        </w:rPr>
        <w:t>link</w:t>
      </w:r>
      <w:r w:rsidR="008966D0" w:rsidRPr="00700241">
        <w:rPr>
          <w:szCs w:val="20"/>
          <w:lang w:val="en-AU"/>
        </w:rPr>
        <w:t>s</w:t>
      </w:r>
      <w:r w:rsidR="0054396D" w:rsidRPr="00700241">
        <w:rPr>
          <w:szCs w:val="20"/>
          <w:lang w:val="en-AU"/>
        </w:rPr>
        <w:t xml:space="preserve"> implementation progress with the TC as described in the investment rationale</w:t>
      </w:r>
      <w:r w:rsidR="008966D0" w:rsidRPr="00700241">
        <w:rPr>
          <w:szCs w:val="20"/>
          <w:lang w:val="en-AU"/>
        </w:rPr>
        <w:t xml:space="preserve">. </w:t>
      </w:r>
    </w:p>
    <w:p w14:paraId="75AA0516" w14:textId="77777777" w:rsidR="00161980" w:rsidRPr="008A2575" w:rsidRDefault="00161980" w:rsidP="00AA0843">
      <w:pPr>
        <w:spacing w:before="0" w:after="0"/>
        <w:rPr>
          <w:sz w:val="22"/>
          <w:szCs w:val="22"/>
          <w:lang w:val="en-AU"/>
        </w:rPr>
      </w:pPr>
    </w:p>
    <w:p w14:paraId="7AB6C41A" w14:textId="75174049" w:rsidR="00161980" w:rsidRPr="00700241" w:rsidRDefault="00161980" w:rsidP="00F34EB2">
      <w:pPr>
        <w:spacing w:before="0"/>
        <w:rPr>
          <w:szCs w:val="20"/>
          <w:u w:val="single"/>
          <w:lang w:val="en-AU"/>
        </w:rPr>
      </w:pPr>
      <w:r w:rsidRPr="00700241">
        <w:rPr>
          <w:szCs w:val="20"/>
          <w:u w:val="single"/>
          <w:lang w:val="en-AU"/>
        </w:rPr>
        <w:t>Tier A KPI definition:</w:t>
      </w:r>
    </w:p>
    <w:p w14:paraId="456C44DC" w14:textId="1C614FB8" w:rsidR="00AA0843" w:rsidRPr="00700241" w:rsidRDefault="00AA0843" w:rsidP="00AA0843">
      <w:pPr>
        <w:spacing w:before="0" w:after="0"/>
        <w:rPr>
          <w:b/>
          <w:bCs/>
          <w:szCs w:val="20"/>
          <w:lang w:val="en-AU"/>
        </w:rPr>
      </w:pPr>
      <w:r w:rsidRPr="00700241">
        <w:rPr>
          <w:b/>
          <w:bCs/>
          <w:szCs w:val="20"/>
          <w:lang w:val="en-AU"/>
        </w:rPr>
        <w:t>KPI1: Progress toward Transformational Change</w:t>
      </w:r>
    </w:p>
    <w:p w14:paraId="5E718E48" w14:textId="659A8A8E" w:rsidR="00AA0843" w:rsidRPr="00700241" w:rsidRDefault="00AA0843" w:rsidP="008966D0">
      <w:pPr>
        <w:spacing w:before="0" w:after="0"/>
        <w:rPr>
          <w:szCs w:val="20"/>
          <w:lang w:val="en-AU"/>
        </w:rPr>
      </w:pPr>
      <w:r w:rsidRPr="00700241">
        <w:rPr>
          <w:szCs w:val="20"/>
          <w:lang w:val="en-AU"/>
        </w:rPr>
        <w:t xml:space="preserve">A qualitative metric that assesses progress toward the Transformational Changes set out in investment rationales, that support the &amp;Green mission. It is judged by monitoring evidence of progress against milestones relating to System Change, Scale, </w:t>
      </w:r>
      <w:r w:rsidRPr="007F77E1">
        <w:rPr>
          <w:szCs w:val="20"/>
          <w:lang w:val="en-AU"/>
        </w:rPr>
        <w:t>and Durability of the</w:t>
      </w:r>
      <w:r w:rsidRPr="00700241">
        <w:rPr>
          <w:szCs w:val="20"/>
          <w:lang w:val="en-AU"/>
        </w:rPr>
        <w:t xml:space="preserve"> Transformation.</w:t>
      </w:r>
    </w:p>
    <w:p w14:paraId="2B1C4450" w14:textId="38311C5D" w:rsidR="000640BA" w:rsidRDefault="000640BA" w:rsidP="000640BA">
      <w:pPr>
        <w:rPr>
          <w:szCs w:val="20"/>
          <w:lang w:val="en-AU"/>
        </w:rPr>
      </w:pPr>
      <w:r w:rsidRPr="00700241">
        <w:rPr>
          <w:szCs w:val="20"/>
          <w:lang w:val="en-AU"/>
        </w:rPr>
        <w:t xml:space="preserve">The &amp;Green TC is shown in </w:t>
      </w:r>
      <w:r w:rsidRPr="00700241">
        <w:rPr>
          <w:szCs w:val="20"/>
          <w:lang w:val="en-AU"/>
        </w:rPr>
        <w:fldChar w:fldCharType="begin"/>
      </w:r>
      <w:r w:rsidRPr="00700241">
        <w:rPr>
          <w:szCs w:val="20"/>
          <w:lang w:val="en-AU"/>
        </w:rPr>
        <w:instrText xml:space="preserve"> REF _Ref75793017 \h </w:instrText>
      </w:r>
      <w:r w:rsidR="004F6596" w:rsidRPr="00700241">
        <w:rPr>
          <w:szCs w:val="20"/>
          <w:lang w:val="en-AU"/>
        </w:rPr>
        <w:instrText xml:space="preserve"> \* MERGEFORMAT </w:instrText>
      </w:r>
      <w:r w:rsidRPr="00700241">
        <w:rPr>
          <w:szCs w:val="20"/>
          <w:lang w:val="en-AU"/>
        </w:rPr>
      </w:r>
      <w:r w:rsidRPr="00700241">
        <w:rPr>
          <w:szCs w:val="20"/>
          <w:lang w:val="en-AU"/>
        </w:rPr>
        <w:fldChar w:fldCharType="separate"/>
      </w:r>
      <w:r w:rsidRPr="00700241">
        <w:rPr>
          <w:szCs w:val="20"/>
          <w:lang w:val="en-AU"/>
        </w:rPr>
        <w:t>Figure 1</w:t>
      </w:r>
      <w:r w:rsidRPr="00700241">
        <w:rPr>
          <w:szCs w:val="20"/>
          <w:lang w:val="en-AU"/>
        </w:rPr>
        <w:fldChar w:fldCharType="end"/>
      </w:r>
      <w:r w:rsidRPr="00700241">
        <w:rPr>
          <w:szCs w:val="20"/>
          <w:lang w:val="en-AU"/>
        </w:rPr>
        <w:t>, with main dimensions (</w:t>
      </w:r>
      <w:r w:rsidR="00230032" w:rsidRPr="00700241">
        <w:rPr>
          <w:szCs w:val="20"/>
          <w:lang w:val="en-AU"/>
        </w:rPr>
        <w:t xml:space="preserve">System Change, Scale and </w:t>
      </w:r>
      <w:r w:rsidR="00423D43">
        <w:rPr>
          <w:szCs w:val="20"/>
          <w:lang w:val="en-AU"/>
        </w:rPr>
        <w:t>Durability</w:t>
      </w:r>
      <w:r w:rsidR="00230032" w:rsidRPr="00700241">
        <w:rPr>
          <w:szCs w:val="20"/>
          <w:lang w:val="en-AU"/>
        </w:rPr>
        <w:t>)</w:t>
      </w:r>
      <w:r w:rsidRPr="00700241">
        <w:rPr>
          <w:szCs w:val="20"/>
          <w:lang w:val="en-AU"/>
        </w:rPr>
        <w:t xml:space="preserve"> and proxies (green boxes) taken from best practice approaches and amended to be &amp;Green specific. </w:t>
      </w:r>
    </w:p>
    <w:p w14:paraId="357EBC18" w14:textId="488E4B96" w:rsidR="00D24832" w:rsidRDefault="002F4ACF" w:rsidP="000640BA">
      <w:pPr>
        <w:rPr>
          <w:szCs w:val="20"/>
          <w:lang w:val="en-AU"/>
        </w:rPr>
      </w:pPr>
      <w:r w:rsidRPr="002F4ACF">
        <w:rPr>
          <w:noProof/>
        </w:rPr>
        <w:drawing>
          <wp:inline distT="0" distB="0" distL="0" distR="0" wp14:anchorId="7430F6EF" wp14:editId="12F2F79F">
            <wp:extent cx="6043159" cy="270891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045295" cy="2709868"/>
                    </a:xfrm>
                    <a:prstGeom prst="rect">
                      <a:avLst/>
                    </a:prstGeom>
                    <a:noFill/>
                    <a:ln>
                      <a:noFill/>
                    </a:ln>
                  </pic:spPr>
                </pic:pic>
              </a:graphicData>
            </a:graphic>
          </wp:inline>
        </w:drawing>
      </w:r>
    </w:p>
    <w:p w14:paraId="00884A07" w14:textId="57C966C8" w:rsidR="0027175D" w:rsidRPr="00700241" w:rsidRDefault="00D00DDE" w:rsidP="00D00DDE">
      <w:pPr>
        <w:pStyle w:val="Caption"/>
        <w:rPr>
          <w:lang w:val="en-AU"/>
        </w:rPr>
      </w:pPr>
      <w:r w:rsidRPr="00700241">
        <w:t xml:space="preserve">Figure </w:t>
      </w:r>
      <w:fldSimple w:instr=" SEQ Figure \* ARABIC ">
        <w:r w:rsidR="00F44BEE" w:rsidRPr="00700241">
          <w:rPr>
            <w:noProof/>
          </w:rPr>
          <w:t>1</w:t>
        </w:r>
      </w:fldSimple>
      <w:r w:rsidRPr="00700241">
        <w:t xml:space="preserve"> &amp;Green Transformational Change</w:t>
      </w:r>
      <w:r w:rsidR="0047359E" w:rsidRPr="00700241">
        <w:t xml:space="preserve"> pathway</w:t>
      </w:r>
    </w:p>
    <w:p w14:paraId="6ECD16F2" w14:textId="316158C1" w:rsidR="0013358A" w:rsidRPr="00700241" w:rsidRDefault="0013358A" w:rsidP="0013358A">
      <w:pPr>
        <w:rPr>
          <w:lang w:val="en-AU"/>
        </w:rPr>
      </w:pPr>
      <w:bookmarkStart w:id="5" w:name="_Hlk75963901"/>
      <w:r w:rsidRPr="00700241">
        <w:rPr>
          <w:lang w:val="en-AU"/>
        </w:rPr>
        <w:t xml:space="preserve">The TC KPI assesses ‘progress toward transformation’, NOT </w:t>
      </w:r>
      <w:proofErr w:type="gramStart"/>
      <w:r w:rsidRPr="00700241">
        <w:rPr>
          <w:lang w:val="en-AU"/>
        </w:rPr>
        <w:t>whether or not</w:t>
      </w:r>
      <w:proofErr w:type="gramEnd"/>
      <w:r w:rsidRPr="00700241">
        <w:rPr>
          <w:lang w:val="en-AU"/>
        </w:rPr>
        <w:t xml:space="preserve"> TC has been achieved. Each dimension of TC is</w:t>
      </w:r>
      <w:r w:rsidR="00E6189F" w:rsidRPr="00700241">
        <w:rPr>
          <w:lang w:val="en-AU"/>
        </w:rPr>
        <w:t xml:space="preserve"> an OPI and is</w:t>
      </w:r>
      <w:r w:rsidRPr="00700241">
        <w:rPr>
          <w:lang w:val="en-AU"/>
        </w:rPr>
        <w:t xml:space="preserve"> assessed (directly or by proxies) and results aggregated on a simple scale:</w:t>
      </w:r>
    </w:p>
    <w:p w14:paraId="4CF6341B" w14:textId="77777777" w:rsidR="0013358A" w:rsidRPr="00700241" w:rsidRDefault="0013358A" w:rsidP="0013358A">
      <w:pPr>
        <w:rPr>
          <w:lang w:val="en-AU"/>
        </w:rPr>
      </w:pPr>
      <w:r w:rsidRPr="00700241">
        <w:rPr>
          <w:lang w:val="en-AU"/>
        </w:rPr>
        <w:t>0</w:t>
      </w:r>
      <w:r w:rsidRPr="00700241">
        <w:rPr>
          <w:lang w:val="en-AU"/>
        </w:rPr>
        <w:tab/>
        <w:t>Transformation judged unlikely</w:t>
      </w:r>
    </w:p>
    <w:p w14:paraId="1C39C2C2" w14:textId="77777777" w:rsidR="0013358A" w:rsidRPr="00700241" w:rsidRDefault="0013358A" w:rsidP="0013358A">
      <w:pPr>
        <w:rPr>
          <w:lang w:val="en-AU"/>
        </w:rPr>
      </w:pPr>
      <w:r w:rsidRPr="00700241">
        <w:rPr>
          <w:lang w:val="en-AU"/>
        </w:rPr>
        <w:t>1</w:t>
      </w:r>
      <w:r w:rsidRPr="00700241">
        <w:rPr>
          <w:lang w:val="en-AU"/>
        </w:rPr>
        <w:tab/>
        <w:t>Evidence not yet available (too soon) OR conflicting evidence for &amp; against TC progress</w:t>
      </w:r>
    </w:p>
    <w:p w14:paraId="6EF142DF" w14:textId="77777777" w:rsidR="0013358A" w:rsidRPr="00700241" w:rsidRDefault="0013358A" w:rsidP="0013358A">
      <w:pPr>
        <w:rPr>
          <w:lang w:val="en-AU"/>
        </w:rPr>
      </w:pPr>
      <w:r w:rsidRPr="00700241">
        <w:rPr>
          <w:lang w:val="en-AU"/>
        </w:rPr>
        <w:t>2</w:t>
      </w:r>
      <w:r w:rsidRPr="00700241">
        <w:rPr>
          <w:lang w:val="en-AU"/>
        </w:rPr>
        <w:tab/>
        <w:t>Early or tentative evidence suggests Transformation possible</w:t>
      </w:r>
    </w:p>
    <w:p w14:paraId="389F6045" w14:textId="77777777" w:rsidR="0013358A" w:rsidRPr="00700241" w:rsidRDefault="0013358A" w:rsidP="0013358A">
      <w:pPr>
        <w:rPr>
          <w:lang w:val="en-AU"/>
        </w:rPr>
      </w:pPr>
      <w:r w:rsidRPr="00700241">
        <w:rPr>
          <w:lang w:val="en-AU"/>
        </w:rPr>
        <w:t>3</w:t>
      </w:r>
      <w:r w:rsidRPr="00700241">
        <w:rPr>
          <w:lang w:val="en-AU"/>
        </w:rPr>
        <w:tab/>
        <w:t xml:space="preserve">Clear evidence of change – Transformation judged likely </w:t>
      </w:r>
    </w:p>
    <w:p w14:paraId="553D0943" w14:textId="67136F57" w:rsidR="0013358A" w:rsidRPr="00700241" w:rsidRDefault="0013358A" w:rsidP="0013358A">
      <w:pPr>
        <w:rPr>
          <w:lang w:val="en-AU"/>
        </w:rPr>
      </w:pPr>
      <w:r w:rsidRPr="00700241">
        <w:rPr>
          <w:lang w:val="en-AU"/>
        </w:rPr>
        <w:t>The purpose of the TC KPI is to monitor progress</w:t>
      </w:r>
      <w:r w:rsidR="001805DA" w:rsidRPr="00700241">
        <w:rPr>
          <w:lang w:val="en-AU"/>
        </w:rPr>
        <w:t xml:space="preserve"> AND</w:t>
      </w:r>
      <w:r w:rsidRPr="00700241">
        <w:rPr>
          <w:lang w:val="en-AU"/>
        </w:rPr>
        <w:t xml:space="preserve"> to embed and reinforce thinking about the overall objective of TC, and to move away from focus on incremental change. An assessed </w:t>
      </w:r>
      <w:r w:rsidR="00BB5EF0" w:rsidRPr="00700241">
        <w:rPr>
          <w:lang w:val="en-AU"/>
        </w:rPr>
        <w:t>transaction</w:t>
      </w:r>
      <w:r w:rsidRPr="00700241">
        <w:rPr>
          <w:lang w:val="en-AU"/>
        </w:rPr>
        <w:t xml:space="preserve"> is reported in two parts: the assessed score (e.g.: 1.7), and a narrative describing how that assessment was reached. </w:t>
      </w:r>
    </w:p>
    <w:bookmarkEnd w:id="5"/>
    <w:p w14:paraId="0E7DB86C" w14:textId="6391E367" w:rsidR="009F1764" w:rsidRPr="00700241" w:rsidRDefault="003D45FF" w:rsidP="009F1764">
      <w:pPr>
        <w:rPr>
          <w:bCs/>
          <w:i/>
          <w:iCs/>
        </w:rPr>
      </w:pPr>
      <w:r w:rsidRPr="00700241">
        <w:rPr>
          <w:bCs/>
        </w:rPr>
        <w:t>T</w:t>
      </w:r>
      <w:r w:rsidR="009F1764" w:rsidRPr="00700241">
        <w:rPr>
          <w:bCs/>
        </w:rPr>
        <w:t xml:space="preserve">he metrics </w:t>
      </w:r>
      <w:r w:rsidR="00130A05" w:rsidRPr="00700241">
        <w:rPr>
          <w:bCs/>
        </w:rPr>
        <w:t>monitored are</w:t>
      </w:r>
      <w:r w:rsidR="009F1764" w:rsidRPr="00700241">
        <w:rPr>
          <w:bCs/>
        </w:rPr>
        <w:t xml:space="preserve"> selected based on their pertinence to the dimensions and proxies</w:t>
      </w:r>
      <w:r w:rsidR="00130A05" w:rsidRPr="00700241">
        <w:rPr>
          <w:bCs/>
        </w:rPr>
        <w:t>. To minimise transaction costs</w:t>
      </w:r>
      <w:r w:rsidR="009F1764" w:rsidRPr="00700241">
        <w:rPr>
          <w:bCs/>
        </w:rPr>
        <w:t>,</w:t>
      </w:r>
      <w:r w:rsidR="005121D2" w:rsidRPr="00700241">
        <w:rPr>
          <w:bCs/>
        </w:rPr>
        <w:t xml:space="preserve"> metrics </w:t>
      </w:r>
      <w:r w:rsidR="00130A05" w:rsidRPr="00700241">
        <w:rPr>
          <w:bCs/>
        </w:rPr>
        <w:t>are</w:t>
      </w:r>
      <w:r w:rsidR="009F1764" w:rsidRPr="00700241">
        <w:rPr>
          <w:bCs/>
        </w:rPr>
        <w:t xml:space="preserve"> drawn from </w:t>
      </w:r>
      <w:r w:rsidR="00563F74" w:rsidRPr="00700241">
        <w:rPr>
          <w:bCs/>
        </w:rPr>
        <w:t>OPIs (and possibly</w:t>
      </w:r>
      <w:r w:rsidR="009F1764" w:rsidRPr="00700241">
        <w:rPr>
          <w:bCs/>
        </w:rPr>
        <w:t xml:space="preserve"> KPIs</w:t>
      </w:r>
      <w:r w:rsidR="00563F74" w:rsidRPr="00700241">
        <w:rPr>
          <w:bCs/>
        </w:rPr>
        <w:t>)</w:t>
      </w:r>
      <w:r w:rsidR="005121D2" w:rsidRPr="00700241">
        <w:rPr>
          <w:bCs/>
        </w:rPr>
        <w:t xml:space="preserve"> and other data </w:t>
      </w:r>
      <w:r w:rsidR="009F1764" w:rsidRPr="00700241">
        <w:rPr>
          <w:bCs/>
        </w:rPr>
        <w:t xml:space="preserve">from </w:t>
      </w:r>
      <w:r w:rsidR="00BB5EF0" w:rsidRPr="00700241">
        <w:rPr>
          <w:bCs/>
        </w:rPr>
        <w:t>transaction</w:t>
      </w:r>
      <w:r w:rsidR="009F1764" w:rsidRPr="00700241">
        <w:rPr>
          <w:bCs/>
        </w:rPr>
        <w:t xml:space="preserve"> reporting and LPPs.</w:t>
      </w:r>
      <w:r w:rsidR="00F36906" w:rsidRPr="00700241">
        <w:rPr>
          <w:bCs/>
        </w:rPr>
        <w:t xml:space="preserve"> Additional example metrics, and further guidance can be found in </w:t>
      </w:r>
      <w:r w:rsidR="00CD0C0D" w:rsidRPr="00700241">
        <w:rPr>
          <w:bCs/>
        </w:rPr>
        <w:t xml:space="preserve">the (Tier </w:t>
      </w:r>
      <w:r w:rsidR="00E36843" w:rsidRPr="00700241">
        <w:rPr>
          <w:bCs/>
        </w:rPr>
        <w:t>D</w:t>
      </w:r>
      <w:r w:rsidR="00CD0C0D" w:rsidRPr="00700241">
        <w:rPr>
          <w:bCs/>
        </w:rPr>
        <w:t xml:space="preserve">) document: </w:t>
      </w:r>
      <w:r w:rsidR="000A6341" w:rsidRPr="00700241">
        <w:rPr>
          <w:bCs/>
          <w:i/>
          <w:iCs/>
        </w:rPr>
        <w:t>Transformational Change</w:t>
      </w:r>
      <w:r w:rsidR="00211A3B" w:rsidRPr="00700241">
        <w:rPr>
          <w:bCs/>
          <w:i/>
          <w:iCs/>
        </w:rPr>
        <w:t xml:space="preserve"> - &amp;Green KPI approach. </w:t>
      </w:r>
    </w:p>
    <w:p w14:paraId="2CD42972" w14:textId="77777777" w:rsidR="00785504" w:rsidRPr="00700241" w:rsidRDefault="00785504" w:rsidP="009F1764">
      <w:pPr>
        <w:rPr>
          <w:bCs/>
        </w:rPr>
      </w:pPr>
    </w:p>
    <w:tbl>
      <w:tblPr>
        <w:tblStyle w:val="TableGrid"/>
        <w:tblW w:w="10065" w:type="dxa"/>
        <w:tblInd w:w="-176" w:type="dxa"/>
        <w:tblLook w:val="04A0" w:firstRow="1" w:lastRow="0" w:firstColumn="1" w:lastColumn="0" w:noHBand="0" w:noVBand="1"/>
      </w:tblPr>
      <w:tblGrid>
        <w:gridCol w:w="2127"/>
        <w:gridCol w:w="3544"/>
        <w:gridCol w:w="4394"/>
      </w:tblGrid>
      <w:tr w:rsidR="000261EE" w:rsidRPr="00700241" w14:paraId="4A8081DF" w14:textId="77777777" w:rsidTr="00785504">
        <w:trPr>
          <w:cnfStyle w:val="100000000000" w:firstRow="1" w:lastRow="0" w:firstColumn="0" w:lastColumn="0" w:oddVBand="0" w:evenVBand="0" w:oddHBand="0" w:evenHBand="0" w:firstRowFirstColumn="0" w:firstRowLastColumn="0" w:lastRowFirstColumn="0" w:lastRowLastColumn="0"/>
        </w:trPr>
        <w:tc>
          <w:tcPr>
            <w:tcW w:w="2127" w:type="dxa"/>
          </w:tcPr>
          <w:p w14:paraId="38FBDB90" w14:textId="77777777" w:rsidR="009F1764" w:rsidRPr="00700241" w:rsidRDefault="009F1764" w:rsidP="009F1764">
            <w:pPr>
              <w:jc w:val="left"/>
              <w:rPr>
                <w:lang w:val="en-IE"/>
              </w:rPr>
            </w:pPr>
            <w:r w:rsidRPr="00700241">
              <w:rPr>
                <w:lang w:val="en-IE"/>
              </w:rPr>
              <w:t>Dimension Definition</w:t>
            </w:r>
          </w:p>
        </w:tc>
        <w:tc>
          <w:tcPr>
            <w:tcW w:w="3544" w:type="dxa"/>
          </w:tcPr>
          <w:p w14:paraId="312303BF" w14:textId="77777777" w:rsidR="009F1764" w:rsidRPr="00700241" w:rsidRDefault="009F1764" w:rsidP="009F1764">
            <w:pPr>
              <w:jc w:val="left"/>
              <w:rPr>
                <w:lang w:val="en-IE"/>
              </w:rPr>
            </w:pPr>
            <w:r w:rsidRPr="00700241">
              <w:rPr>
                <w:lang w:val="en-IE"/>
              </w:rPr>
              <w:t>Proxy definition</w:t>
            </w:r>
          </w:p>
        </w:tc>
        <w:tc>
          <w:tcPr>
            <w:tcW w:w="4394" w:type="dxa"/>
          </w:tcPr>
          <w:p w14:paraId="27538776" w14:textId="77777777" w:rsidR="009F1764" w:rsidRPr="00700241" w:rsidRDefault="009F1764" w:rsidP="009F1764">
            <w:pPr>
              <w:jc w:val="left"/>
              <w:rPr>
                <w:sz w:val="18"/>
                <w:szCs w:val="22"/>
                <w:lang w:val="en-IE"/>
              </w:rPr>
            </w:pPr>
            <w:r w:rsidRPr="00700241">
              <w:rPr>
                <w:lang w:val="en-IE"/>
              </w:rPr>
              <w:t>Example Metrics</w:t>
            </w:r>
          </w:p>
        </w:tc>
      </w:tr>
      <w:tr w:rsidR="00CF3A6F" w:rsidRPr="00700241" w14:paraId="12797013" w14:textId="77777777" w:rsidTr="00785504">
        <w:trPr>
          <w:trHeight w:val="2500"/>
        </w:trPr>
        <w:tc>
          <w:tcPr>
            <w:tcW w:w="2127" w:type="dxa"/>
            <w:shd w:val="clear" w:color="auto" w:fill="E2EFD9" w:themeFill="accent6" w:themeFillTint="33"/>
          </w:tcPr>
          <w:p w14:paraId="7969B502" w14:textId="77777777" w:rsidR="009C2BDB" w:rsidRPr="00700241" w:rsidRDefault="009C2BDB" w:rsidP="003532BC">
            <w:pPr>
              <w:rPr>
                <w:b/>
                <w:lang w:val="en-IE"/>
              </w:rPr>
            </w:pPr>
            <w:r w:rsidRPr="00700241">
              <w:rPr>
                <w:b/>
                <w:lang w:val="en-IE"/>
              </w:rPr>
              <w:t>Relevance</w:t>
            </w:r>
          </w:p>
          <w:p w14:paraId="4E527ECC" w14:textId="5DAFD871" w:rsidR="009C2BDB" w:rsidRPr="00700241" w:rsidRDefault="00CD66D2" w:rsidP="003532BC">
            <w:pPr>
              <w:rPr>
                <w:bCs/>
                <w:lang w:val="en-IE"/>
              </w:rPr>
            </w:pPr>
            <w:r w:rsidRPr="00700241">
              <w:rPr>
                <w:bCs/>
                <w:lang w:val="en-IE"/>
              </w:rPr>
              <w:t>H</w:t>
            </w:r>
            <w:r w:rsidR="009C2BDB" w:rsidRPr="00700241">
              <w:rPr>
                <w:bCs/>
                <w:lang w:val="en-IE"/>
              </w:rPr>
              <w:t>igh-level political buy-in and broad support from societies, cultures, and interest groups enable widespread changes</w:t>
            </w:r>
          </w:p>
        </w:tc>
        <w:tc>
          <w:tcPr>
            <w:tcW w:w="3544" w:type="dxa"/>
            <w:shd w:val="clear" w:color="auto" w:fill="E2EFD9" w:themeFill="accent6" w:themeFillTint="33"/>
          </w:tcPr>
          <w:p w14:paraId="399702F6" w14:textId="77777777" w:rsidR="009C2BDB" w:rsidRPr="00700241" w:rsidRDefault="009C2BDB" w:rsidP="009F1764">
            <w:pPr>
              <w:rPr>
                <w:bCs/>
                <w:lang w:val="en-IE"/>
              </w:rPr>
            </w:pPr>
            <w:r w:rsidRPr="00700241">
              <w:rPr>
                <w:bCs/>
                <w:lang w:val="en-IE"/>
              </w:rPr>
              <w:t xml:space="preserve">The &amp;Green Jurisdictional Eligibility Criteria Assessment (JECA). </w:t>
            </w:r>
          </w:p>
        </w:tc>
        <w:tc>
          <w:tcPr>
            <w:tcW w:w="4394" w:type="dxa"/>
            <w:shd w:val="clear" w:color="auto" w:fill="E2EFD9" w:themeFill="accent6" w:themeFillTint="33"/>
          </w:tcPr>
          <w:p w14:paraId="71596C1C" w14:textId="77777777" w:rsidR="009C2BDB" w:rsidRPr="00700241" w:rsidRDefault="009C2BDB" w:rsidP="009F1764">
            <w:pPr>
              <w:rPr>
                <w:bCs/>
                <w:sz w:val="18"/>
                <w:szCs w:val="22"/>
                <w:lang w:val="en-IE"/>
              </w:rPr>
            </w:pPr>
            <w:r w:rsidRPr="00700241">
              <w:rPr>
                <w:bCs/>
                <w:sz w:val="18"/>
                <w:szCs w:val="22"/>
                <w:lang w:val="en-IE"/>
              </w:rPr>
              <w:t>JECA approved and valid for investment: Y/N</w:t>
            </w:r>
          </w:p>
          <w:p w14:paraId="0E9558B9" w14:textId="77777777" w:rsidR="009C2BDB" w:rsidRPr="00700241" w:rsidRDefault="009C2BDB" w:rsidP="009F1764">
            <w:pPr>
              <w:rPr>
                <w:bCs/>
                <w:sz w:val="18"/>
                <w:szCs w:val="22"/>
                <w:lang w:val="en-IE"/>
              </w:rPr>
            </w:pPr>
          </w:p>
        </w:tc>
      </w:tr>
      <w:tr w:rsidR="00CF3A6F" w:rsidRPr="00700241" w14:paraId="70E1419C" w14:textId="77777777" w:rsidTr="00785504">
        <w:tc>
          <w:tcPr>
            <w:tcW w:w="2127" w:type="dxa"/>
            <w:vMerge w:val="restart"/>
            <w:shd w:val="clear" w:color="auto" w:fill="FBE4D5" w:themeFill="accent2" w:themeFillTint="33"/>
          </w:tcPr>
          <w:p w14:paraId="61ABA08D" w14:textId="77777777" w:rsidR="009F1764" w:rsidRPr="00700241" w:rsidRDefault="009F1764" w:rsidP="003532BC">
            <w:pPr>
              <w:rPr>
                <w:b/>
                <w:lang w:val="en-IE"/>
              </w:rPr>
            </w:pPr>
            <w:r w:rsidRPr="00700241">
              <w:rPr>
                <w:b/>
                <w:lang w:val="en-IE"/>
              </w:rPr>
              <w:t>Effective System Change</w:t>
            </w:r>
          </w:p>
          <w:p w14:paraId="103B1C30" w14:textId="77777777" w:rsidR="009F1764" w:rsidRPr="00700241" w:rsidRDefault="009F1764" w:rsidP="003532BC">
            <w:pPr>
              <w:rPr>
                <w:lang w:val="en-AU"/>
              </w:rPr>
            </w:pPr>
          </w:p>
          <w:p w14:paraId="46B5248B" w14:textId="77777777" w:rsidR="009F1764" w:rsidRPr="00700241" w:rsidRDefault="009F1764" w:rsidP="003532BC">
            <w:pPr>
              <w:rPr>
                <w:bCs/>
                <w:lang w:val="en-IE"/>
              </w:rPr>
            </w:pPr>
            <w:r w:rsidRPr="00700241">
              <w:rPr>
                <w:bCs/>
                <w:lang w:val="en-IE"/>
              </w:rPr>
              <w:t>&amp;Green investments enhance local capacity to change from the dominant paradigm</w:t>
            </w:r>
          </w:p>
          <w:p w14:paraId="2E47D0CC" w14:textId="77777777" w:rsidR="009F1764" w:rsidRPr="00700241" w:rsidRDefault="009F1764" w:rsidP="003532BC">
            <w:pPr>
              <w:rPr>
                <w:lang w:val="en-AU"/>
              </w:rPr>
            </w:pPr>
          </w:p>
          <w:p w14:paraId="1421F5F5" w14:textId="77777777" w:rsidR="009F1764" w:rsidRPr="00700241" w:rsidRDefault="009F1764" w:rsidP="003532BC">
            <w:pPr>
              <w:rPr>
                <w:lang w:val="en-AU"/>
              </w:rPr>
            </w:pPr>
          </w:p>
          <w:p w14:paraId="75E5754B" w14:textId="77777777" w:rsidR="009F1764" w:rsidRPr="00700241" w:rsidRDefault="009F1764" w:rsidP="003532BC">
            <w:pPr>
              <w:rPr>
                <w:lang w:val="en-AU"/>
              </w:rPr>
            </w:pPr>
          </w:p>
          <w:p w14:paraId="7ED1AE69" w14:textId="77777777" w:rsidR="009F1764" w:rsidRPr="00700241" w:rsidRDefault="009F1764" w:rsidP="003532BC">
            <w:pPr>
              <w:rPr>
                <w:bCs/>
                <w:lang w:val="en-IE"/>
              </w:rPr>
            </w:pPr>
          </w:p>
        </w:tc>
        <w:tc>
          <w:tcPr>
            <w:tcW w:w="3544" w:type="dxa"/>
            <w:shd w:val="clear" w:color="auto" w:fill="FBE4D5" w:themeFill="accent2" w:themeFillTint="33"/>
          </w:tcPr>
          <w:p w14:paraId="4D1CEF33" w14:textId="77777777" w:rsidR="009F1764" w:rsidRPr="00700241" w:rsidRDefault="009F1764" w:rsidP="009F1764">
            <w:pPr>
              <w:rPr>
                <w:lang w:val="en-AU"/>
              </w:rPr>
            </w:pPr>
            <w:r w:rsidRPr="00700241">
              <w:rPr>
                <w:bCs/>
                <w:lang w:val="en-IE"/>
              </w:rPr>
              <w:t>Change business practice</w:t>
            </w:r>
            <w:r w:rsidRPr="00700241">
              <w:rPr>
                <w:lang w:val="en-AU"/>
              </w:rPr>
              <w:t xml:space="preserve"> </w:t>
            </w:r>
          </w:p>
          <w:p w14:paraId="6A115782" w14:textId="77777777" w:rsidR="009F1764" w:rsidRPr="00700241" w:rsidRDefault="009F1764" w:rsidP="009F1764">
            <w:pPr>
              <w:rPr>
                <w:lang w:val="en-AU"/>
              </w:rPr>
            </w:pPr>
          </w:p>
          <w:p w14:paraId="36570A37" w14:textId="2EF9435E" w:rsidR="009F1764" w:rsidRPr="00700241" w:rsidRDefault="009F1764" w:rsidP="009F1764">
            <w:pPr>
              <w:rPr>
                <w:bCs/>
                <w:lang w:val="en-IE"/>
              </w:rPr>
            </w:pPr>
            <w:r w:rsidRPr="00700241">
              <w:rPr>
                <w:bCs/>
                <w:lang w:val="en-IE"/>
              </w:rPr>
              <w:t xml:space="preserve">Where wider and sustained change comes from innovative business models </w:t>
            </w:r>
            <w:r w:rsidR="0046154E" w:rsidRPr="00700241">
              <w:rPr>
                <w:bCs/>
                <w:lang w:val="en-IE"/>
              </w:rPr>
              <w:t xml:space="preserve">that </w:t>
            </w:r>
            <w:r w:rsidRPr="00700241">
              <w:rPr>
                <w:bCs/>
                <w:lang w:val="en-IE"/>
              </w:rPr>
              <w:t xml:space="preserve">demonstrate </w:t>
            </w:r>
            <w:r w:rsidR="0008413C" w:rsidRPr="00700241">
              <w:rPr>
                <w:bCs/>
                <w:lang w:val="en-IE"/>
              </w:rPr>
              <w:t>better</w:t>
            </w:r>
            <w:r w:rsidRPr="00700241">
              <w:rPr>
                <w:bCs/>
                <w:lang w:val="en-IE"/>
              </w:rPr>
              <w:t xml:space="preserve"> ways of doing things.</w:t>
            </w:r>
          </w:p>
          <w:p w14:paraId="442FC0B7" w14:textId="77777777" w:rsidR="009F1764" w:rsidRPr="00700241" w:rsidRDefault="009F1764" w:rsidP="009F1764">
            <w:pPr>
              <w:rPr>
                <w:bCs/>
                <w:lang w:val="en-IE"/>
              </w:rPr>
            </w:pPr>
          </w:p>
        </w:tc>
        <w:tc>
          <w:tcPr>
            <w:tcW w:w="4394" w:type="dxa"/>
            <w:shd w:val="clear" w:color="auto" w:fill="FBE4D5" w:themeFill="accent2" w:themeFillTint="33"/>
          </w:tcPr>
          <w:p w14:paraId="78DF5B37" w14:textId="7121FBE6" w:rsidR="0066018B" w:rsidRPr="00700241" w:rsidRDefault="00B91BF0" w:rsidP="009F1764">
            <w:pPr>
              <w:numPr>
                <w:ilvl w:val="0"/>
                <w:numId w:val="25"/>
              </w:numPr>
              <w:rPr>
                <w:b/>
                <w:sz w:val="18"/>
                <w:szCs w:val="22"/>
                <w:lang w:val="en-IE"/>
              </w:rPr>
            </w:pPr>
            <w:r w:rsidRPr="00700241">
              <w:rPr>
                <w:b/>
                <w:sz w:val="18"/>
                <w:szCs w:val="22"/>
                <w:lang w:val="en-IE"/>
              </w:rPr>
              <w:t xml:space="preserve">% </w:t>
            </w:r>
            <w:proofErr w:type="gramStart"/>
            <w:r w:rsidRPr="00700241">
              <w:rPr>
                <w:b/>
                <w:sz w:val="18"/>
                <w:szCs w:val="22"/>
                <w:lang w:val="en-IE"/>
              </w:rPr>
              <w:t>compliance</w:t>
            </w:r>
            <w:proofErr w:type="gramEnd"/>
            <w:r w:rsidRPr="00700241">
              <w:rPr>
                <w:b/>
                <w:sz w:val="18"/>
                <w:szCs w:val="22"/>
                <w:lang w:val="en-IE"/>
              </w:rPr>
              <w:t xml:space="preserve"> with IFC PS</w:t>
            </w:r>
          </w:p>
          <w:p w14:paraId="3590B7EA" w14:textId="2ABC6E54" w:rsidR="00B91BF0" w:rsidRPr="00700241" w:rsidRDefault="00B91BF0" w:rsidP="009F1764">
            <w:pPr>
              <w:numPr>
                <w:ilvl w:val="0"/>
                <w:numId w:val="25"/>
              </w:numPr>
              <w:rPr>
                <w:b/>
                <w:sz w:val="18"/>
                <w:szCs w:val="22"/>
                <w:lang w:val="en-IE"/>
              </w:rPr>
            </w:pPr>
            <w:r w:rsidRPr="00700241">
              <w:rPr>
                <w:b/>
                <w:sz w:val="18"/>
                <w:szCs w:val="22"/>
                <w:lang w:val="en-IE"/>
              </w:rPr>
              <w:t xml:space="preserve">% </w:t>
            </w:r>
            <w:proofErr w:type="gramStart"/>
            <w:r w:rsidRPr="00700241">
              <w:rPr>
                <w:b/>
                <w:sz w:val="18"/>
                <w:szCs w:val="22"/>
                <w:lang w:val="en-IE"/>
              </w:rPr>
              <w:t>implementation</w:t>
            </w:r>
            <w:proofErr w:type="gramEnd"/>
            <w:r w:rsidRPr="00700241">
              <w:rPr>
                <w:b/>
                <w:sz w:val="18"/>
                <w:szCs w:val="22"/>
                <w:lang w:val="en-IE"/>
              </w:rPr>
              <w:t xml:space="preserve"> of NDPE</w:t>
            </w:r>
          </w:p>
          <w:p w14:paraId="7700F30F" w14:textId="0CC8206D" w:rsidR="009F1764" w:rsidRPr="00700241" w:rsidRDefault="009F1764" w:rsidP="009F1764">
            <w:pPr>
              <w:numPr>
                <w:ilvl w:val="0"/>
                <w:numId w:val="25"/>
              </w:numPr>
              <w:rPr>
                <w:bCs/>
                <w:sz w:val="18"/>
                <w:szCs w:val="22"/>
                <w:lang w:val="en-IE"/>
              </w:rPr>
            </w:pPr>
            <w:r w:rsidRPr="00700241">
              <w:rPr>
                <w:bCs/>
                <w:sz w:val="18"/>
                <w:szCs w:val="22"/>
                <w:lang w:val="en-IE"/>
              </w:rPr>
              <w:t>#</w:t>
            </w:r>
            <w:proofErr w:type="gramStart"/>
            <w:r w:rsidRPr="00700241">
              <w:rPr>
                <w:bCs/>
                <w:sz w:val="18"/>
                <w:szCs w:val="22"/>
                <w:lang w:val="en-IE"/>
              </w:rPr>
              <w:t>ha</w:t>
            </w:r>
            <w:proofErr w:type="gramEnd"/>
            <w:r w:rsidR="00211A3B" w:rsidRPr="00700241">
              <w:rPr>
                <w:bCs/>
                <w:sz w:val="18"/>
                <w:szCs w:val="22"/>
                <w:lang w:val="en-IE"/>
              </w:rPr>
              <w:t xml:space="preserve"> (or %)</w:t>
            </w:r>
            <w:r w:rsidRPr="00700241">
              <w:rPr>
                <w:bCs/>
                <w:sz w:val="18"/>
                <w:szCs w:val="22"/>
                <w:lang w:val="en-IE"/>
              </w:rPr>
              <w:t xml:space="preserve"> of traceable NDPE productive farms</w:t>
            </w:r>
          </w:p>
          <w:p w14:paraId="7A798AB2" w14:textId="1BCBED7F" w:rsidR="009F1764" w:rsidRPr="00700241" w:rsidRDefault="009F1764" w:rsidP="009F1764">
            <w:pPr>
              <w:numPr>
                <w:ilvl w:val="0"/>
                <w:numId w:val="25"/>
              </w:numPr>
              <w:rPr>
                <w:bCs/>
                <w:sz w:val="18"/>
                <w:szCs w:val="22"/>
                <w:lang w:val="en-IE"/>
              </w:rPr>
            </w:pPr>
            <w:r w:rsidRPr="00700241">
              <w:rPr>
                <w:bCs/>
                <w:sz w:val="18"/>
                <w:szCs w:val="22"/>
                <w:lang w:val="en-IE"/>
              </w:rPr>
              <w:t>#</w:t>
            </w:r>
            <w:proofErr w:type="gramStart"/>
            <w:r w:rsidRPr="00700241">
              <w:rPr>
                <w:bCs/>
                <w:sz w:val="18"/>
                <w:szCs w:val="22"/>
                <w:lang w:val="en-IE"/>
              </w:rPr>
              <w:t>ha</w:t>
            </w:r>
            <w:proofErr w:type="gramEnd"/>
            <w:r w:rsidRPr="00700241">
              <w:rPr>
                <w:bCs/>
                <w:sz w:val="18"/>
                <w:szCs w:val="22"/>
                <w:lang w:val="en-IE"/>
              </w:rPr>
              <w:t xml:space="preserve"> </w:t>
            </w:r>
            <w:r w:rsidR="00211A3B" w:rsidRPr="00700241">
              <w:rPr>
                <w:bCs/>
                <w:sz w:val="18"/>
                <w:szCs w:val="22"/>
                <w:lang w:val="en-IE"/>
              </w:rPr>
              <w:t xml:space="preserve">(or %) </w:t>
            </w:r>
            <w:r w:rsidRPr="00700241">
              <w:rPr>
                <w:bCs/>
                <w:sz w:val="18"/>
                <w:szCs w:val="22"/>
                <w:lang w:val="en-IE"/>
              </w:rPr>
              <w:t>sustainably intensified</w:t>
            </w:r>
          </w:p>
          <w:p w14:paraId="2A98960F" w14:textId="77777777" w:rsidR="009F1764" w:rsidRPr="00700241" w:rsidRDefault="009F1764" w:rsidP="009F1764">
            <w:pPr>
              <w:numPr>
                <w:ilvl w:val="0"/>
                <w:numId w:val="25"/>
              </w:numPr>
              <w:rPr>
                <w:bCs/>
                <w:sz w:val="18"/>
                <w:szCs w:val="22"/>
                <w:lang w:val="en-IE"/>
              </w:rPr>
            </w:pPr>
            <w:r w:rsidRPr="00700241">
              <w:rPr>
                <w:bCs/>
                <w:sz w:val="18"/>
                <w:szCs w:val="22"/>
                <w:lang w:val="en-IE"/>
              </w:rPr>
              <w:t xml:space="preserve">Amount &amp;/or % increase in productivity (in t product/ha or %) </w:t>
            </w:r>
          </w:p>
          <w:p w14:paraId="11BF3F04" w14:textId="713AEEA0" w:rsidR="009F1764" w:rsidRPr="00700241" w:rsidRDefault="009F1764" w:rsidP="007E456A">
            <w:pPr>
              <w:numPr>
                <w:ilvl w:val="0"/>
                <w:numId w:val="25"/>
              </w:numPr>
              <w:rPr>
                <w:bCs/>
                <w:sz w:val="18"/>
                <w:szCs w:val="22"/>
                <w:lang w:val="en-IE"/>
              </w:rPr>
            </w:pPr>
            <w:r w:rsidRPr="00700241">
              <w:rPr>
                <w:bCs/>
                <w:sz w:val="18"/>
                <w:szCs w:val="22"/>
                <w:lang w:val="en-IE"/>
              </w:rPr>
              <w:t xml:space="preserve">% </w:t>
            </w:r>
            <w:proofErr w:type="gramStart"/>
            <w:r w:rsidRPr="00700241">
              <w:rPr>
                <w:bCs/>
                <w:sz w:val="18"/>
                <w:szCs w:val="22"/>
                <w:lang w:val="en-IE"/>
              </w:rPr>
              <w:t>increase</w:t>
            </w:r>
            <w:proofErr w:type="gramEnd"/>
            <w:r w:rsidRPr="00700241">
              <w:rPr>
                <w:bCs/>
                <w:sz w:val="18"/>
                <w:szCs w:val="22"/>
                <w:lang w:val="en-IE"/>
              </w:rPr>
              <w:t xml:space="preserve"> productivity compared to relevant industry/sector average</w:t>
            </w:r>
          </w:p>
        </w:tc>
      </w:tr>
      <w:tr w:rsidR="004F2DB3" w:rsidRPr="00700241" w14:paraId="72737D97" w14:textId="77777777" w:rsidTr="00785504">
        <w:tc>
          <w:tcPr>
            <w:tcW w:w="2127" w:type="dxa"/>
            <w:vMerge/>
          </w:tcPr>
          <w:p w14:paraId="0C9EF09E" w14:textId="77777777" w:rsidR="009F1764" w:rsidRPr="00700241" w:rsidRDefault="009F1764" w:rsidP="009F1764">
            <w:pPr>
              <w:rPr>
                <w:bCs/>
                <w:lang w:val="en-IE"/>
              </w:rPr>
            </w:pPr>
          </w:p>
        </w:tc>
        <w:tc>
          <w:tcPr>
            <w:tcW w:w="3544" w:type="dxa"/>
            <w:shd w:val="clear" w:color="auto" w:fill="FBE4D5" w:themeFill="accent2" w:themeFillTint="33"/>
          </w:tcPr>
          <w:p w14:paraId="48818316" w14:textId="77777777" w:rsidR="009F1764" w:rsidRPr="00700241" w:rsidRDefault="009F1764" w:rsidP="009F1764">
            <w:pPr>
              <w:rPr>
                <w:lang w:val="en-AU"/>
              </w:rPr>
            </w:pPr>
            <w:r w:rsidRPr="00700241">
              <w:rPr>
                <w:bCs/>
                <w:lang w:val="en-IE"/>
              </w:rPr>
              <w:t>Catalytic knowledge</w:t>
            </w:r>
            <w:r w:rsidRPr="00700241">
              <w:rPr>
                <w:lang w:val="en-AU"/>
              </w:rPr>
              <w:t xml:space="preserve"> </w:t>
            </w:r>
          </w:p>
          <w:p w14:paraId="200890DE" w14:textId="7B1162FF" w:rsidR="009F1764" w:rsidRPr="00700241" w:rsidRDefault="009F1764" w:rsidP="009F1764">
            <w:pPr>
              <w:rPr>
                <w:bCs/>
                <w:lang w:val="en-IE"/>
              </w:rPr>
            </w:pPr>
            <w:r w:rsidRPr="00700241">
              <w:rPr>
                <w:bCs/>
                <w:lang w:val="en-IE"/>
              </w:rPr>
              <w:t xml:space="preserve">Where approaches proven successful by &amp;Green are disseminated widely, </w:t>
            </w:r>
            <w:r w:rsidR="0082630D" w:rsidRPr="00700241">
              <w:rPr>
                <w:bCs/>
                <w:lang w:val="en-IE"/>
              </w:rPr>
              <w:t>&amp;</w:t>
            </w:r>
            <w:r w:rsidRPr="00700241">
              <w:rPr>
                <w:bCs/>
                <w:lang w:val="en-IE"/>
              </w:rPr>
              <w:t xml:space="preserve"> lessons </w:t>
            </w:r>
            <w:r w:rsidR="0082630D" w:rsidRPr="00700241">
              <w:rPr>
                <w:bCs/>
                <w:lang w:val="en-IE"/>
              </w:rPr>
              <w:t xml:space="preserve">learnt </w:t>
            </w:r>
            <w:r w:rsidRPr="00700241">
              <w:rPr>
                <w:bCs/>
                <w:lang w:val="en-IE"/>
              </w:rPr>
              <w:t>are credible.</w:t>
            </w:r>
          </w:p>
        </w:tc>
        <w:tc>
          <w:tcPr>
            <w:tcW w:w="4394" w:type="dxa"/>
            <w:shd w:val="clear" w:color="auto" w:fill="FBE4D5" w:themeFill="accent2" w:themeFillTint="33"/>
          </w:tcPr>
          <w:p w14:paraId="178567AB" w14:textId="77777777" w:rsidR="0046154E" w:rsidRPr="00700241" w:rsidRDefault="0046154E" w:rsidP="0046154E">
            <w:pPr>
              <w:numPr>
                <w:ilvl w:val="0"/>
                <w:numId w:val="25"/>
              </w:numPr>
              <w:rPr>
                <w:bCs/>
                <w:sz w:val="18"/>
                <w:szCs w:val="22"/>
                <w:lang w:val="en-IE"/>
              </w:rPr>
            </w:pPr>
            <w:r w:rsidRPr="00700241">
              <w:rPr>
                <w:bCs/>
                <w:sz w:val="18"/>
                <w:szCs w:val="22"/>
                <w:lang w:val="en-IE"/>
              </w:rPr>
              <w:t xml:space="preserve"># </w:t>
            </w:r>
            <w:proofErr w:type="gramStart"/>
            <w:r w:rsidRPr="00700241">
              <w:rPr>
                <w:bCs/>
                <w:sz w:val="18"/>
                <w:szCs w:val="22"/>
                <w:lang w:val="en-IE"/>
              </w:rPr>
              <w:t>smallholder</w:t>
            </w:r>
            <w:proofErr w:type="gramEnd"/>
            <w:r w:rsidRPr="00700241">
              <w:rPr>
                <w:bCs/>
                <w:sz w:val="18"/>
                <w:szCs w:val="22"/>
                <w:lang w:val="en-IE"/>
              </w:rPr>
              <w:t xml:space="preserve"> farmers adopting Good Agricultural Practice (GAP)</w:t>
            </w:r>
          </w:p>
          <w:p w14:paraId="3BCAE9AE" w14:textId="1AC9484B" w:rsidR="009F1764" w:rsidRPr="00700241" w:rsidRDefault="009F1764" w:rsidP="002E69EF">
            <w:pPr>
              <w:numPr>
                <w:ilvl w:val="0"/>
                <w:numId w:val="25"/>
              </w:numPr>
              <w:rPr>
                <w:bCs/>
                <w:sz w:val="18"/>
                <w:szCs w:val="22"/>
                <w:lang w:val="en-IE"/>
              </w:rPr>
            </w:pPr>
            <w:r w:rsidRPr="00700241">
              <w:rPr>
                <w:bCs/>
                <w:sz w:val="18"/>
                <w:szCs w:val="22"/>
                <w:lang w:val="en-IE"/>
              </w:rPr>
              <w:t xml:space="preserve"># </w:t>
            </w:r>
            <w:proofErr w:type="gramStart"/>
            <w:r w:rsidRPr="00700241">
              <w:rPr>
                <w:bCs/>
                <w:sz w:val="18"/>
                <w:szCs w:val="22"/>
                <w:lang w:val="en-IE"/>
              </w:rPr>
              <w:t>activities</w:t>
            </w:r>
            <w:proofErr w:type="gramEnd"/>
            <w:r w:rsidRPr="00700241">
              <w:rPr>
                <w:bCs/>
                <w:sz w:val="18"/>
                <w:szCs w:val="22"/>
                <w:lang w:val="en-IE"/>
              </w:rPr>
              <w:t xml:space="preserve"> (e.g. workshops, key publications, farm open-days, etc) delivered to disseminate NDPE experience, with evidence of take-up</w:t>
            </w:r>
          </w:p>
        </w:tc>
      </w:tr>
      <w:tr w:rsidR="004F2DB3" w:rsidRPr="00700241" w14:paraId="1744A393" w14:textId="77777777" w:rsidTr="00785504">
        <w:tc>
          <w:tcPr>
            <w:tcW w:w="2127" w:type="dxa"/>
            <w:vMerge/>
          </w:tcPr>
          <w:p w14:paraId="53A611B3" w14:textId="77777777" w:rsidR="009F1764" w:rsidRPr="00700241" w:rsidRDefault="009F1764" w:rsidP="009F1764">
            <w:pPr>
              <w:rPr>
                <w:bCs/>
                <w:lang w:val="en-IE"/>
              </w:rPr>
            </w:pPr>
          </w:p>
        </w:tc>
        <w:tc>
          <w:tcPr>
            <w:tcW w:w="3544" w:type="dxa"/>
            <w:shd w:val="clear" w:color="auto" w:fill="FBE4D5" w:themeFill="accent2" w:themeFillTint="33"/>
          </w:tcPr>
          <w:p w14:paraId="2501E602" w14:textId="77777777" w:rsidR="009F1764" w:rsidRPr="00700241" w:rsidRDefault="009F1764" w:rsidP="009F1764">
            <w:pPr>
              <w:rPr>
                <w:bCs/>
                <w:lang w:val="en-IE"/>
              </w:rPr>
            </w:pPr>
            <w:r w:rsidRPr="00700241">
              <w:rPr>
                <w:bCs/>
                <w:lang w:val="en-IE"/>
              </w:rPr>
              <w:t>Catalytic capacity</w:t>
            </w:r>
          </w:p>
          <w:p w14:paraId="6D528477" w14:textId="6CD3D47C" w:rsidR="009F1764" w:rsidRPr="00700241" w:rsidRDefault="009F1764" w:rsidP="009F1764">
            <w:pPr>
              <w:rPr>
                <w:bCs/>
                <w:lang w:val="en-AU"/>
              </w:rPr>
            </w:pPr>
            <w:r w:rsidRPr="00700241">
              <w:rPr>
                <w:bCs/>
                <w:lang w:val="en-AU"/>
              </w:rPr>
              <w:t xml:space="preserve">Where the target </w:t>
            </w:r>
            <w:r w:rsidR="00736BBA" w:rsidRPr="00700241">
              <w:rPr>
                <w:bCs/>
                <w:lang w:val="en-AU"/>
              </w:rPr>
              <w:t xml:space="preserve">landscape </w:t>
            </w:r>
            <w:r w:rsidRPr="00700241">
              <w:rPr>
                <w:bCs/>
                <w:lang w:val="en-AU"/>
              </w:rPr>
              <w:t>and communities have the capacities and capabilities necessary to bring about the change</w:t>
            </w:r>
          </w:p>
          <w:p w14:paraId="11B0ADCA" w14:textId="77777777" w:rsidR="009F1764" w:rsidRPr="00700241" w:rsidRDefault="009F1764" w:rsidP="009F1764">
            <w:pPr>
              <w:rPr>
                <w:bCs/>
                <w:lang w:val="en-IE"/>
              </w:rPr>
            </w:pPr>
          </w:p>
        </w:tc>
        <w:tc>
          <w:tcPr>
            <w:tcW w:w="4394" w:type="dxa"/>
            <w:shd w:val="clear" w:color="auto" w:fill="FBE4D5" w:themeFill="accent2" w:themeFillTint="33"/>
          </w:tcPr>
          <w:p w14:paraId="4207C8DE" w14:textId="36E71A72" w:rsidR="009F1764" w:rsidRPr="00700241" w:rsidRDefault="009F1764" w:rsidP="009F1764">
            <w:pPr>
              <w:numPr>
                <w:ilvl w:val="0"/>
                <w:numId w:val="30"/>
              </w:numPr>
              <w:rPr>
                <w:bCs/>
                <w:sz w:val="18"/>
                <w:szCs w:val="22"/>
                <w:lang w:val="en-AU"/>
              </w:rPr>
            </w:pPr>
            <w:r w:rsidRPr="00700241">
              <w:rPr>
                <w:bCs/>
                <w:sz w:val="18"/>
                <w:szCs w:val="22"/>
                <w:lang w:val="en-AU"/>
              </w:rPr>
              <w:t>#</w:t>
            </w:r>
            <w:proofErr w:type="gramStart"/>
            <w:r w:rsidRPr="00700241">
              <w:rPr>
                <w:bCs/>
                <w:sz w:val="18"/>
                <w:szCs w:val="22"/>
                <w:lang w:val="en-AU"/>
              </w:rPr>
              <w:t>smallholder</w:t>
            </w:r>
            <w:proofErr w:type="gramEnd"/>
            <w:r w:rsidRPr="00700241">
              <w:rPr>
                <w:bCs/>
                <w:sz w:val="18"/>
                <w:szCs w:val="22"/>
                <w:lang w:val="en-AU"/>
              </w:rPr>
              <w:t xml:space="preserve"> farms (or #ha) provided with capacity to sustainably intensify production</w:t>
            </w:r>
          </w:p>
          <w:p w14:paraId="78D69C90" w14:textId="77777777" w:rsidR="009F1764" w:rsidRPr="00700241" w:rsidRDefault="009F1764" w:rsidP="009F1764">
            <w:pPr>
              <w:numPr>
                <w:ilvl w:val="0"/>
                <w:numId w:val="30"/>
              </w:numPr>
              <w:rPr>
                <w:bCs/>
                <w:sz w:val="18"/>
                <w:szCs w:val="22"/>
                <w:lang w:val="en-AU"/>
              </w:rPr>
            </w:pPr>
            <w:r w:rsidRPr="00700241">
              <w:rPr>
                <w:bCs/>
                <w:sz w:val="18"/>
                <w:szCs w:val="22"/>
                <w:lang w:val="en-AU"/>
              </w:rPr>
              <w:t xml:space="preserve"># </w:t>
            </w:r>
            <w:proofErr w:type="gramStart"/>
            <w:r w:rsidRPr="00700241">
              <w:rPr>
                <w:bCs/>
                <w:sz w:val="18"/>
                <w:szCs w:val="22"/>
                <w:lang w:val="en-AU"/>
              </w:rPr>
              <w:t>farmers</w:t>
            </w:r>
            <w:proofErr w:type="gramEnd"/>
            <w:r w:rsidRPr="00700241">
              <w:rPr>
                <w:bCs/>
                <w:sz w:val="18"/>
                <w:szCs w:val="22"/>
                <w:lang w:val="en-AU"/>
              </w:rPr>
              <w:t xml:space="preserve"> completing relevant training/receiving inputs enabling capacity</w:t>
            </w:r>
          </w:p>
          <w:p w14:paraId="1EAE1411" w14:textId="14B38F14" w:rsidR="009F1764" w:rsidRPr="00700241" w:rsidRDefault="009F1764" w:rsidP="00C14CFD">
            <w:pPr>
              <w:numPr>
                <w:ilvl w:val="0"/>
                <w:numId w:val="30"/>
              </w:numPr>
              <w:rPr>
                <w:bCs/>
                <w:sz w:val="18"/>
                <w:szCs w:val="22"/>
                <w:lang w:val="en-AU"/>
              </w:rPr>
            </w:pPr>
            <w:r w:rsidRPr="00700241">
              <w:rPr>
                <w:bCs/>
                <w:sz w:val="18"/>
                <w:szCs w:val="22"/>
                <w:lang w:val="en-AU"/>
              </w:rPr>
              <w:t xml:space="preserve"># </w:t>
            </w:r>
            <w:proofErr w:type="gramStart"/>
            <w:r w:rsidRPr="00700241">
              <w:rPr>
                <w:bCs/>
                <w:sz w:val="18"/>
                <w:szCs w:val="22"/>
                <w:lang w:val="en-AU"/>
              </w:rPr>
              <w:t>intermediaries</w:t>
            </w:r>
            <w:proofErr w:type="gramEnd"/>
            <w:r w:rsidRPr="00700241">
              <w:rPr>
                <w:bCs/>
                <w:sz w:val="18"/>
                <w:szCs w:val="22"/>
                <w:lang w:val="en-AU"/>
              </w:rPr>
              <w:t xml:space="preserve"> building capacity to promote &amp; facilitate NDPE/low carbon farming, energy efficiency, etc.</w:t>
            </w:r>
          </w:p>
        </w:tc>
      </w:tr>
      <w:tr w:rsidR="004F2DB3" w:rsidRPr="00700241" w14:paraId="67DBDE53" w14:textId="77777777" w:rsidTr="00785504">
        <w:tc>
          <w:tcPr>
            <w:tcW w:w="2127" w:type="dxa"/>
            <w:vMerge/>
          </w:tcPr>
          <w:p w14:paraId="3F43F83F" w14:textId="77777777" w:rsidR="009F1764" w:rsidRPr="00700241" w:rsidRDefault="009F1764" w:rsidP="009F1764">
            <w:pPr>
              <w:rPr>
                <w:bCs/>
                <w:lang w:val="en-IE"/>
              </w:rPr>
            </w:pPr>
          </w:p>
        </w:tc>
        <w:tc>
          <w:tcPr>
            <w:tcW w:w="3544" w:type="dxa"/>
            <w:shd w:val="clear" w:color="auto" w:fill="FBE4D5" w:themeFill="accent2" w:themeFillTint="33"/>
          </w:tcPr>
          <w:p w14:paraId="2D976B6B" w14:textId="77777777" w:rsidR="009F1764" w:rsidRPr="00700241" w:rsidRDefault="009F1764" w:rsidP="009F1764">
            <w:pPr>
              <w:rPr>
                <w:bCs/>
                <w:lang w:val="en-IE"/>
              </w:rPr>
            </w:pPr>
            <w:r w:rsidRPr="00700241">
              <w:rPr>
                <w:bCs/>
                <w:lang w:val="en-IE"/>
              </w:rPr>
              <w:t>Catalytic finance</w:t>
            </w:r>
          </w:p>
          <w:p w14:paraId="28425E3B" w14:textId="77777777" w:rsidR="009F1764" w:rsidRPr="00700241" w:rsidRDefault="009F1764" w:rsidP="009F1764">
            <w:pPr>
              <w:rPr>
                <w:bCs/>
                <w:lang w:val="en-IE"/>
              </w:rPr>
            </w:pPr>
            <w:r w:rsidRPr="00700241">
              <w:rPr>
                <w:bCs/>
                <w:lang w:val="en-IE"/>
              </w:rPr>
              <w:t xml:space="preserve">Where different financial models enable changing </w:t>
            </w:r>
            <w:proofErr w:type="spellStart"/>
            <w:r w:rsidRPr="00700241">
              <w:rPr>
                <w:bCs/>
                <w:lang w:val="en-IE"/>
              </w:rPr>
              <w:t>BaU</w:t>
            </w:r>
            <w:proofErr w:type="spellEnd"/>
          </w:p>
        </w:tc>
        <w:tc>
          <w:tcPr>
            <w:tcW w:w="4394" w:type="dxa"/>
            <w:shd w:val="clear" w:color="auto" w:fill="FBE4D5" w:themeFill="accent2" w:themeFillTint="33"/>
          </w:tcPr>
          <w:p w14:paraId="1525D0C2" w14:textId="77777777" w:rsidR="009F1764" w:rsidRPr="00700241" w:rsidRDefault="009F1764" w:rsidP="009F1764">
            <w:pPr>
              <w:numPr>
                <w:ilvl w:val="0"/>
                <w:numId w:val="30"/>
              </w:numPr>
              <w:rPr>
                <w:bCs/>
                <w:sz w:val="18"/>
                <w:szCs w:val="22"/>
                <w:lang w:val="en-AU"/>
              </w:rPr>
            </w:pPr>
            <w:r w:rsidRPr="00700241">
              <w:rPr>
                <w:bCs/>
                <w:sz w:val="18"/>
                <w:szCs w:val="22"/>
                <w:lang w:val="en-AU"/>
              </w:rPr>
              <w:t xml:space="preserve"># </w:t>
            </w:r>
            <w:proofErr w:type="gramStart"/>
            <w:r w:rsidRPr="00700241">
              <w:rPr>
                <w:bCs/>
                <w:sz w:val="18"/>
                <w:szCs w:val="22"/>
                <w:lang w:val="en-AU"/>
              </w:rPr>
              <w:t>supplier</w:t>
            </w:r>
            <w:proofErr w:type="gramEnd"/>
            <w:r w:rsidRPr="00700241">
              <w:rPr>
                <w:bCs/>
                <w:sz w:val="18"/>
                <w:szCs w:val="22"/>
                <w:lang w:val="en-AU"/>
              </w:rPr>
              <w:t xml:space="preserve"> farms with stable/long-term contracts &amp;/or credit lines</w:t>
            </w:r>
          </w:p>
          <w:p w14:paraId="61C54458" w14:textId="061FDB4E" w:rsidR="009F1764" w:rsidRPr="00700241" w:rsidRDefault="009F1764" w:rsidP="00C14CFD">
            <w:pPr>
              <w:numPr>
                <w:ilvl w:val="0"/>
                <w:numId w:val="30"/>
              </w:numPr>
              <w:rPr>
                <w:bCs/>
                <w:sz w:val="18"/>
                <w:szCs w:val="22"/>
                <w:lang w:val="en-AU"/>
              </w:rPr>
            </w:pPr>
            <w:r w:rsidRPr="00700241">
              <w:rPr>
                <w:bCs/>
                <w:sz w:val="18"/>
                <w:szCs w:val="22"/>
                <w:lang w:val="en-AU"/>
              </w:rPr>
              <w:t>US$ in credit provided to smallholders for farm intensification/GAP</w:t>
            </w:r>
          </w:p>
        </w:tc>
      </w:tr>
      <w:tr w:rsidR="00CF3A6F" w:rsidRPr="00700241" w14:paraId="7D81F5D9" w14:textId="77777777" w:rsidTr="00785504">
        <w:tc>
          <w:tcPr>
            <w:tcW w:w="2127" w:type="dxa"/>
            <w:vMerge w:val="restart"/>
            <w:shd w:val="clear" w:color="auto" w:fill="DEEAF6" w:themeFill="accent5" w:themeFillTint="33"/>
          </w:tcPr>
          <w:p w14:paraId="208488EE" w14:textId="77777777" w:rsidR="009F1764" w:rsidRPr="00700241" w:rsidRDefault="009F1764" w:rsidP="003532BC">
            <w:pPr>
              <w:rPr>
                <w:b/>
                <w:lang w:val="en-IE"/>
              </w:rPr>
            </w:pPr>
            <w:r w:rsidRPr="00700241">
              <w:rPr>
                <w:b/>
                <w:lang w:val="en-IE"/>
              </w:rPr>
              <w:t>Scale</w:t>
            </w:r>
          </w:p>
          <w:p w14:paraId="1785D4B3" w14:textId="77777777" w:rsidR="009F1764" w:rsidRPr="00700241" w:rsidRDefault="009F1764" w:rsidP="003532BC">
            <w:pPr>
              <w:rPr>
                <w:bCs/>
                <w:lang w:val="en-IE"/>
              </w:rPr>
            </w:pPr>
          </w:p>
          <w:p w14:paraId="043DA063" w14:textId="0A3D9C28" w:rsidR="009F1764" w:rsidRPr="00700241" w:rsidRDefault="009F1764" w:rsidP="003532BC">
            <w:pPr>
              <w:rPr>
                <w:bCs/>
                <w:lang w:val="en-IE"/>
              </w:rPr>
            </w:pPr>
            <w:r w:rsidRPr="00700241">
              <w:rPr>
                <w:bCs/>
                <w:lang w:val="en-IE"/>
              </w:rPr>
              <w:t>&amp;Green investments have sufficient reach to become significant market share and are familiar in the geography or sector. Investment approach achieves ‘mainstream’ status &amp;/or drives down the costs of adoption</w:t>
            </w:r>
          </w:p>
          <w:p w14:paraId="4B3EA2C6" w14:textId="77777777" w:rsidR="009F1764" w:rsidRPr="00700241" w:rsidRDefault="009F1764" w:rsidP="003532BC">
            <w:pPr>
              <w:rPr>
                <w:bCs/>
                <w:lang w:val="en-IE"/>
              </w:rPr>
            </w:pPr>
          </w:p>
        </w:tc>
        <w:tc>
          <w:tcPr>
            <w:tcW w:w="3544" w:type="dxa"/>
            <w:shd w:val="clear" w:color="auto" w:fill="DEEAF6" w:themeFill="accent5" w:themeFillTint="33"/>
          </w:tcPr>
          <w:p w14:paraId="3CF7513C" w14:textId="77777777" w:rsidR="009F1764" w:rsidRPr="00700241" w:rsidRDefault="009F1764" w:rsidP="009F1764">
            <w:pPr>
              <w:rPr>
                <w:bCs/>
                <w:lang w:val="en-IE"/>
              </w:rPr>
            </w:pPr>
            <w:r w:rsidRPr="00700241">
              <w:rPr>
                <w:bCs/>
                <w:lang w:val="en-IE"/>
              </w:rPr>
              <w:t>Replicable</w:t>
            </w:r>
          </w:p>
          <w:p w14:paraId="1161F0C4" w14:textId="48F68415" w:rsidR="009F1764" w:rsidRPr="00700241" w:rsidRDefault="009F1764" w:rsidP="009F1764">
            <w:pPr>
              <w:rPr>
                <w:bCs/>
                <w:lang w:val="en-IE"/>
              </w:rPr>
            </w:pPr>
            <w:r w:rsidRPr="00700241">
              <w:rPr>
                <w:bCs/>
                <w:lang w:val="en-IE"/>
              </w:rPr>
              <w:t xml:space="preserve">Where good ideas demonstrated by &amp;Green investments are replicated by others in the same jurisdiction, sector, </w:t>
            </w:r>
            <w:r w:rsidR="00F964D3" w:rsidRPr="00700241">
              <w:rPr>
                <w:bCs/>
                <w:lang w:val="en-IE"/>
              </w:rPr>
              <w:t>&amp;</w:t>
            </w:r>
            <w:r w:rsidRPr="00700241">
              <w:rPr>
                <w:bCs/>
                <w:lang w:val="en-IE"/>
              </w:rPr>
              <w:t xml:space="preserve"> more widely</w:t>
            </w:r>
          </w:p>
        </w:tc>
        <w:tc>
          <w:tcPr>
            <w:tcW w:w="4394" w:type="dxa"/>
            <w:shd w:val="clear" w:color="auto" w:fill="DEEAF6" w:themeFill="accent5" w:themeFillTint="33"/>
          </w:tcPr>
          <w:p w14:paraId="755E3B2F" w14:textId="0621BE91" w:rsidR="009F1764" w:rsidRPr="00700241" w:rsidRDefault="00F1686D" w:rsidP="009F1764">
            <w:pPr>
              <w:numPr>
                <w:ilvl w:val="0"/>
                <w:numId w:val="28"/>
              </w:numPr>
              <w:rPr>
                <w:bCs/>
                <w:sz w:val="18"/>
                <w:szCs w:val="22"/>
                <w:lang w:val="en-IE"/>
              </w:rPr>
            </w:pPr>
            <w:r w:rsidRPr="00700241">
              <w:rPr>
                <w:bCs/>
                <w:sz w:val="18"/>
                <w:szCs w:val="22"/>
                <w:lang w:val="en-IE"/>
              </w:rPr>
              <w:t>#</w:t>
            </w:r>
            <w:r w:rsidR="009F1764" w:rsidRPr="00700241">
              <w:rPr>
                <w:bCs/>
                <w:sz w:val="18"/>
                <w:szCs w:val="22"/>
                <w:lang w:val="en-IE"/>
              </w:rPr>
              <w:t xml:space="preserve"> and</w:t>
            </w:r>
            <w:r w:rsidRPr="00700241">
              <w:rPr>
                <w:bCs/>
                <w:sz w:val="18"/>
                <w:szCs w:val="22"/>
                <w:lang w:val="en-IE"/>
              </w:rPr>
              <w:t>/or</w:t>
            </w:r>
            <w:r w:rsidR="009F1764" w:rsidRPr="00700241">
              <w:rPr>
                <w:bCs/>
                <w:sz w:val="18"/>
                <w:szCs w:val="22"/>
                <w:lang w:val="en-IE"/>
              </w:rPr>
              <w:t xml:space="preserve"> value of &amp;Green approaches being copied by others </w:t>
            </w:r>
          </w:p>
          <w:p w14:paraId="26620094" w14:textId="77777777" w:rsidR="009F1764" w:rsidRPr="00700241" w:rsidRDefault="009F1764" w:rsidP="009F1764">
            <w:pPr>
              <w:numPr>
                <w:ilvl w:val="0"/>
                <w:numId w:val="27"/>
              </w:numPr>
              <w:rPr>
                <w:bCs/>
                <w:sz w:val="18"/>
                <w:szCs w:val="22"/>
                <w:lang w:val="en-IE"/>
              </w:rPr>
            </w:pPr>
            <w:r w:rsidRPr="00700241">
              <w:rPr>
                <w:bCs/>
                <w:sz w:val="18"/>
                <w:szCs w:val="22"/>
                <w:lang w:val="en-IE"/>
              </w:rPr>
              <w:t xml:space="preserve">% </w:t>
            </w:r>
            <w:proofErr w:type="gramStart"/>
            <w:r w:rsidRPr="00700241">
              <w:rPr>
                <w:bCs/>
                <w:sz w:val="18"/>
                <w:szCs w:val="22"/>
                <w:lang w:val="en-IE"/>
              </w:rPr>
              <w:t>of</w:t>
            </w:r>
            <w:proofErr w:type="gramEnd"/>
            <w:r w:rsidRPr="00700241">
              <w:rPr>
                <w:bCs/>
                <w:sz w:val="18"/>
                <w:szCs w:val="22"/>
                <w:lang w:val="en-IE"/>
              </w:rPr>
              <w:t xml:space="preserve"> peer farmers able to access improved practice or genome;</w:t>
            </w:r>
          </w:p>
          <w:p w14:paraId="219573A3" w14:textId="61A9D9D3" w:rsidR="009F1764" w:rsidRPr="00700241" w:rsidRDefault="009F1764" w:rsidP="00F964D3">
            <w:pPr>
              <w:numPr>
                <w:ilvl w:val="0"/>
                <w:numId w:val="27"/>
              </w:numPr>
              <w:spacing w:after="0"/>
              <w:rPr>
                <w:bCs/>
                <w:sz w:val="18"/>
                <w:szCs w:val="22"/>
                <w:lang w:val="en-IE"/>
              </w:rPr>
            </w:pPr>
            <w:r w:rsidRPr="00700241">
              <w:rPr>
                <w:bCs/>
                <w:sz w:val="18"/>
                <w:szCs w:val="22"/>
                <w:lang w:val="en-IE"/>
              </w:rPr>
              <w:t xml:space="preserve">% </w:t>
            </w:r>
            <w:proofErr w:type="gramStart"/>
            <w:r w:rsidRPr="00700241">
              <w:rPr>
                <w:bCs/>
                <w:sz w:val="18"/>
                <w:szCs w:val="22"/>
                <w:lang w:val="en-IE"/>
              </w:rPr>
              <w:t>farmers</w:t>
            </w:r>
            <w:proofErr w:type="gramEnd"/>
            <w:r w:rsidRPr="00700241">
              <w:rPr>
                <w:bCs/>
                <w:sz w:val="18"/>
                <w:szCs w:val="22"/>
                <w:lang w:val="en-IE"/>
              </w:rPr>
              <w:t xml:space="preserve"> adopting climate resilient, intensified &amp;/or low-carbon practices</w:t>
            </w:r>
          </w:p>
        </w:tc>
      </w:tr>
      <w:tr w:rsidR="004F2DB3" w:rsidRPr="00700241" w14:paraId="07249FC6" w14:textId="77777777" w:rsidTr="00785504">
        <w:tc>
          <w:tcPr>
            <w:tcW w:w="2127" w:type="dxa"/>
            <w:vMerge/>
          </w:tcPr>
          <w:p w14:paraId="7DC18A87" w14:textId="77777777" w:rsidR="009F1764" w:rsidRPr="00700241" w:rsidRDefault="009F1764" w:rsidP="009F1764">
            <w:pPr>
              <w:rPr>
                <w:bCs/>
                <w:lang w:val="en-IE"/>
              </w:rPr>
            </w:pPr>
          </w:p>
        </w:tc>
        <w:tc>
          <w:tcPr>
            <w:tcW w:w="3544" w:type="dxa"/>
            <w:shd w:val="clear" w:color="auto" w:fill="DEEAF6" w:themeFill="accent5" w:themeFillTint="33"/>
          </w:tcPr>
          <w:p w14:paraId="04EC5143" w14:textId="77777777" w:rsidR="009F1764" w:rsidRPr="00700241" w:rsidRDefault="009F1764" w:rsidP="009F1764">
            <w:pPr>
              <w:rPr>
                <w:bCs/>
                <w:lang w:val="en-IE"/>
              </w:rPr>
            </w:pPr>
            <w:r w:rsidRPr="00700241">
              <w:rPr>
                <w:bCs/>
                <w:lang w:val="en-IE"/>
              </w:rPr>
              <w:t>Market share</w:t>
            </w:r>
          </w:p>
          <w:p w14:paraId="1542F7B5" w14:textId="77777777" w:rsidR="009F1764" w:rsidRPr="00700241" w:rsidRDefault="009F1764" w:rsidP="009F1764">
            <w:pPr>
              <w:rPr>
                <w:bCs/>
                <w:lang w:val="en-IE"/>
              </w:rPr>
            </w:pPr>
            <w:r w:rsidRPr="00700241">
              <w:rPr>
                <w:bCs/>
                <w:lang w:val="en-IE"/>
              </w:rPr>
              <w:t>Proportion of commodity sold in supply shed</w:t>
            </w:r>
          </w:p>
        </w:tc>
        <w:tc>
          <w:tcPr>
            <w:tcW w:w="4394" w:type="dxa"/>
            <w:shd w:val="clear" w:color="auto" w:fill="DEEAF6" w:themeFill="accent5" w:themeFillTint="33"/>
          </w:tcPr>
          <w:p w14:paraId="45258F6E" w14:textId="3856DE3B" w:rsidR="009F1764" w:rsidRPr="00700241" w:rsidRDefault="009F1764" w:rsidP="009F1764">
            <w:pPr>
              <w:numPr>
                <w:ilvl w:val="0"/>
                <w:numId w:val="27"/>
              </w:numPr>
              <w:rPr>
                <w:bCs/>
                <w:sz w:val="18"/>
                <w:szCs w:val="22"/>
                <w:lang w:val="en-IE"/>
              </w:rPr>
            </w:pPr>
            <w:r w:rsidRPr="00700241">
              <w:rPr>
                <w:bCs/>
                <w:sz w:val="18"/>
                <w:szCs w:val="22"/>
                <w:lang w:val="en-IE"/>
              </w:rPr>
              <w:t xml:space="preserve">% </w:t>
            </w:r>
            <w:proofErr w:type="gramStart"/>
            <w:r w:rsidR="00D51678" w:rsidRPr="00700241">
              <w:rPr>
                <w:bCs/>
                <w:sz w:val="18"/>
                <w:szCs w:val="22"/>
                <w:lang w:val="en-IE"/>
              </w:rPr>
              <w:t>commodity</w:t>
            </w:r>
            <w:proofErr w:type="gramEnd"/>
            <w:r w:rsidR="00D51678" w:rsidRPr="00700241">
              <w:rPr>
                <w:bCs/>
                <w:sz w:val="18"/>
                <w:szCs w:val="22"/>
                <w:lang w:val="en-IE"/>
              </w:rPr>
              <w:t xml:space="preserve"> produced (</w:t>
            </w:r>
            <w:proofErr w:type="spellStart"/>
            <w:r w:rsidR="00D51678" w:rsidRPr="00700241">
              <w:rPr>
                <w:bCs/>
                <w:sz w:val="18"/>
                <w:szCs w:val="22"/>
                <w:lang w:val="en-IE"/>
              </w:rPr>
              <w:t>eg</w:t>
            </w:r>
            <w:proofErr w:type="spellEnd"/>
            <w:r w:rsidR="00D51678" w:rsidRPr="00700241">
              <w:rPr>
                <w:bCs/>
                <w:sz w:val="18"/>
                <w:szCs w:val="22"/>
                <w:lang w:val="en-IE"/>
              </w:rPr>
              <w:t xml:space="preserve">: </w:t>
            </w:r>
            <w:r w:rsidRPr="00700241">
              <w:rPr>
                <w:bCs/>
                <w:sz w:val="18"/>
                <w:szCs w:val="22"/>
                <w:lang w:val="en-IE"/>
              </w:rPr>
              <w:t>soy</w:t>
            </w:r>
            <w:r w:rsidR="00D51678" w:rsidRPr="00700241">
              <w:rPr>
                <w:bCs/>
                <w:sz w:val="18"/>
                <w:szCs w:val="22"/>
                <w:lang w:val="en-IE"/>
              </w:rPr>
              <w:t>)</w:t>
            </w:r>
            <w:r w:rsidRPr="00700241">
              <w:rPr>
                <w:bCs/>
                <w:sz w:val="18"/>
                <w:szCs w:val="22"/>
                <w:lang w:val="en-IE"/>
              </w:rPr>
              <w:t xml:space="preserve"> </w:t>
            </w:r>
            <w:r w:rsidR="006B37EF" w:rsidRPr="00700241">
              <w:rPr>
                <w:bCs/>
                <w:sz w:val="18"/>
                <w:szCs w:val="22"/>
                <w:lang w:val="en-IE"/>
              </w:rPr>
              <w:t xml:space="preserve">by &amp;Green model </w:t>
            </w:r>
            <w:r w:rsidRPr="00700241">
              <w:rPr>
                <w:bCs/>
                <w:sz w:val="18"/>
                <w:szCs w:val="22"/>
                <w:lang w:val="en-IE"/>
              </w:rPr>
              <w:t xml:space="preserve">sold in </w:t>
            </w:r>
            <w:r w:rsidR="006B37EF" w:rsidRPr="00700241">
              <w:rPr>
                <w:bCs/>
                <w:sz w:val="18"/>
                <w:szCs w:val="22"/>
                <w:lang w:val="en-IE"/>
              </w:rPr>
              <w:t>supply shed (</w:t>
            </w:r>
            <w:proofErr w:type="spellStart"/>
            <w:r w:rsidR="006B37EF" w:rsidRPr="00700241">
              <w:rPr>
                <w:bCs/>
                <w:sz w:val="18"/>
                <w:szCs w:val="22"/>
                <w:lang w:val="en-IE"/>
              </w:rPr>
              <w:t>eg</w:t>
            </w:r>
            <w:proofErr w:type="spellEnd"/>
            <w:r w:rsidR="006B37EF" w:rsidRPr="00700241">
              <w:rPr>
                <w:bCs/>
                <w:sz w:val="18"/>
                <w:szCs w:val="22"/>
                <w:lang w:val="en-IE"/>
              </w:rPr>
              <w:t xml:space="preserve">: </w:t>
            </w:r>
            <w:r w:rsidRPr="00700241">
              <w:rPr>
                <w:bCs/>
                <w:sz w:val="18"/>
                <w:szCs w:val="22"/>
                <w:lang w:val="en-IE"/>
              </w:rPr>
              <w:t>Mato Grosso</w:t>
            </w:r>
            <w:r w:rsidR="006B37EF" w:rsidRPr="00700241">
              <w:rPr>
                <w:bCs/>
                <w:sz w:val="18"/>
                <w:szCs w:val="22"/>
                <w:lang w:val="en-IE"/>
              </w:rPr>
              <w:t>)</w:t>
            </w:r>
          </w:p>
          <w:p w14:paraId="3A6D1DFF" w14:textId="31CA06AB" w:rsidR="009F1764" w:rsidRPr="00700241" w:rsidRDefault="009F1764" w:rsidP="001261CB">
            <w:pPr>
              <w:numPr>
                <w:ilvl w:val="0"/>
                <w:numId w:val="27"/>
              </w:numPr>
              <w:rPr>
                <w:sz w:val="18"/>
                <w:szCs w:val="22"/>
                <w:lang w:val="en-IE"/>
              </w:rPr>
            </w:pPr>
            <w:r w:rsidRPr="00700241">
              <w:rPr>
                <w:sz w:val="18"/>
                <w:szCs w:val="22"/>
                <w:lang w:val="en-IE"/>
              </w:rPr>
              <w:t xml:space="preserve">% </w:t>
            </w:r>
            <w:proofErr w:type="gramStart"/>
            <w:r w:rsidRPr="00700241">
              <w:rPr>
                <w:sz w:val="18"/>
                <w:szCs w:val="22"/>
                <w:lang w:val="en-IE"/>
              </w:rPr>
              <w:t>of</w:t>
            </w:r>
            <w:proofErr w:type="gramEnd"/>
            <w:r w:rsidRPr="00700241">
              <w:rPr>
                <w:sz w:val="18"/>
                <w:szCs w:val="22"/>
                <w:lang w:val="en-IE"/>
              </w:rPr>
              <w:t xml:space="preserve"> market as certified NDPE &amp;/or ‘sustainable’ (e.g. RSPO, FSC etc) </w:t>
            </w:r>
          </w:p>
        </w:tc>
      </w:tr>
      <w:tr w:rsidR="004F2DB3" w:rsidRPr="00700241" w14:paraId="3B9E408B" w14:textId="77777777" w:rsidTr="00785504">
        <w:tc>
          <w:tcPr>
            <w:tcW w:w="2127" w:type="dxa"/>
            <w:vMerge/>
          </w:tcPr>
          <w:p w14:paraId="23122422" w14:textId="77777777" w:rsidR="009F1764" w:rsidRPr="00700241" w:rsidRDefault="009F1764" w:rsidP="009F1764">
            <w:pPr>
              <w:rPr>
                <w:bCs/>
                <w:lang w:val="en-IE"/>
              </w:rPr>
            </w:pPr>
          </w:p>
        </w:tc>
        <w:tc>
          <w:tcPr>
            <w:tcW w:w="3544" w:type="dxa"/>
            <w:shd w:val="clear" w:color="auto" w:fill="DEEAF6" w:themeFill="accent5" w:themeFillTint="33"/>
          </w:tcPr>
          <w:p w14:paraId="0A00DE7B" w14:textId="77777777" w:rsidR="009F1764" w:rsidRPr="00700241" w:rsidRDefault="009F1764" w:rsidP="009F1764">
            <w:pPr>
              <w:rPr>
                <w:bCs/>
                <w:lang w:val="en-IE"/>
              </w:rPr>
            </w:pPr>
            <w:r w:rsidRPr="00700241">
              <w:rPr>
                <w:bCs/>
                <w:lang w:val="en-IE"/>
              </w:rPr>
              <w:t>‘Blue-printed’</w:t>
            </w:r>
          </w:p>
          <w:p w14:paraId="37FC5C4C" w14:textId="77777777" w:rsidR="009F1764" w:rsidRPr="00700241" w:rsidRDefault="009F1764" w:rsidP="009F1764">
            <w:pPr>
              <w:rPr>
                <w:bCs/>
                <w:lang w:val="en-IE"/>
              </w:rPr>
            </w:pPr>
            <w:r w:rsidRPr="00700241">
              <w:rPr>
                <w:bCs/>
                <w:lang w:val="en-AU"/>
              </w:rPr>
              <w:t>Where the costs and barriers to adoption of NDPE are</w:t>
            </w:r>
            <w:r w:rsidRPr="00700241">
              <w:rPr>
                <w:b/>
                <w:bCs/>
                <w:lang w:val="en-AU"/>
              </w:rPr>
              <w:t xml:space="preserve"> </w:t>
            </w:r>
            <w:r w:rsidRPr="00700241">
              <w:rPr>
                <w:bCs/>
                <w:lang w:val="en-AU"/>
              </w:rPr>
              <w:t>reduced to the point that adopting NDPE is a sensible decision for commercial firms and smallholders</w:t>
            </w:r>
          </w:p>
        </w:tc>
        <w:tc>
          <w:tcPr>
            <w:tcW w:w="4394" w:type="dxa"/>
            <w:shd w:val="clear" w:color="auto" w:fill="DEEAF6" w:themeFill="accent5" w:themeFillTint="33"/>
          </w:tcPr>
          <w:p w14:paraId="676D9717" w14:textId="77777777" w:rsidR="009F1764" w:rsidRPr="00700241" w:rsidRDefault="009F1764" w:rsidP="009F1764">
            <w:pPr>
              <w:numPr>
                <w:ilvl w:val="0"/>
                <w:numId w:val="26"/>
              </w:numPr>
              <w:rPr>
                <w:bCs/>
                <w:sz w:val="18"/>
                <w:szCs w:val="22"/>
                <w:lang w:val="en-AU"/>
              </w:rPr>
            </w:pPr>
            <w:r w:rsidRPr="00700241">
              <w:rPr>
                <w:bCs/>
                <w:sz w:val="18"/>
                <w:szCs w:val="22"/>
                <w:lang w:val="en-AU"/>
              </w:rPr>
              <w:t xml:space="preserve">% </w:t>
            </w:r>
            <w:proofErr w:type="gramStart"/>
            <w:r w:rsidRPr="00700241">
              <w:rPr>
                <w:bCs/>
                <w:sz w:val="18"/>
                <w:szCs w:val="22"/>
                <w:lang w:val="en-AU"/>
              </w:rPr>
              <w:t>of</w:t>
            </w:r>
            <w:proofErr w:type="gramEnd"/>
            <w:r w:rsidRPr="00700241">
              <w:rPr>
                <w:bCs/>
                <w:sz w:val="18"/>
                <w:szCs w:val="22"/>
                <w:lang w:val="en-AU"/>
              </w:rPr>
              <w:t xml:space="preserve"> NDPE commodity sold at higher productivity or profitability than industry average</w:t>
            </w:r>
          </w:p>
          <w:p w14:paraId="07FACD2F" w14:textId="69BF4E55" w:rsidR="009F1764" w:rsidRPr="00700241" w:rsidRDefault="009F1764" w:rsidP="00085965">
            <w:pPr>
              <w:numPr>
                <w:ilvl w:val="0"/>
                <w:numId w:val="26"/>
              </w:numPr>
              <w:rPr>
                <w:bCs/>
                <w:sz w:val="18"/>
                <w:szCs w:val="22"/>
                <w:lang w:val="en-AU"/>
              </w:rPr>
            </w:pPr>
            <w:r w:rsidRPr="00700241">
              <w:rPr>
                <w:bCs/>
                <w:sz w:val="18"/>
                <w:szCs w:val="22"/>
                <w:lang w:val="en-AU"/>
              </w:rPr>
              <w:t xml:space="preserve"># </w:t>
            </w:r>
            <w:r w:rsidR="006000B3" w:rsidRPr="00700241">
              <w:rPr>
                <w:bCs/>
                <w:sz w:val="18"/>
                <w:szCs w:val="22"/>
                <w:lang w:val="en-AU"/>
              </w:rPr>
              <w:t xml:space="preserve">(or %) </w:t>
            </w:r>
            <w:r w:rsidR="00BB5EF0" w:rsidRPr="00700241">
              <w:rPr>
                <w:bCs/>
                <w:sz w:val="18"/>
                <w:szCs w:val="22"/>
                <w:lang w:val="en-AU"/>
              </w:rPr>
              <w:t>transaction</w:t>
            </w:r>
            <w:r w:rsidRPr="00700241">
              <w:rPr>
                <w:bCs/>
                <w:sz w:val="18"/>
                <w:szCs w:val="22"/>
                <w:lang w:val="en-AU"/>
              </w:rPr>
              <w:t xml:space="preserve">s incorporating forest </w:t>
            </w:r>
            <w:r w:rsidR="00085965" w:rsidRPr="00700241">
              <w:rPr>
                <w:bCs/>
                <w:sz w:val="18"/>
                <w:szCs w:val="22"/>
                <w:lang w:val="en-AU"/>
              </w:rPr>
              <w:t>protection</w:t>
            </w:r>
            <w:r w:rsidRPr="00700241">
              <w:rPr>
                <w:bCs/>
                <w:sz w:val="18"/>
                <w:szCs w:val="22"/>
                <w:lang w:val="en-AU"/>
              </w:rPr>
              <w:t xml:space="preserve"> with commodity production</w:t>
            </w:r>
            <w:r w:rsidR="00085965" w:rsidRPr="00700241">
              <w:rPr>
                <w:bCs/>
                <w:sz w:val="18"/>
                <w:szCs w:val="22"/>
                <w:lang w:val="en-AU"/>
              </w:rPr>
              <w:t xml:space="preserve"> in supply shed</w:t>
            </w:r>
          </w:p>
        </w:tc>
      </w:tr>
      <w:tr w:rsidR="004F2DB3" w:rsidRPr="00700241" w14:paraId="3C234B02" w14:textId="77777777" w:rsidTr="00785504">
        <w:tc>
          <w:tcPr>
            <w:tcW w:w="2127" w:type="dxa"/>
            <w:vMerge/>
          </w:tcPr>
          <w:p w14:paraId="411EDE60" w14:textId="77777777" w:rsidR="009F1764" w:rsidRPr="00700241" w:rsidRDefault="009F1764" w:rsidP="009F1764">
            <w:pPr>
              <w:rPr>
                <w:bCs/>
                <w:lang w:val="en-IE"/>
              </w:rPr>
            </w:pPr>
          </w:p>
        </w:tc>
        <w:tc>
          <w:tcPr>
            <w:tcW w:w="3544" w:type="dxa"/>
            <w:shd w:val="clear" w:color="auto" w:fill="DEEAF6" w:themeFill="accent5" w:themeFillTint="33"/>
          </w:tcPr>
          <w:p w14:paraId="5845E676" w14:textId="77777777" w:rsidR="009F1764" w:rsidRPr="00700241" w:rsidRDefault="009F1764" w:rsidP="009F1764">
            <w:pPr>
              <w:rPr>
                <w:bCs/>
                <w:lang w:val="en-IE"/>
              </w:rPr>
            </w:pPr>
            <w:r w:rsidRPr="00700241">
              <w:rPr>
                <w:bCs/>
                <w:lang w:val="en-IE"/>
              </w:rPr>
              <w:t>Leverage</w:t>
            </w:r>
          </w:p>
          <w:p w14:paraId="0CA711B1" w14:textId="1FA6AFF5" w:rsidR="009F1764" w:rsidRPr="00700241" w:rsidRDefault="009F1764" w:rsidP="009F1764">
            <w:pPr>
              <w:rPr>
                <w:bCs/>
                <w:lang w:val="en-IE"/>
              </w:rPr>
            </w:pPr>
            <w:r w:rsidRPr="00700241">
              <w:rPr>
                <w:bCs/>
                <w:lang w:val="en-AU"/>
              </w:rPr>
              <w:t xml:space="preserve">Location </w:t>
            </w:r>
            <w:r w:rsidR="000470B1" w:rsidRPr="00700241">
              <w:rPr>
                <w:bCs/>
                <w:lang w:val="en-AU"/>
              </w:rPr>
              <w:t>&amp;</w:t>
            </w:r>
            <w:r w:rsidRPr="00700241">
              <w:rPr>
                <w:bCs/>
                <w:lang w:val="en-AU"/>
              </w:rPr>
              <w:t xml:space="preserve"> context-specific assessment of resources mobilised relative to the desired change.  </w:t>
            </w:r>
          </w:p>
        </w:tc>
        <w:tc>
          <w:tcPr>
            <w:tcW w:w="4394" w:type="dxa"/>
            <w:shd w:val="clear" w:color="auto" w:fill="DEEAF6" w:themeFill="accent5" w:themeFillTint="33"/>
          </w:tcPr>
          <w:p w14:paraId="005E5818" w14:textId="37708A46" w:rsidR="009F1764" w:rsidRPr="00700241" w:rsidRDefault="009F1764" w:rsidP="009F1764">
            <w:pPr>
              <w:numPr>
                <w:ilvl w:val="0"/>
                <w:numId w:val="26"/>
              </w:numPr>
              <w:rPr>
                <w:bCs/>
                <w:sz w:val="18"/>
                <w:szCs w:val="22"/>
                <w:lang w:val="en-AU"/>
              </w:rPr>
            </w:pPr>
            <w:r w:rsidRPr="00700241">
              <w:rPr>
                <w:bCs/>
                <w:sz w:val="18"/>
                <w:szCs w:val="22"/>
                <w:lang w:val="en-AU"/>
              </w:rPr>
              <w:t xml:space="preserve">Amount of co-financing attracted to &amp;Green </w:t>
            </w:r>
            <w:r w:rsidR="00BB5EF0" w:rsidRPr="00700241">
              <w:rPr>
                <w:bCs/>
                <w:sz w:val="18"/>
                <w:szCs w:val="22"/>
                <w:lang w:val="en-AU"/>
              </w:rPr>
              <w:t>transaction</w:t>
            </w:r>
          </w:p>
          <w:p w14:paraId="3E664B50" w14:textId="77777777" w:rsidR="009F1764" w:rsidRPr="00700241" w:rsidRDefault="009F1764" w:rsidP="009F1764">
            <w:pPr>
              <w:numPr>
                <w:ilvl w:val="0"/>
                <w:numId w:val="26"/>
              </w:numPr>
              <w:rPr>
                <w:bCs/>
                <w:sz w:val="18"/>
                <w:szCs w:val="22"/>
                <w:lang w:val="en-AU"/>
              </w:rPr>
            </w:pPr>
            <w:r w:rsidRPr="00700241">
              <w:rPr>
                <w:bCs/>
                <w:sz w:val="18"/>
                <w:szCs w:val="22"/>
                <w:lang w:val="en-AU"/>
              </w:rPr>
              <w:t xml:space="preserve">Amount of public co-finance leveraged </w:t>
            </w:r>
          </w:p>
          <w:p w14:paraId="1BE85C22" w14:textId="4D922CB0" w:rsidR="009F1764" w:rsidRPr="00700241" w:rsidRDefault="009F1764" w:rsidP="00C435EF">
            <w:pPr>
              <w:numPr>
                <w:ilvl w:val="0"/>
                <w:numId w:val="26"/>
              </w:numPr>
              <w:rPr>
                <w:bCs/>
                <w:sz w:val="18"/>
                <w:szCs w:val="22"/>
                <w:lang w:val="en-AU"/>
              </w:rPr>
            </w:pPr>
            <w:r w:rsidRPr="00700241">
              <w:rPr>
                <w:bCs/>
                <w:sz w:val="18"/>
                <w:szCs w:val="22"/>
                <w:lang w:val="en-AU"/>
              </w:rPr>
              <w:t xml:space="preserve">Amount of private co-finance leveraged </w:t>
            </w:r>
          </w:p>
        </w:tc>
      </w:tr>
      <w:tr w:rsidR="004F2DB3" w:rsidRPr="00700241" w14:paraId="495EF0E5" w14:textId="77777777" w:rsidTr="00785504">
        <w:tc>
          <w:tcPr>
            <w:tcW w:w="2127" w:type="dxa"/>
            <w:vMerge/>
          </w:tcPr>
          <w:p w14:paraId="31017095" w14:textId="77777777" w:rsidR="009F1764" w:rsidRPr="00700241" w:rsidRDefault="009F1764" w:rsidP="009F1764">
            <w:pPr>
              <w:rPr>
                <w:bCs/>
                <w:lang w:val="en-IE"/>
              </w:rPr>
            </w:pPr>
          </w:p>
        </w:tc>
        <w:tc>
          <w:tcPr>
            <w:tcW w:w="3544" w:type="dxa"/>
            <w:shd w:val="clear" w:color="auto" w:fill="DEEAF6" w:themeFill="accent5" w:themeFillTint="33"/>
          </w:tcPr>
          <w:p w14:paraId="1F48CA57" w14:textId="77777777" w:rsidR="009F1764" w:rsidRPr="00700241" w:rsidRDefault="009F1764" w:rsidP="009F1764">
            <w:pPr>
              <w:rPr>
                <w:bCs/>
                <w:lang w:val="en-IE"/>
              </w:rPr>
            </w:pPr>
            <w:r w:rsidRPr="00700241">
              <w:rPr>
                <w:bCs/>
                <w:lang w:val="en-IE"/>
              </w:rPr>
              <w:t>Incentives</w:t>
            </w:r>
          </w:p>
          <w:p w14:paraId="49E28D3D" w14:textId="77777777" w:rsidR="009F1764" w:rsidRPr="00700241" w:rsidRDefault="009F1764" w:rsidP="009F1764">
            <w:pPr>
              <w:rPr>
                <w:bCs/>
                <w:lang w:val="en-AU"/>
              </w:rPr>
            </w:pPr>
            <w:r w:rsidRPr="00700241">
              <w:rPr>
                <w:bCs/>
                <w:lang w:val="en-AU"/>
              </w:rPr>
              <w:t xml:space="preserve">&amp;Green investments are creating incentives for others to act </w:t>
            </w:r>
          </w:p>
        </w:tc>
        <w:tc>
          <w:tcPr>
            <w:tcW w:w="4394" w:type="dxa"/>
            <w:shd w:val="clear" w:color="auto" w:fill="DEEAF6" w:themeFill="accent5" w:themeFillTint="33"/>
          </w:tcPr>
          <w:p w14:paraId="13513C52" w14:textId="77777777" w:rsidR="009F1764" w:rsidRPr="00700241" w:rsidRDefault="009F1764" w:rsidP="009F1764">
            <w:pPr>
              <w:numPr>
                <w:ilvl w:val="0"/>
                <w:numId w:val="26"/>
              </w:numPr>
              <w:rPr>
                <w:bCs/>
                <w:sz w:val="18"/>
                <w:szCs w:val="22"/>
                <w:lang w:val="en-AU"/>
              </w:rPr>
            </w:pPr>
            <w:r w:rsidRPr="00700241">
              <w:rPr>
                <w:bCs/>
                <w:sz w:val="18"/>
                <w:szCs w:val="22"/>
                <w:lang w:val="en-AU"/>
              </w:rPr>
              <w:t>#</w:t>
            </w:r>
            <w:proofErr w:type="gramStart"/>
            <w:r w:rsidRPr="00700241">
              <w:rPr>
                <w:bCs/>
                <w:sz w:val="18"/>
                <w:szCs w:val="22"/>
                <w:lang w:val="en-AU"/>
              </w:rPr>
              <w:t>farms</w:t>
            </w:r>
            <w:proofErr w:type="gramEnd"/>
            <w:r w:rsidRPr="00700241">
              <w:rPr>
                <w:bCs/>
                <w:sz w:val="18"/>
                <w:szCs w:val="22"/>
                <w:lang w:val="en-AU"/>
              </w:rPr>
              <w:t xml:space="preserve"> (or #ha) adopting NDPE in order to participate in supply chain</w:t>
            </w:r>
          </w:p>
          <w:p w14:paraId="68E58CFF" w14:textId="79F13DCF" w:rsidR="009F1764" w:rsidRPr="00700241" w:rsidRDefault="009F1764" w:rsidP="003F49B9">
            <w:pPr>
              <w:numPr>
                <w:ilvl w:val="0"/>
                <w:numId w:val="26"/>
              </w:numPr>
              <w:rPr>
                <w:bCs/>
                <w:sz w:val="18"/>
                <w:szCs w:val="22"/>
                <w:lang w:val="en-AU"/>
              </w:rPr>
            </w:pPr>
            <w:r w:rsidRPr="00700241">
              <w:rPr>
                <w:bCs/>
                <w:sz w:val="18"/>
                <w:szCs w:val="22"/>
                <w:lang w:val="en-AU"/>
              </w:rPr>
              <w:t xml:space="preserve"># </w:t>
            </w:r>
            <w:proofErr w:type="gramStart"/>
            <w:r w:rsidRPr="00700241">
              <w:rPr>
                <w:bCs/>
                <w:sz w:val="18"/>
                <w:szCs w:val="22"/>
                <w:lang w:val="en-AU"/>
              </w:rPr>
              <w:t>peer</w:t>
            </w:r>
            <w:proofErr w:type="gramEnd"/>
            <w:r w:rsidRPr="00700241">
              <w:rPr>
                <w:bCs/>
                <w:sz w:val="18"/>
                <w:szCs w:val="22"/>
                <w:lang w:val="en-AU"/>
              </w:rPr>
              <w:t xml:space="preserve"> producers </w:t>
            </w:r>
            <w:r w:rsidR="00434EE0" w:rsidRPr="00700241">
              <w:rPr>
                <w:bCs/>
                <w:sz w:val="18"/>
                <w:szCs w:val="22"/>
                <w:lang w:val="en-AU"/>
              </w:rPr>
              <w:t xml:space="preserve">(or % market share) </w:t>
            </w:r>
            <w:r w:rsidRPr="00700241">
              <w:rPr>
                <w:bCs/>
                <w:sz w:val="18"/>
                <w:szCs w:val="22"/>
                <w:lang w:val="en-AU"/>
              </w:rPr>
              <w:t xml:space="preserve">adopting NDPE to ‘keep up’ with &amp;Green </w:t>
            </w:r>
            <w:r w:rsidR="00BB5EF0" w:rsidRPr="00700241">
              <w:rPr>
                <w:bCs/>
                <w:sz w:val="18"/>
                <w:szCs w:val="22"/>
                <w:lang w:val="en-AU"/>
              </w:rPr>
              <w:t>transaction</w:t>
            </w:r>
            <w:r w:rsidRPr="00700241">
              <w:rPr>
                <w:bCs/>
                <w:sz w:val="18"/>
                <w:szCs w:val="22"/>
                <w:lang w:val="en-IE"/>
              </w:rPr>
              <w:t xml:space="preserve"> </w:t>
            </w:r>
          </w:p>
        </w:tc>
      </w:tr>
      <w:tr w:rsidR="00CF3A6F" w:rsidRPr="00700241" w14:paraId="2DC450B3" w14:textId="77777777" w:rsidTr="00785504">
        <w:tc>
          <w:tcPr>
            <w:tcW w:w="2127" w:type="dxa"/>
            <w:vMerge w:val="restart"/>
            <w:shd w:val="clear" w:color="auto" w:fill="EDEDED" w:themeFill="accent3" w:themeFillTint="33"/>
          </w:tcPr>
          <w:p w14:paraId="6463E56E" w14:textId="7BD1E90D" w:rsidR="009F1764" w:rsidRPr="00700241" w:rsidRDefault="007C500F" w:rsidP="009F1764">
            <w:pPr>
              <w:rPr>
                <w:b/>
                <w:lang w:val="en-AU"/>
              </w:rPr>
            </w:pPr>
            <w:r>
              <w:rPr>
                <w:b/>
                <w:lang w:val="en-IE"/>
              </w:rPr>
              <w:t>Durability</w:t>
            </w:r>
          </w:p>
          <w:p w14:paraId="67658958" w14:textId="77777777" w:rsidR="009F1764" w:rsidRPr="00700241" w:rsidRDefault="009F1764" w:rsidP="009F1764">
            <w:pPr>
              <w:rPr>
                <w:lang w:val="en-AU"/>
              </w:rPr>
            </w:pPr>
          </w:p>
          <w:p w14:paraId="3D52F3BF" w14:textId="77777777" w:rsidR="009F1764" w:rsidRPr="00700241" w:rsidRDefault="009F1764" w:rsidP="009F1764">
            <w:pPr>
              <w:rPr>
                <w:bCs/>
                <w:lang w:val="en-IE"/>
              </w:rPr>
            </w:pPr>
            <w:r w:rsidRPr="00700241">
              <w:rPr>
                <w:bCs/>
                <w:lang w:val="en-IE"/>
              </w:rPr>
              <w:t>New approaches are likely to continue beyond &amp;Green investment</w:t>
            </w:r>
            <w:r w:rsidRPr="00700241">
              <w:rPr>
                <w:lang w:val="en-AU"/>
              </w:rPr>
              <w:t xml:space="preserve"> </w:t>
            </w:r>
          </w:p>
        </w:tc>
        <w:tc>
          <w:tcPr>
            <w:tcW w:w="3544" w:type="dxa"/>
            <w:shd w:val="clear" w:color="auto" w:fill="EDEDED" w:themeFill="accent3" w:themeFillTint="33"/>
          </w:tcPr>
          <w:p w14:paraId="325DCD1D" w14:textId="77777777" w:rsidR="009F1764" w:rsidRPr="00700241" w:rsidRDefault="009F1764" w:rsidP="009F1764">
            <w:pPr>
              <w:rPr>
                <w:bCs/>
                <w:lang w:val="en-IE"/>
              </w:rPr>
            </w:pPr>
            <w:r w:rsidRPr="00700241">
              <w:rPr>
                <w:bCs/>
                <w:lang w:val="en-IE"/>
              </w:rPr>
              <w:t>Finance</w:t>
            </w:r>
          </w:p>
          <w:p w14:paraId="3CF0719C" w14:textId="77777777" w:rsidR="009F1764" w:rsidRPr="00700241" w:rsidRDefault="009F1764" w:rsidP="009F1764">
            <w:pPr>
              <w:rPr>
                <w:bCs/>
                <w:lang w:val="en-IE"/>
              </w:rPr>
            </w:pPr>
            <w:r w:rsidRPr="00700241">
              <w:rPr>
                <w:bCs/>
                <w:lang w:val="en-AU"/>
              </w:rPr>
              <w:t>&amp;Green finance model emulated and mainstreamed</w:t>
            </w:r>
          </w:p>
        </w:tc>
        <w:tc>
          <w:tcPr>
            <w:tcW w:w="4394" w:type="dxa"/>
            <w:shd w:val="clear" w:color="auto" w:fill="EDEDED" w:themeFill="accent3" w:themeFillTint="33"/>
          </w:tcPr>
          <w:p w14:paraId="7F864783" w14:textId="79554781" w:rsidR="009F1764" w:rsidRPr="00700241" w:rsidRDefault="009F1764" w:rsidP="009F1764">
            <w:pPr>
              <w:numPr>
                <w:ilvl w:val="0"/>
                <w:numId w:val="26"/>
              </w:numPr>
              <w:rPr>
                <w:bCs/>
                <w:sz w:val="18"/>
                <w:szCs w:val="22"/>
                <w:lang w:val="en-AU"/>
              </w:rPr>
            </w:pPr>
            <w:r w:rsidRPr="00700241">
              <w:rPr>
                <w:bCs/>
                <w:sz w:val="18"/>
                <w:szCs w:val="22"/>
                <w:lang w:val="en-AU"/>
              </w:rPr>
              <w:t xml:space="preserve">% </w:t>
            </w:r>
            <w:proofErr w:type="gramStart"/>
            <w:r w:rsidRPr="00700241">
              <w:rPr>
                <w:bCs/>
                <w:sz w:val="18"/>
                <w:szCs w:val="22"/>
                <w:lang w:val="en-AU"/>
              </w:rPr>
              <w:t>of</w:t>
            </w:r>
            <w:proofErr w:type="gramEnd"/>
            <w:r w:rsidRPr="00700241">
              <w:rPr>
                <w:bCs/>
                <w:sz w:val="18"/>
                <w:szCs w:val="22"/>
                <w:lang w:val="en-AU"/>
              </w:rPr>
              <w:t xml:space="preserve"> annual lending for NDPE operations at </w:t>
            </w:r>
            <w:r w:rsidR="001A5305" w:rsidRPr="00700241">
              <w:rPr>
                <w:bCs/>
                <w:sz w:val="18"/>
                <w:szCs w:val="22"/>
                <w:lang w:val="en-AU"/>
              </w:rPr>
              <w:t>favourable conditions (</w:t>
            </w:r>
            <w:proofErr w:type="spellStart"/>
            <w:r w:rsidR="001A5305" w:rsidRPr="00700241">
              <w:rPr>
                <w:bCs/>
                <w:sz w:val="18"/>
                <w:szCs w:val="22"/>
                <w:lang w:val="en-AU"/>
              </w:rPr>
              <w:t>eg</w:t>
            </w:r>
            <w:proofErr w:type="spellEnd"/>
            <w:r w:rsidR="001A5305" w:rsidRPr="00700241">
              <w:rPr>
                <w:bCs/>
                <w:sz w:val="18"/>
                <w:szCs w:val="22"/>
                <w:lang w:val="en-AU"/>
              </w:rPr>
              <w:t xml:space="preserve">: </w:t>
            </w:r>
            <w:r w:rsidRPr="00700241">
              <w:rPr>
                <w:bCs/>
                <w:sz w:val="18"/>
                <w:szCs w:val="22"/>
                <w:lang w:val="en-AU"/>
              </w:rPr>
              <w:t>below market rate</w:t>
            </w:r>
            <w:r w:rsidR="001A5305" w:rsidRPr="00700241">
              <w:rPr>
                <w:bCs/>
                <w:sz w:val="18"/>
                <w:szCs w:val="22"/>
                <w:lang w:val="en-AU"/>
              </w:rPr>
              <w:t>)</w:t>
            </w:r>
          </w:p>
          <w:p w14:paraId="0B3FE86D" w14:textId="4ED88DEE" w:rsidR="009F1764" w:rsidRPr="00700241" w:rsidRDefault="009F1764" w:rsidP="000574D8">
            <w:pPr>
              <w:numPr>
                <w:ilvl w:val="0"/>
                <w:numId w:val="26"/>
              </w:numPr>
              <w:rPr>
                <w:bCs/>
                <w:sz w:val="18"/>
                <w:szCs w:val="22"/>
                <w:lang w:val="en-AU"/>
              </w:rPr>
            </w:pPr>
            <w:r w:rsidRPr="00700241">
              <w:rPr>
                <w:bCs/>
                <w:sz w:val="18"/>
                <w:szCs w:val="22"/>
                <w:lang w:val="en-AU"/>
              </w:rPr>
              <w:t xml:space="preserve">Target community assumes responsibility for management of sustainably intensified land </w:t>
            </w:r>
          </w:p>
        </w:tc>
      </w:tr>
      <w:tr w:rsidR="004F2DB3" w:rsidRPr="00700241" w14:paraId="68E3400A" w14:textId="77777777" w:rsidTr="00785504">
        <w:tc>
          <w:tcPr>
            <w:tcW w:w="2127" w:type="dxa"/>
            <w:vMerge/>
          </w:tcPr>
          <w:p w14:paraId="5F58B838" w14:textId="77777777" w:rsidR="009F1764" w:rsidRPr="00700241" w:rsidRDefault="009F1764" w:rsidP="009F1764">
            <w:pPr>
              <w:rPr>
                <w:bCs/>
                <w:lang w:val="en-IE"/>
              </w:rPr>
            </w:pPr>
          </w:p>
        </w:tc>
        <w:tc>
          <w:tcPr>
            <w:tcW w:w="3544" w:type="dxa"/>
            <w:shd w:val="clear" w:color="auto" w:fill="EDEDED" w:themeFill="accent3" w:themeFillTint="33"/>
          </w:tcPr>
          <w:p w14:paraId="69A02A56" w14:textId="77777777" w:rsidR="009F1764" w:rsidRPr="00700241" w:rsidRDefault="009F1764" w:rsidP="009F1764">
            <w:pPr>
              <w:rPr>
                <w:bCs/>
                <w:lang w:val="en-IE"/>
              </w:rPr>
            </w:pPr>
            <w:r w:rsidRPr="00700241">
              <w:rPr>
                <w:bCs/>
                <w:lang w:val="en-IE"/>
              </w:rPr>
              <w:t>Markets</w:t>
            </w:r>
          </w:p>
          <w:p w14:paraId="4CF4EF5D" w14:textId="77777777" w:rsidR="009F1764" w:rsidRPr="00700241" w:rsidRDefault="009F1764" w:rsidP="009F1764">
            <w:pPr>
              <w:rPr>
                <w:bCs/>
                <w:lang w:val="en-IE"/>
              </w:rPr>
            </w:pPr>
            <w:r w:rsidRPr="00700241">
              <w:rPr>
                <w:bCs/>
                <w:lang w:val="en-AU"/>
              </w:rPr>
              <w:t xml:space="preserve">Sufficient demand for NDPE commodities </w:t>
            </w:r>
          </w:p>
        </w:tc>
        <w:tc>
          <w:tcPr>
            <w:tcW w:w="4394" w:type="dxa"/>
            <w:shd w:val="clear" w:color="auto" w:fill="EDEDED" w:themeFill="accent3" w:themeFillTint="33"/>
          </w:tcPr>
          <w:p w14:paraId="6B8FA90F" w14:textId="77777777" w:rsidR="009F1764" w:rsidRPr="00700241" w:rsidRDefault="009F1764" w:rsidP="009F1764">
            <w:pPr>
              <w:numPr>
                <w:ilvl w:val="0"/>
                <w:numId w:val="26"/>
              </w:numPr>
              <w:rPr>
                <w:bCs/>
                <w:sz w:val="18"/>
                <w:szCs w:val="22"/>
                <w:lang w:val="en-AU"/>
              </w:rPr>
            </w:pPr>
            <w:r w:rsidRPr="00700241">
              <w:rPr>
                <w:bCs/>
                <w:sz w:val="18"/>
                <w:szCs w:val="22"/>
                <w:lang w:val="en-AU"/>
              </w:rPr>
              <w:t xml:space="preserve">% </w:t>
            </w:r>
            <w:proofErr w:type="gramStart"/>
            <w:r w:rsidRPr="00700241">
              <w:rPr>
                <w:bCs/>
                <w:sz w:val="18"/>
                <w:szCs w:val="22"/>
                <w:lang w:val="en-AU"/>
              </w:rPr>
              <w:t>of</w:t>
            </w:r>
            <w:proofErr w:type="gramEnd"/>
            <w:r w:rsidRPr="00700241">
              <w:rPr>
                <w:bCs/>
                <w:sz w:val="18"/>
                <w:szCs w:val="22"/>
                <w:lang w:val="en-AU"/>
              </w:rPr>
              <w:t xml:space="preserve"> NDPE produced commodity meeting RSPO (or other certification) requirements</w:t>
            </w:r>
          </w:p>
          <w:p w14:paraId="5DB44C62" w14:textId="70E953DE" w:rsidR="009F1764" w:rsidRPr="00700241" w:rsidRDefault="009F1764" w:rsidP="000470B1">
            <w:pPr>
              <w:numPr>
                <w:ilvl w:val="0"/>
                <w:numId w:val="26"/>
              </w:numPr>
              <w:rPr>
                <w:bCs/>
                <w:sz w:val="18"/>
                <w:szCs w:val="22"/>
                <w:lang w:val="en-AU"/>
              </w:rPr>
            </w:pPr>
            <w:r w:rsidRPr="00700241">
              <w:rPr>
                <w:bCs/>
                <w:sz w:val="18"/>
                <w:szCs w:val="22"/>
                <w:lang w:val="en-AU"/>
              </w:rPr>
              <w:t xml:space="preserve">% </w:t>
            </w:r>
            <w:proofErr w:type="gramStart"/>
            <w:r w:rsidRPr="00700241">
              <w:rPr>
                <w:bCs/>
                <w:sz w:val="18"/>
                <w:szCs w:val="22"/>
                <w:lang w:val="en-AU"/>
              </w:rPr>
              <w:t>of</w:t>
            </w:r>
            <w:proofErr w:type="gramEnd"/>
            <w:r w:rsidRPr="00700241">
              <w:rPr>
                <w:bCs/>
                <w:sz w:val="18"/>
                <w:szCs w:val="22"/>
                <w:lang w:val="en-AU"/>
              </w:rPr>
              <w:t xml:space="preserve"> NDPE produced commodity sold at or above market price (indicating demand)</w:t>
            </w:r>
          </w:p>
        </w:tc>
      </w:tr>
      <w:tr w:rsidR="004F2DB3" w:rsidRPr="00700241" w14:paraId="78A93A94" w14:textId="77777777" w:rsidTr="00785504">
        <w:tc>
          <w:tcPr>
            <w:tcW w:w="2127" w:type="dxa"/>
            <w:vMerge/>
          </w:tcPr>
          <w:p w14:paraId="711CA3CF" w14:textId="77777777" w:rsidR="009F1764" w:rsidRPr="00700241" w:rsidRDefault="009F1764" w:rsidP="009F1764">
            <w:pPr>
              <w:rPr>
                <w:lang w:val="en-AU"/>
              </w:rPr>
            </w:pPr>
          </w:p>
        </w:tc>
        <w:tc>
          <w:tcPr>
            <w:tcW w:w="3544" w:type="dxa"/>
            <w:shd w:val="clear" w:color="auto" w:fill="EDEDED" w:themeFill="accent3" w:themeFillTint="33"/>
          </w:tcPr>
          <w:p w14:paraId="72C536C7" w14:textId="77777777" w:rsidR="009F1764" w:rsidRPr="00700241" w:rsidRDefault="009F1764" w:rsidP="009F1764">
            <w:pPr>
              <w:rPr>
                <w:bCs/>
                <w:lang w:val="en-IE"/>
              </w:rPr>
            </w:pPr>
            <w:r w:rsidRPr="00700241">
              <w:rPr>
                <w:bCs/>
                <w:lang w:val="en-IE"/>
              </w:rPr>
              <w:t>Government policies and Regulations</w:t>
            </w:r>
          </w:p>
          <w:p w14:paraId="12D376CB" w14:textId="70ACAEB6" w:rsidR="009F1764" w:rsidRPr="00700241" w:rsidRDefault="009F1764" w:rsidP="009F1764">
            <w:pPr>
              <w:rPr>
                <w:bCs/>
                <w:lang w:val="en-IE"/>
              </w:rPr>
            </w:pPr>
            <w:r w:rsidRPr="00700241">
              <w:rPr>
                <w:bCs/>
                <w:lang w:val="en-AU"/>
              </w:rPr>
              <w:t xml:space="preserve">&amp;Green investments spur changes to policies &amp; laws to support </w:t>
            </w:r>
            <w:r w:rsidR="00491B0C" w:rsidRPr="00700241">
              <w:rPr>
                <w:bCs/>
                <w:lang w:val="en-AU"/>
              </w:rPr>
              <w:t>TC</w:t>
            </w:r>
          </w:p>
        </w:tc>
        <w:tc>
          <w:tcPr>
            <w:tcW w:w="4394" w:type="dxa"/>
            <w:shd w:val="clear" w:color="auto" w:fill="EDEDED" w:themeFill="accent3" w:themeFillTint="33"/>
          </w:tcPr>
          <w:p w14:paraId="5580FF05" w14:textId="77777777" w:rsidR="009F1764" w:rsidRPr="00700241" w:rsidRDefault="009F1764" w:rsidP="009F1764">
            <w:pPr>
              <w:numPr>
                <w:ilvl w:val="0"/>
                <w:numId w:val="29"/>
              </w:numPr>
              <w:rPr>
                <w:bCs/>
                <w:sz w:val="18"/>
                <w:szCs w:val="22"/>
                <w:lang w:val="en-AU"/>
              </w:rPr>
            </w:pPr>
            <w:r w:rsidRPr="00700241">
              <w:rPr>
                <w:bCs/>
                <w:sz w:val="18"/>
                <w:szCs w:val="22"/>
                <w:lang w:val="en-AU"/>
              </w:rPr>
              <w:t xml:space="preserve"># Legislative or regulatory changes that discourage/restrict deforestation </w:t>
            </w:r>
          </w:p>
          <w:p w14:paraId="142F6102" w14:textId="1C2A2711" w:rsidR="009F1764" w:rsidRPr="00700241" w:rsidRDefault="009F1764" w:rsidP="007000E8">
            <w:pPr>
              <w:numPr>
                <w:ilvl w:val="0"/>
                <w:numId w:val="29"/>
              </w:numPr>
              <w:rPr>
                <w:bCs/>
                <w:sz w:val="18"/>
                <w:szCs w:val="22"/>
                <w:lang w:val="en-AU"/>
              </w:rPr>
            </w:pPr>
            <w:r w:rsidRPr="00700241">
              <w:rPr>
                <w:bCs/>
                <w:sz w:val="18"/>
                <w:szCs w:val="22"/>
                <w:lang w:val="en-AU"/>
              </w:rPr>
              <w:t xml:space="preserve"># </w:t>
            </w:r>
            <w:proofErr w:type="gramStart"/>
            <w:r w:rsidRPr="00700241">
              <w:rPr>
                <w:bCs/>
                <w:sz w:val="18"/>
                <w:szCs w:val="22"/>
                <w:lang w:val="en-AU"/>
              </w:rPr>
              <w:t>policies</w:t>
            </w:r>
            <w:proofErr w:type="gramEnd"/>
            <w:r w:rsidRPr="00700241">
              <w:rPr>
                <w:bCs/>
                <w:sz w:val="18"/>
                <w:szCs w:val="22"/>
                <w:lang w:val="en-AU"/>
              </w:rPr>
              <w:t xml:space="preserve"> and regulations introduced to support, enable and encourage shift to NDPE </w:t>
            </w:r>
          </w:p>
        </w:tc>
      </w:tr>
      <w:tr w:rsidR="004F2DB3" w:rsidRPr="00700241" w14:paraId="5593775B" w14:textId="77777777" w:rsidTr="00785504">
        <w:tc>
          <w:tcPr>
            <w:tcW w:w="2127" w:type="dxa"/>
            <w:vMerge/>
          </w:tcPr>
          <w:p w14:paraId="0F392A18" w14:textId="77777777" w:rsidR="009F1764" w:rsidRPr="00700241" w:rsidRDefault="009F1764" w:rsidP="009F1764">
            <w:pPr>
              <w:rPr>
                <w:lang w:val="en-AU"/>
              </w:rPr>
            </w:pPr>
          </w:p>
        </w:tc>
        <w:tc>
          <w:tcPr>
            <w:tcW w:w="3544" w:type="dxa"/>
            <w:shd w:val="clear" w:color="auto" w:fill="EDEDED" w:themeFill="accent3" w:themeFillTint="33"/>
          </w:tcPr>
          <w:p w14:paraId="1F10849B" w14:textId="2A768FE0" w:rsidR="009F1764" w:rsidRPr="00700241" w:rsidRDefault="009F1764" w:rsidP="00A52D6A">
            <w:pPr>
              <w:spacing w:after="0"/>
              <w:rPr>
                <w:bCs/>
                <w:lang w:val="en-IE"/>
              </w:rPr>
            </w:pPr>
            <w:r w:rsidRPr="00700241">
              <w:rPr>
                <w:bCs/>
                <w:lang w:val="en-IE"/>
              </w:rPr>
              <w:t xml:space="preserve">Social licence to operate </w:t>
            </w:r>
          </w:p>
          <w:p w14:paraId="60E82A20" w14:textId="1740E409" w:rsidR="009F1764" w:rsidRPr="00700241" w:rsidRDefault="009F1764" w:rsidP="00F964D3">
            <w:pPr>
              <w:spacing w:after="0"/>
              <w:rPr>
                <w:bCs/>
                <w:lang w:val="en-IE"/>
              </w:rPr>
            </w:pPr>
            <w:r w:rsidRPr="00700241">
              <w:rPr>
                <w:bCs/>
                <w:lang w:val="en-AU"/>
              </w:rPr>
              <w:t xml:space="preserve">&amp;Green investments spur changes to policies &amp; norms to support </w:t>
            </w:r>
            <w:r w:rsidR="00B54F4F" w:rsidRPr="00700241">
              <w:rPr>
                <w:bCs/>
                <w:lang w:val="en-AU"/>
              </w:rPr>
              <w:t>TC</w:t>
            </w:r>
          </w:p>
        </w:tc>
        <w:tc>
          <w:tcPr>
            <w:tcW w:w="4394" w:type="dxa"/>
            <w:shd w:val="clear" w:color="auto" w:fill="EDEDED" w:themeFill="accent3" w:themeFillTint="33"/>
          </w:tcPr>
          <w:p w14:paraId="45A4F89F" w14:textId="74B0E13B" w:rsidR="009F1764" w:rsidRPr="00700241" w:rsidRDefault="009F1764" w:rsidP="3780A7E6">
            <w:pPr>
              <w:numPr>
                <w:ilvl w:val="0"/>
                <w:numId w:val="29"/>
              </w:numPr>
              <w:rPr>
                <w:sz w:val="18"/>
                <w:szCs w:val="22"/>
                <w:lang w:val="en-AU"/>
              </w:rPr>
            </w:pPr>
            <w:r w:rsidRPr="00700241">
              <w:rPr>
                <w:sz w:val="18"/>
                <w:szCs w:val="22"/>
                <w:lang w:val="en-AU"/>
              </w:rPr>
              <w:t xml:space="preserve"># </w:t>
            </w:r>
            <w:proofErr w:type="gramStart"/>
            <w:r w:rsidRPr="00700241">
              <w:rPr>
                <w:sz w:val="18"/>
                <w:szCs w:val="22"/>
                <w:lang w:val="en-AU"/>
              </w:rPr>
              <w:t>industry</w:t>
            </w:r>
            <w:proofErr w:type="gramEnd"/>
            <w:r w:rsidRPr="00700241">
              <w:rPr>
                <w:sz w:val="18"/>
                <w:szCs w:val="22"/>
                <w:lang w:val="en-AU"/>
              </w:rPr>
              <w:t xml:space="preserve"> association policies introduced in support of NDPE (e.g. soy moratorium) </w:t>
            </w:r>
          </w:p>
          <w:p w14:paraId="6CF6DD44" w14:textId="2617EC9B" w:rsidR="009F1764" w:rsidRPr="00700241" w:rsidRDefault="00562C2D" w:rsidP="00F964D3">
            <w:pPr>
              <w:numPr>
                <w:ilvl w:val="0"/>
                <w:numId w:val="29"/>
              </w:numPr>
              <w:spacing w:after="0"/>
              <w:rPr>
                <w:bCs/>
                <w:sz w:val="18"/>
                <w:szCs w:val="22"/>
                <w:lang w:val="en-AU"/>
              </w:rPr>
            </w:pPr>
            <w:r w:rsidRPr="00700241">
              <w:rPr>
                <w:bCs/>
                <w:sz w:val="18"/>
                <w:szCs w:val="22"/>
                <w:lang w:val="en-AU"/>
              </w:rPr>
              <w:t xml:space="preserve">Increase in </w:t>
            </w:r>
            <w:r w:rsidR="009F1764" w:rsidRPr="00700241">
              <w:rPr>
                <w:bCs/>
                <w:sz w:val="18"/>
                <w:szCs w:val="22"/>
                <w:lang w:val="en-AU"/>
              </w:rPr>
              <w:t xml:space="preserve"># buyers (or $ value or # tonnes) of commodities requiring NDPE </w:t>
            </w:r>
          </w:p>
        </w:tc>
      </w:tr>
    </w:tbl>
    <w:p w14:paraId="4EDBC405" w14:textId="16E2DAA7" w:rsidR="00D846F1" w:rsidRPr="00700241" w:rsidRDefault="00E74F1D" w:rsidP="00E74F1D">
      <w:pPr>
        <w:pStyle w:val="Default"/>
        <w:rPr>
          <w:rFonts w:cs="Open Sans"/>
          <w:bCs/>
          <w:szCs w:val="20"/>
          <w:lang w:val="en-GB"/>
        </w:rPr>
      </w:pPr>
      <w:bookmarkStart w:id="6" w:name="_Toc77597758"/>
      <w:r w:rsidRPr="00700241">
        <w:rPr>
          <w:rFonts w:cs="Open Sans"/>
          <w:bCs/>
          <w:szCs w:val="20"/>
          <w:lang w:val="en-GB"/>
        </w:rPr>
        <w:t>The TC KPI is a weighted average of the OPIs monitoring each dimension (System, Scale, Durability). Investments may have different focus in TC, and OPIs may be differently weighted reflecting their relative importance. Default is for equal OPI weighting (</w:t>
      </w:r>
      <w:proofErr w:type="spellStart"/>
      <w:r w:rsidRPr="00700241">
        <w:rPr>
          <w:rFonts w:cs="Open Sans"/>
          <w:bCs/>
          <w:szCs w:val="20"/>
          <w:lang w:val="en-GB"/>
        </w:rPr>
        <w:t>ie</w:t>
      </w:r>
      <w:proofErr w:type="spellEnd"/>
      <w:r w:rsidRPr="00700241">
        <w:rPr>
          <w:rFonts w:cs="Open Sans"/>
          <w:bCs/>
          <w:szCs w:val="20"/>
          <w:lang w:val="en-GB"/>
        </w:rPr>
        <w:t>: 0.33 each), but an investment with a primary focus on ‘blue-printing’ may choose a higher weighing for OPI1.2 Scale. The maximum weighting per OPI is 0.5.</w:t>
      </w:r>
      <w:r w:rsidR="00053D7F" w:rsidRPr="00700241">
        <w:rPr>
          <w:rFonts w:cs="Open Sans"/>
          <w:bCs/>
          <w:szCs w:val="20"/>
          <w:lang w:val="en-GB"/>
        </w:rPr>
        <w:t xml:space="preserve"> </w:t>
      </w:r>
      <w:r w:rsidR="00D846F1" w:rsidRPr="00700241">
        <w:rPr>
          <w:rFonts w:cs="Open Sans"/>
          <w:bCs/>
          <w:szCs w:val="20"/>
          <w:lang w:val="en-GB"/>
        </w:rPr>
        <w:t xml:space="preserve">The metrics for each OPI should be </w:t>
      </w:r>
      <w:r w:rsidR="004A39D1" w:rsidRPr="00700241">
        <w:rPr>
          <w:rFonts w:cs="Open Sans"/>
          <w:bCs/>
          <w:szCs w:val="20"/>
          <w:lang w:val="en-GB"/>
        </w:rPr>
        <w:t xml:space="preserve">determined at the </w:t>
      </w:r>
      <w:proofErr w:type="gramStart"/>
      <w:r w:rsidR="004A39D1" w:rsidRPr="00700241">
        <w:rPr>
          <w:rFonts w:cs="Open Sans"/>
          <w:bCs/>
          <w:szCs w:val="20"/>
          <w:lang w:val="en-GB"/>
        </w:rPr>
        <w:t>baseline, but</w:t>
      </w:r>
      <w:proofErr w:type="gramEnd"/>
      <w:r w:rsidR="004A39D1" w:rsidRPr="00700241">
        <w:rPr>
          <w:rFonts w:cs="Open Sans"/>
          <w:bCs/>
          <w:szCs w:val="20"/>
          <w:lang w:val="en-GB"/>
        </w:rPr>
        <w:t xml:space="preserve"> may be amended (with justification) w</w:t>
      </w:r>
      <w:r w:rsidR="00D846F1" w:rsidRPr="00700241">
        <w:rPr>
          <w:rFonts w:cs="Open Sans"/>
          <w:bCs/>
          <w:szCs w:val="20"/>
          <w:lang w:val="en-GB"/>
        </w:rPr>
        <w:t>he</w:t>
      </w:r>
      <w:r w:rsidR="004A39D1" w:rsidRPr="00700241">
        <w:rPr>
          <w:rFonts w:cs="Open Sans"/>
          <w:bCs/>
          <w:szCs w:val="20"/>
          <w:lang w:val="en-GB"/>
        </w:rPr>
        <w:t>n</w:t>
      </w:r>
      <w:r w:rsidR="00D846F1" w:rsidRPr="00700241">
        <w:rPr>
          <w:rFonts w:cs="Open Sans"/>
          <w:bCs/>
          <w:szCs w:val="20"/>
          <w:lang w:val="en-GB"/>
        </w:rPr>
        <w:t xml:space="preserve"> circumstances </w:t>
      </w:r>
      <w:r w:rsidR="004A39D1" w:rsidRPr="00700241">
        <w:rPr>
          <w:rFonts w:cs="Open Sans"/>
          <w:bCs/>
          <w:szCs w:val="20"/>
          <w:lang w:val="en-GB"/>
        </w:rPr>
        <w:t>change.</w:t>
      </w:r>
    </w:p>
    <w:p w14:paraId="6989A649" w14:textId="2904CB2E" w:rsidR="002B1052" w:rsidRPr="00700241" w:rsidRDefault="002B1052" w:rsidP="002B1052">
      <w:pPr>
        <w:pStyle w:val="Heading2"/>
      </w:pPr>
      <w:bookmarkStart w:id="7" w:name="_Toc103271281"/>
      <w:r w:rsidRPr="00700241">
        <w:t>OPI</w:t>
      </w:r>
      <w:r w:rsidR="00E6189F" w:rsidRPr="00700241">
        <w:t>1.</w:t>
      </w:r>
      <w:r w:rsidRPr="00700241">
        <w:t xml:space="preserve">1 </w:t>
      </w:r>
      <w:r w:rsidR="00E6189F" w:rsidRPr="00700241">
        <w:t>System Change</w:t>
      </w:r>
      <w:bookmarkEnd w:id="7"/>
    </w:p>
    <w:bookmarkEnd w:id="6"/>
    <w:p w14:paraId="2201DEF3" w14:textId="42802704" w:rsidR="00073B9B" w:rsidRPr="00700241" w:rsidRDefault="00351D2B" w:rsidP="007460A0">
      <w:pPr>
        <w:pStyle w:val="Default"/>
        <w:rPr>
          <w:rFonts w:cs="Open Sans"/>
          <w:bCs/>
          <w:szCs w:val="20"/>
          <w:lang w:val="en-GB"/>
        </w:rPr>
      </w:pPr>
      <w:r w:rsidRPr="00700241">
        <w:rPr>
          <w:rFonts w:cs="Open Sans"/>
          <w:bCs/>
          <w:szCs w:val="20"/>
          <w:lang w:val="en-GB"/>
        </w:rPr>
        <w:t xml:space="preserve">This monitors how changes from </w:t>
      </w:r>
      <w:proofErr w:type="spellStart"/>
      <w:r w:rsidRPr="00700241">
        <w:rPr>
          <w:rFonts w:cs="Open Sans"/>
          <w:bCs/>
          <w:szCs w:val="20"/>
          <w:lang w:val="en-GB"/>
        </w:rPr>
        <w:t>BaU</w:t>
      </w:r>
      <w:proofErr w:type="spellEnd"/>
      <w:r w:rsidRPr="00700241">
        <w:rPr>
          <w:rFonts w:cs="Open Sans"/>
          <w:bCs/>
          <w:szCs w:val="20"/>
          <w:lang w:val="en-GB"/>
        </w:rPr>
        <w:t xml:space="preserve"> are implemented at the </w:t>
      </w:r>
      <w:r w:rsidR="00940949" w:rsidRPr="00700241">
        <w:rPr>
          <w:rFonts w:cs="Open Sans"/>
          <w:bCs/>
          <w:szCs w:val="20"/>
          <w:lang w:val="en-GB"/>
        </w:rPr>
        <w:t xml:space="preserve">system, </w:t>
      </w:r>
      <w:proofErr w:type="gramStart"/>
      <w:r w:rsidR="00940949" w:rsidRPr="00700241">
        <w:rPr>
          <w:rFonts w:cs="Open Sans"/>
          <w:bCs/>
          <w:szCs w:val="20"/>
          <w:lang w:val="en-GB"/>
        </w:rPr>
        <w:t>investment</w:t>
      </w:r>
      <w:proofErr w:type="gramEnd"/>
      <w:r w:rsidR="00940949" w:rsidRPr="00700241">
        <w:rPr>
          <w:rFonts w:cs="Open Sans"/>
          <w:bCs/>
          <w:szCs w:val="20"/>
          <w:lang w:val="en-GB"/>
        </w:rPr>
        <w:t xml:space="preserve"> or installation level. This is the level at which &amp;Green has the most direct influence. </w:t>
      </w:r>
      <w:r w:rsidR="006304AD" w:rsidRPr="00700241">
        <w:rPr>
          <w:rFonts w:cs="Open Sans"/>
          <w:bCs/>
          <w:szCs w:val="20"/>
          <w:lang w:val="en-GB"/>
        </w:rPr>
        <w:t xml:space="preserve">The metrics should </w:t>
      </w:r>
      <w:r w:rsidR="00BB7718" w:rsidRPr="00700241">
        <w:rPr>
          <w:rFonts w:cs="Open Sans"/>
          <w:bCs/>
          <w:szCs w:val="20"/>
          <w:lang w:val="en-GB"/>
        </w:rPr>
        <w:t>at minimum include:</w:t>
      </w:r>
      <w:r w:rsidR="006304AD" w:rsidRPr="00700241">
        <w:rPr>
          <w:rFonts w:cs="Open Sans"/>
          <w:bCs/>
          <w:szCs w:val="20"/>
          <w:lang w:val="en-GB"/>
        </w:rPr>
        <w:t xml:space="preserve"> </w:t>
      </w:r>
    </w:p>
    <w:p w14:paraId="6CBA963B" w14:textId="77777777" w:rsidR="005D19FF" w:rsidRPr="00700241" w:rsidRDefault="005D19FF" w:rsidP="005D19FF">
      <w:pPr>
        <w:pStyle w:val="Default"/>
        <w:numPr>
          <w:ilvl w:val="0"/>
          <w:numId w:val="25"/>
        </w:numPr>
        <w:rPr>
          <w:rFonts w:cs="Open Sans"/>
          <w:szCs w:val="20"/>
          <w:lang w:val="en-IE"/>
        </w:rPr>
      </w:pPr>
      <w:r w:rsidRPr="00700241">
        <w:rPr>
          <w:rFonts w:cs="Open Sans"/>
          <w:szCs w:val="20"/>
          <w:lang w:val="en-IE"/>
        </w:rPr>
        <w:t xml:space="preserve">% </w:t>
      </w:r>
      <w:proofErr w:type="gramStart"/>
      <w:r w:rsidRPr="00700241">
        <w:rPr>
          <w:rFonts w:cs="Open Sans"/>
          <w:szCs w:val="20"/>
          <w:lang w:val="en-IE"/>
        </w:rPr>
        <w:t>compliance</w:t>
      </w:r>
      <w:proofErr w:type="gramEnd"/>
      <w:r w:rsidRPr="00700241">
        <w:rPr>
          <w:rFonts w:cs="Open Sans"/>
          <w:szCs w:val="20"/>
          <w:lang w:val="en-IE"/>
        </w:rPr>
        <w:t xml:space="preserve"> with IFC PS</w:t>
      </w:r>
    </w:p>
    <w:p w14:paraId="4D2256C3" w14:textId="77777777" w:rsidR="005D19FF" w:rsidRPr="00700241" w:rsidRDefault="005D19FF" w:rsidP="005D19FF">
      <w:pPr>
        <w:pStyle w:val="Default"/>
        <w:numPr>
          <w:ilvl w:val="0"/>
          <w:numId w:val="25"/>
        </w:numPr>
        <w:rPr>
          <w:rFonts w:cs="Open Sans"/>
          <w:szCs w:val="20"/>
          <w:lang w:val="en-IE"/>
        </w:rPr>
      </w:pPr>
      <w:r w:rsidRPr="00700241">
        <w:rPr>
          <w:rFonts w:cs="Open Sans"/>
          <w:szCs w:val="20"/>
          <w:lang w:val="en-IE"/>
        </w:rPr>
        <w:t xml:space="preserve">% </w:t>
      </w:r>
      <w:proofErr w:type="gramStart"/>
      <w:r w:rsidRPr="00700241">
        <w:rPr>
          <w:rFonts w:cs="Open Sans"/>
          <w:szCs w:val="20"/>
          <w:lang w:val="en-IE"/>
        </w:rPr>
        <w:t>implementation</w:t>
      </w:r>
      <w:proofErr w:type="gramEnd"/>
      <w:r w:rsidRPr="00700241">
        <w:rPr>
          <w:rFonts w:cs="Open Sans"/>
          <w:szCs w:val="20"/>
          <w:lang w:val="en-IE"/>
        </w:rPr>
        <w:t xml:space="preserve"> of NDPE</w:t>
      </w:r>
    </w:p>
    <w:p w14:paraId="6759F93E" w14:textId="756C5D10" w:rsidR="00AB7B3A" w:rsidRPr="00700241" w:rsidRDefault="002E1CE6" w:rsidP="00AB7B3A">
      <w:pPr>
        <w:pStyle w:val="Default"/>
        <w:rPr>
          <w:rFonts w:cs="Open Sans"/>
          <w:bCs/>
          <w:szCs w:val="20"/>
          <w:lang w:val="en-AU"/>
        </w:rPr>
      </w:pPr>
      <w:r w:rsidRPr="00700241">
        <w:rPr>
          <w:rFonts w:cs="Open Sans"/>
          <w:bCs/>
          <w:szCs w:val="20"/>
          <w:lang w:val="en-GB"/>
        </w:rPr>
        <w:t xml:space="preserve">Initial </w:t>
      </w:r>
      <w:r w:rsidR="008E4EDD" w:rsidRPr="00700241">
        <w:rPr>
          <w:rFonts w:cs="Open Sans"/>
          <w:bCs/>
          <w:szCs w:val="20"/>
          <w:lang w:val="en-GB"/>
        </w:rPr>
        <w:t xml:space="preserve">successful </w:t>
      </w:r>
      <w:r w:rsidR="007D6F4A" w:rsidRPr="00700241">
        <w:rPr>
          <w:rFonts w:cs="Open Sans"/>
          <w:bCs/>
          <w:szCs w:val="20"/>
          <w:lang w:val="en-GB"/>
        </w:rPr>
        <w:t xml:space="preserve">IFC PS or NDPE </w:t>
      </w:r>
      <w:r w:rsidR="007B7F2B" w:rsidRPr="00700241">
        <w:rPr>
          <w:rFonts w:cs="Open Sans"/>
          <w:bCs/>
          <w:szCs w:val="20"/>
          <w:lang w:val="en-GB"/>
        </w:rPr>
        <w:t>implement</w:t>
      </w:r>
      <w:r w:rsidRPr="00700241">
        <w:rPr>
          <w:rFonts w:cs="Open Sans"/>
          <w:bCs/>
          <w:szCs w:val="20"/>
          <w:lang w:val="en-GB"/>
        </w:rPr>
        <w:t>ation</w:t>
      </w:r>
      <w:r w:rsidR="007B7F2B" w:rsidRPr="00700241">
        <w:rPr>
          <w:rFonts w:cs="Open Sans"/>
          <w:bCs/>
          <w:szCs w:val="20"/>
          <w:lang w:val="en-GB"/>
        </w:rPr>
        <w:t xml:space="preserve"> in supply chains </w:t>
      </w:r>
      <w:r w:rsidRPr="00700241">
        <w:rPr>
          <w:rFonts w:cs="Open Sans"/>
          <w:bCs/>
          <w:szCs w:val="20"/>
          <w:lang w:val="en-GB"/>
        </w:rPr>
        <w:t>(</w:t>
      </w:r>
      <w:proofErr w:type="spellStart"/>
      <w:r w:rsidRPr="00700241">
        <w:rPr>
          <w:rFonts w:cs="Open Sans"/>
          <w:bCs/>
          <w:szCs w:val="20"/>
          <w:lang w:val="en-GB"/>
        </w:rPr>
        <w:t>eg</w:t>
      </w:r>
      <w:proofErr w:type="spellEnd"/>
      <w:r w:rsidRPr="00700241">
        <w:rPr>
          <w:rFonts w:cs="Open Sans"/>
          <w:bCs/>
          <w:szCs w:val="20"/>
          <w:lang w:val="en-GB"/>
        </w:rPr>
        <w:t xml:space="preserve">: in year 1) </w:t>
      </w:r>
      <w:r w:rsidR="00C666F6" w:rsidRPr="00700241">
        <w:rPr>
          <w:rFonts w:cs="Open Sans"/>
          <w:bCs/>
          <w:szCs w:val="20"/>
          <w:lang w:val="en-GB"/>
        </w:rPr>
        <w:t xml:space="preserve">that are associated with deforestation &amp;/or exploitation </w:t>
      </w:r>
      <w:r w:rsidR="008E4EDD" w:rsidRPr="00700241">
        <w:rPr>
          <w:rFonts w:cs="Open Sans"/>
          <w:bCs/>
          <w:szCs w:val="20"/>
          <w:lang w:val="en-GB"/>
        </w:rPr>
        <w:t xml:space="preserve">should be assessed </w:t>
      </w:r>
      <w:r w:rsidR="00AB7B3A" w:rsidRPr="00700241">
        <w:rPr>
          <w:rFonts w:cs="Open Sans"/>
          <w:bCs/>
          <w:szCs w:val="20"/>
          <w:lang w:val="en-GB"/>
        </w:rPr>
        <w:t>as</w:t>
      </w:r>
      <w:r w:rsidR="005630FD" w:rsidRPr="00700241">
        <w:rPr>
          <w:rFonts w:cs="Open Sans"/>
          <w:bCs/>
          <w:szCs w:val="20"/>
          <w:lang w:val="en-GB"/>
        </w:rPr>
        <w:t xml:space="preserve"> 1 or 2</w:t>
      </w:r>
      <w:r w:rsidR="00544939" w:rsidRPr="00700241">
        <w:rPr>
          <w:rFonts w:cs="Open Sans"/>
          <w:bCs/>
          <w:szCs w:val="20"/>
          <w:lang w:val="en-AU"/>
        </w:rPr>
        <w:t>.</w:t>
      </w:r>
    </w:p>
    <w:p w14:paraId="617432D7" w14:textId="05F228FE" w:rsidR="00DB3E67" w:rsidRPr="00700241" w:rsidRDefault="00AB7B3A" w:rsidP="00DB3E67">
      <w:pPr>
        <w:pStyle w:val="Default"/>
        <w:rPr>
          <w:rFonts w:cs="Open Sans"/>
          <w:bCs/>
          <w:i/>
          <w:iCs/>
          <w:szCs w:val="20"/>
          <w:lang w:val="en-AU"/>
        </w:rPr>
      </w:pPr>
      <w:r w:rsidRPr="00700241">
        <w:rPr>
          <w:rFonts w:cs="Open Sans"/>
          <w:bCs/>
          <w:szCs w:val="20"/>
          <w:lang w:val="en-GB"/>
        </w:rPr>
        <w:t>Ongoing successful and consistent implementation of IFC PS and NDPE (</w:t>
      </w:r>
      <w:proofErr w:type="spellStart"/>
      <w:r w:rsidRPr="00700241">
        <w:rPr>
          <w:rFonts w:cs="Open Sans"/>
          <w:bCs/>
          <w:szCs w:val="20"/>
          <w:lang w:val="en-GB"/>
        </w:rPr>
        <w:t>eg</w:t>
      </w:r>
      <w:proofErr w:type="spellEnd"/>
      <w:r w:rsidRPr="00700241">
        <w:rPr>
          <w:rFonts w:cs="Open Sans"/>
          <w:bCs/>
          <w:szCs w:val="20"/>
          <w:lang w:val="en-GB"/>
        </w:rPr>
        <w:t xml:space="preserve">: at least 2 years) </w:t>
      </w:r>
      <w:r w:rsidR="00DB3E67" w:rsidRPr="00700241">
        <w:rPr>
          <w:rFonts w:cs="Open Sans"/>
          <w:bCs/>
          <w:szCs w:val="20"/>
          <w:lang w:val="en-GB"/>
        </w:rPr>
        <w:t>in supply chains should be assessed as</w:t>
      </w:r>
      <w:r w:rsidR="00544939" w:rsidRPr="00700241">
        <w:rPr>
          <w:rFonts w:cs="Open Sans"/>
          <w:bCs/>
          <w:szCs w:val="20"/>
          <w:lang w:val="en-GB"/>
        </w:rPr>
        <w:t xml:space="preserve"> ‘</w:t>
      </w:r>
      <w:r w:rsidR="00672DCE" w:rsidRPr="00700241">
        <w:rPr>
          <w:rFonts w:cs="Open Sans"/>
          <w:bCs/>
          <w:szCs w:val="20"/>
          <w:lang w:val="en-GB"/>
        </w:rPr>
        <w:t>3’</w:t>
      </w:r>
      <w:r w:rsidR="00672DCE" w:rsidRPr="00700241">
        <w:rPr>
          <w:rFonts w:cs="Open Sans"/>
          <w:bCs/>
          <w:i/>
          <w:iCs/>
          <w:szCs w:val="20"/>
          <w:lang w:val="en-AU"/>
        </w:rPr>
        <w:t>.</w:t>
      </w:r>
      <w:r w:rsidR="00DB3E67" w:rsidRPr="00700241">
        <w:rPr>
          <w:rFonts w:cs="Open Sans"/>
          <w:bCs/>
          <w:i/>
          <w:iCs/>
          <w:szCs w:val="20"/>
          <w:lang w:val="en-AU"/>
        </w:rPr>
        <w:t xml:space="preserve"> </w:t>
      </w:r>
    </w:p>
    <w:p w14:paraId="7E2DC374" w14:textId="173BF1BD" w:rsidR="00073B9B" w:rsidRPr="00700241" w:rsidRDefault="001B56F5" w:rsidP="007460A0">
      <w:pPr>
        <w:pStyle w:val="Default"/>
        <w:rPr>
          <w:rFonts w:cs="Open Sans"/>
          <w:bCs/>
          <w:szCs w:val="20"/>
          <w:lang w:val="en-GB"/>
        </w:rPr>
      </w:pPr>
      <w:r w:rsidRPr="00700241">
        <w:rPr>
          <w:rFonts w:cs="Open Sans"/>
          <w:bCs/>
          <w:szCs w:val="20"/>
          <w:lang w:val="en-GB"/>
        </w:rPr>
        <w:t xml:space="preserve">Other metrics taken from the ESAP may be included </w:t>
      </w:r>
      <w:r w:rsidR="00DB3E67" w:rsidRPr="00700241">
        <w:rPr>
          <w:rFonts w:cs="Open Sans"/>
          <w:bCs/>
          <w:szCs w:val="20"/>
          <w:lang w:val="en-GB"/>
        </w:rPr>
        <w:t xml:space="preserve">and assessed (on 0-3) </w:t>
      </w:r>
      <w:r w:rsidRPr="00700241">
        <w:rPr>
          <w:rFonts w:cs="Open Sans"/>
          <w:bCs/>
          <w:szCs w:val="20"/>
          <w:lang w:val="en-GB"/>
        </w:rPr>
        <w:t>as relevant.</w:t>
      </w:r>
    </w:p>
    <w:p w14:paraId="2D5036F5" w14:textId="44149FE4" w:rsidR="00935B28" w:rsidRPr="00700241" w:rsidRDefault="00D24AE1" w:rsidP="007460A0">
      <w:pPr>
        <w:pStyle w:val="Default"/>
        <w:rPr>
          <w:rFonts w:cs="Open Sans"/>
          <w:bCs/>
          <w:szCs w:val="20"/>
          <w:lang w:val="en-GB"/>
        </w:rPr>
      </w:pPr>
      <w:r w:rsidRPr="00700241">
        <w:rPr>
          <w:rFonts w:cs="Open Sans"/>
          <w:bCs/>
          <w:szCs w:val="20"/>
          <w:lang w:val="en-GB"/>
        </w:rPr>
        <w:t xml:space="preserve">The OPI1.1 assessment is the average of the two (or more) metrics. </w:t>
      </w:r>
    </w:p>
    <w:p w14:paraId="61E1DA63" w14:textId="3E8F510B" w:rsidR="00D24AE1" w:rsidRPr="00700241" w:rsidRDefault="00D24AE1" w:rsidP="00D24AE1">
      <w:pPr>
        <w:pStyle w:val="Heading2"/>
      </w:pPr>
      <w:bookmarkStart w:id="8" w:name="_Toc103271282"/>
      <w:r w:rsidRPr="00700241">
        <w:t>OPI1.2 Scale</w:t>
      </w:r>
      <w:bookmarkEnd w:id="8"/>
    </w:p>
    <w:p w14:paraId="5CFA1EC9" w14:textId="77777777" w:rsidR="0052423C" w:rsidRPr="00700241" w:rsidRDefault="0052423C" w:rsidP="0052423C">
      <w:pPr>
        <w:pStyle w:val="Default"/>
        <w:rPr>
          <w:rFonts w:cs="Open Sans"/>
          <w:bCs/>
          <w:szCs w:val="20"/>
          <w:lang w:val="en-IE"/>
        </w:rPr>
      </w:pPr>
      <w:r w:rsidRPr="007C500F">
        <w:rPr>
          <w:rFonts w:cs="Open Sans"/>
          <w:bCs/>
          <w:szCs w:val="20"/>
          <w:lang w:val="en-GB"/>
        </w:rPr>
        <w:t>This monitors how &amp;Gre</w:t>
      </w:r>
      <w:r w:rsidRPr="00F74444">
        <w:rPr>
          <w:rFonts w:cs="Open Sans"/>
          <w:bCs/>
          <w:szCs w:val="20"/>
          <w:lang w:val="en-GB"/>
        </w:rPr>
        <w:t xml:space="preserve">en </w:t>
      </w:r>
      <w:r w:rsidRPr="00700241">
        <w:rPr>
          <w:rFonts w:cs="Open Sans"/>
          <w:bCs/>
          <w:szCs w:val="20"/>
          <w:lang w:val="en-IE"/>
        </w:rPr>
        <w:t xml:space="preserve">investments progress toward widespread application – either through the scale of the &amp;Green investment, or through the replication and dissemination of the approach. </w:t>
      </w:r>
    </w:p>
    <w:p w14:paraId="027BDC77" w14:textId="77777777" w:rsidR="0052423C" w:rsidRPr="00700241" w:rsidRDefault="0052423C" w:rsidP="0052423C">
      <w:pPr>
        <w:pStyle w:val="Default"/>
        <w:rPr>
          <w:rFonts w:cs="Open Sans"/>
          <w:bCs/>
          <w:szCs w:val="20"/>
          <w:lang w:val="en-IE"/>
        </w:rPr>
      </w:pPr>
      <w:r w:rsidRPr="00700241">
        <w:rPr>
          <w:rFonts w:cs="Open Sans"/>
          <w:bCs/>
          <w:szCs w:val="20"/>
          <w:lang w:val="en-IE"/>
        </w:rPr>
        <w:t xml:space="preserve">At least 2 metrics should be defined at baselining and assessed annually. These metrics can be selected from the table above (or supporting Tier D document) or established for the investment using sector or location specific information. </w:t>
      </w:r>
    </w:p>
    <w:p w14:paraId="64C573BB" w14:textId="77777777" w:rsidR="0052423C" w:rsidRPr="00700241" w:rsidRDefault="0052423C" w:rsidP="0052423C">
      <w:pPr>
        <w:pStyle w:val="Default"/>
        <w:rPr>
          <w:rFonts w:cs="Open Sans"/>
          <w:bCs/>
          <w:szCs w:val="20"/>
          <w:lang w:val="en-IE"/>
        </w:rPr>
      </w:pPr>
      <w:r w:rsidRPr="00700241">
        <w:rPr>
          <w:rFonts w:cs="Open Sans"/>
          <w:bCs/>
          <w:szCs w:val="20"/>
          <w:lang w:val="en-IE"/>
        </w:rPr>
        <w:t xml:space="preserve">In the baseline year, the assessment would likely be 0 or 1 (on 0-3 scale), and progression to 3 would not be expected until later in the loan tenor. </w:t>
      </w:r>
    </w:p>
    <w:p w14:paraId="05F5B71D" w14:textId="77777777" w:rsidR="0052423C" w:rsidRPr="00F74444" w:rsidRDefault="0052423C" w:rsidP="0052423C">
      <w:pPr>
        <w:pStyle w:val="Default"/>
        <w:rPr>
          <w:rFonts w:cs="Open Sans"/>
          <w:bCs/>
          <w:szCs w:val="20"/>
          <w:lang w:val="en-GB"/>
        </w:rPr>
      </w:pPr>
      <w:r w:rsidRPr="00F74444">
        <w:rPr>
          <w:rFonts w:cs="Open Sans"/>
          <w:bCs/>
          <w:szCs w:val="20"/>
          <w:lang w:val="en-GB"/>
        </w:rPr>
        <w:t xml:space="preserve">The OPI1.2 assessment is the average of the two (or more) metrics. </w:t>
      </w:r>
    </w:p>
    <w:p w14:paraId="533A2F95" w14:textId="15EE132A" w:rsidR="00B278F8" w:rsidRPr="00700241" w:rsidRDefault="00B278F8" w:rsidP="00B278F8">
      <w:pPr>
        <w:pStyle w:val="Heading2"/>
      </w:pPr>
      <w:bookmarkStart w:id="9" w:name="_Toc103271283"/>
      <w:r w:rsidRPr="00700241">
        <w:t>OPI1.3 Durability</w:t>
      </w:r>
      <w:bookmarkEnd w:id="9"/>
    </w:p>
    <w:p w14:paraId="133DCEEA" w14:textId="77777777" w:rsidR="0052423C" w:rsidRPr="00700241" w:rsidRDefault="0052423C" w:rsidP="0052423C">
      <w:pPr>
        <w:pStyle w:val="Default"/>
        <w:rPr>
          <w:rFonts w:cs="Open Sans"/>
          <w:bCs/>
          <w:szCs w:val="20"/>
          <w:lang w:val="en-IE"/>
        </w:rPr>
      </w:pPr>
      <w:r w:rsidRPr="00700241">
        <w:rPr>
          <w:rFonts w:cs="Open Sans"/>
          <w:bCs/>
          <w:szCs w:val="20"/>
          <w:lang w:val="en-GB"/>
        </w:rPr>
        <w:t xml:space="preserve">This monitors how the &amp;Green TC is </w:t>
      </w:r>
      <w:r w:rsidRPr="00700241">
        <w:rPr>
          <w:rFonts w:cs="Open Sans"/>
          <w:bCs/>
          <w:szCs w:val="20"/>
          <w:lang w:val="en-IE"/>
        </w:rPr>
        <w:t xml:space="preserve">likely to continue beyond &amp;Green investment. At least 2 metrics should be defined at baselining and assessed annually. These metrics can be selected from the table above (or supporting Tier D document) or established for the sector using location or market specific information. </w:t>
      </w:r>
    </w:p>
    <w:p w14:paraId="4537AC9E" w14:textId="77777777" w:rsidR="0052423C" w:rsidRPr="00700241" w:rsidRDefault="0052423C" w:rsidP="0052423C">
      <w:pPr>
        <w:pStyle w:val="Default"/>
        <w:rPr>
          <w:rFonts w:cs="Open Sans"/>
          <w:bCs/>
          <w:szCs w:val="20"/>
          <w:lang w:val="en-IE"/>
        </w:rPr>
      </w:pPr>
      <w:r w:rsidRPr="00700241">
        <w:rPr>
          <w:rFonts w:cs="Open Sans"/>
          <w:bCs/>
          <w:szCs w:val="20"/>
          <w:lang w:val="en-IE"/>
        </w:rPr>
        <w:t xml:space="preserve">In the baseline year, the assessment would likely be 0 or 1 (on 0-3 scale), and progression to 3 would not be expected until later in the loan tenor. </w:t>
      </w:r>
    </w:p>
    <w:p w14:paraId="67C1BAAC" w14:textId="333E4ED3" w:rsidR="00AE2C17" w:rsidRPr="00700241" w:rsidRDefault="0052423C" w:rsidP="00053D7F">
      <w:pPr>
        <w:pStyle w:val="Default"/>
        <w:rPr>
          <w:rFonts w:eastAsiaTheme="minorEastAsia" w:cs="Open Sans"/>
          <w:b/>
          <w:bCs/>
          <w:color w:val="034427"/>
          <w:spacing w:val="15"/>
          <w:sz w:val="24"/>
          <w:szCs w:val="28"/>
          <w:lang w:val="en-IE"/>
        </w:rPr>
      </w:pPr>
      <w:r w:rsidRPr="00700241">
        <w:rPr>
          <w:rFonts w:cs="Open Sans"/>
          <w:bCs/>
          <w:szCs w:val="20"/>
          <w:lang w:val="en-GB"/>
        </w:rPr>
        <w:t xml:space="preserve">The OPI1.3 assessment is the average of the two (or more) metrics. </w:t>
      </w:r>
      <w:r w:rsidR="00AE2C17" w:rsidRPr="00F74444">
        <w:rPr>
          <w:rFonts w:cs="Open Sans"/>
          <w:lang w:val="en-GB"/>
        </w:rPr>
        <w:br w:type="page"/>
      </w:r>
    </w:p>
    <w:p w14:paraId="08CCD0D6" w14:textId="5A82CD40" w:rsidR="000D6C7D" w:rsidRPr="00700241" w:rsidRDefault="00030C29" w:rsidP="000A0F4A">
      <w:pPr>
        <w:pStyle w:val="GreenHeading1"/>
      </w:pPr>
      <w:bookmarkStart w:id="10" w:name="_Toc103271284"/>
      <w:r w:rsidRPr="00700241">
        <w:t xml:space="preserve">FOREST AND CLIMATE: </w:t>
      </w:r>
      <w:r w:rsidR="000D6C7D" w:rsidRPr="00700241">
        <w:t>KPI</w:t>
      </w:r>
      <w:r w:rsidR="00F67ABD" w:rsidRPr="00700241">
        <w:t xml:space="preserve"> </w:t>
      </w:r>
      <w:r w:rsidR="000D6C7D" w:rsidRPr="00700241">
        <w:t xml:space="preserve">2 </w:t>
      </w:r>
      <w:r w:rsidRPr="00700241">
        <w:t>–</w:t>
      </w:r>
      <w:r w:rsidR="000D6C7D" w:rsidRPr="00700241">
        <w:t xml:space="preserve"> </w:t>
      </w:r>
      <w:r w:rsidRPr="00700241">
        <w:t>Forest Protected</w:t>
      </w:r>
      <w:bookmarkEnd w:id="0"/>
      <w:bookmarkEnd w:id="10"/>
    </w:p>
    <w:p w14:paraId="2759B9A4" w14:textId="03EABCE3" w:rsidR="00C67A6F" w:rsidRPr="00C67A6F" w:rsidRDefault="000D6C7D" w:rsidP="00C67A6F">
      <w:pPr>
        <w:rPr>
          <w:bCs/>
          <w:lang w:val="en-IE"/>
        </w:rPr>
      </w:pPr>
      <w:r w:rsidRPr="00700241">
        <w:rPr>
          <w:rStyle w:val="Wordboldgreen"/>
          <w:lang w:val="en-AU"/>
        </w:rPr>
        <w:t>KPI2: #ha of Forest Protected</w:t>
      </w:r>
      <w:r w:rsidRPr="00700241">
        <w:rPr>
          <w:bCs/>
          <w:lang w:val="en-AU"/>
        </w:rPr>
        <w:t xml:space="preserve"> </w:t>
      </w:r>
      <w:r w:rsidR="00C67A6F" w:rsidRPr="00C67A6F">
        <w:rPr>
          <w:bCs/>
          <w:lang w:val="en-AU"/>
        </w:rPr>
        <w:t xml:space="preserve">Monitors the area of identifiable forest </w:t>
      </w:r>
      <w:r w:rsidR="00C67A6F" w:rsidRPr="00C67A6F">
        <w:rPr>
          <w:bCs/>
          <w:i/>
          <w:iCs/>
          <w:lang w:val="en-AU"/>
        </w:rPr>
        <w:t>conserved</w:t>
      </w:r>
      <w:r w:rsidR="00C67A6F" w:rsidRPr="00C67A6F">
        <w:rPr>
          <w:bCs/>
          <w:lang w:val="en-AU"/>
        </w:rPr>
        <w:t xml:space="preserve"> plus forest </w:t>
      </w:r>
      <w:r w:rsidR="00C67A6F" w:rsidRPr="00C67A6F">
        <w:rPr>
          <w:bCs/>
          <w:i/>
          <w:iCs/>
          <w:lang w:val="en-AU"/>
        </w:rPr>
        <w:t>restored,</w:t>
      </w:r>
      <w:r w:rsidR="00C67A6F" w:rsidRPr="00C67A6F">
        <w:rPr>
          <w:bCs/>
          <w:lang w:val="en-AU"/>
        </w:rPr>
        <w:t xml:space="preserve"> plus peatland conserved or rehabilitated</w:t>
      </w:r>
      <w:r w:rsidR="00C67A6F" w:rsidRPr="00C67A6F">
        <w:rPr>
          <w:bCs/>
          <w:vertAlign w:val="superscript"/>
          <w:lang w:val="en-AU"/>
        </w:rPr>
        <w:footnoteReference w:id="3"/>
      </w:r>
      <w:r w:rsidR="00C67A6F" w:rsidRPr="00C67A6F">
        <w:rPr>
          <w:bCs/>
          <w:lang w:val="en-AU"/>
        </w:rPr>
        <w:t xml:space="preserve">. ‘Forest’ uses national definitions relating to </w:t>
      </w:r>
      <w:r w:rsidR="00C67A6F" w:rsidRPr="00C67A6F">
        <w:rPr>
          <w:bCs/>
          <w:lang w:val="en-IE"/>
        </w:rPr>
        <w:t xml:space="preserve">crown cover, minimum area, land use type, and excludes plantation forests. Any reversals are deducted. </w:t>
      </w:r>
    </w:p>
    <w:p w14:paraId="428D4AE9" w14:textId="77777777" w:rsidR="001303A5" w:rsidRDefault="001303A5" w:rsidP="000D6C7D">
      <w:pPr>
        <w:rPr>
          <w:bCs/>
          <w:lang w:val="en-AU"/>
        </w:rPr>
      </w:pPr>
    </w:p>
    <w:p w14:paraId="17C35A78" w14:textId="78CBEE99" w:rsidR="000D6C7D" w:rsidRPr="00700241" w:rsidRDefault="00C67A6F" w:rsidP="000D6C7D">
      <w:pPr>
        <w:rPr>
          <w:bCs/>
        </w:rPr>
      </w:pPr>
      <w:r>
        <w:rPr>
          <w:bCs/>
          <w:lang w:val="en-AU"/>
        </w:rPr>
        <w:t xml:space="preserve">KPI2 </w:t>
      </w:r>
      <w:r w:rsidR="000D6C7D" w:rsidRPr="00700241">
        <w:rPr>
          <w:bCs/>
          <w:lang w:val="en-AU"/>
        </w:rPr>
        <w:t xml:space="preserve">is the sum of </w:t>
      </w:r>
      <w:r w:rsidR="000D6C7D" w:rsidRPr="00700241">
        <w:rPr>
          <w:bCs/>
        </w:rPr>
        <w:t>OPI2.</w:t>
      </w:r>
      <w:r w:rsidR="00C576D1" w:rsidRPr="00700241">
        <w:rPr>
          <w:bCs/>
        </w:rPr>
        <w:t>1 Forest conserved</w:t>
      </w:r>
      <w:r w:rsidR="000D6C7D" w:rsidRPr="00700241">
        <w:rPr>
          <w:bCs/>
        </w:rPr>
        <w:t xml:space="preserve"> and OPI2.2</w:t>
      </w:r>
      <w:r w:rsidR="00C576D1" w:rsidRPr="00700241">
        <w:rPr>
          <w:bCs/>
        </w:rPr>
        <w:t xml:space="preserve"> Forest restored</w:t>
      </w:r>
      <w:r w:rsidR="000D6C7D" w:rsidRPr="00700241">
        <w:rPr>
          <w:bCs/>
        </w:rPr>
        <w:t xml:space="preserve"> </w:t>
      </w:r>
      <w:proofErr w:type="gramStart"/>
      <w:r w:rsidR="000D6C7D" w:rsidRPr="00700241">
        <w:rPr>
          <w:bCs/>
        </w:rPr>
        <w:t>in a given year</w:t>
      </w:r>
      <w:proofErr w:type="gramEnd"/>
      <w:r w:rsidR="000D6C7D" w:rsidRPr="00700241">
        <w:rPr>
          <w:bCs/>
        </w:rPr>
        <w:t>. This is quantified per investment, and for the portfolio</w:t>
      </w:r>
      <w:r w:rsidR="00E64CD0" w:rsidRPr="00700241">
        <w:rPr>
          <w:bCs/>
          <w:vertAlign w:val="superscript"/>
        </w:rPr>
        <w:footnoteReference w:id="4"/>
      </w:r>
      <w:r w:rsidR="000D6C7D" w:rsidRPr="00700241">
        <w:rPr>
          <w:bCs/>
        </w:rPr>
        <w:t xml:space="preserve">. </w:t>
      </w:r>
    </w:p>
    <w:p w14:paraId="1383F34C" w14:textId="29495A48" w:rsidR="000D6C7D" w:rsidRPr="00700241" w:rsidRDefault="00B7647E" w:rsidP="000D6C7D">
      <w:pPr>
        <w:rPr>
          <w:i/>
          <w:iCs/>
        </w:rPr>
      </w:pPr>
      <w:bookmarkStart w:id="11" w:name="_Toc72336506"/>
      <w:r w:rsidRPr="00700241">
        <w:rPr>
          <w:bCs/>
          <w:lang w:val="en-AU"/>
        </w:rPr>
        <w:t>Forest Protected is not cumulative: results for year 2 do not add to year 1 results. The #ha may increase from year to year due to expansion of forest</w:t>
      </w:r>
      <w:r w:rsidR="00C15A71" w:rsidRPr="00700241">
        <w:rPr>
          <w:bCs/>
          <w:lang w:val="en-AU"/>
        </w:rPr>
        <w:t>s protected</w:t>
      </w:r>
      <w:r w:rsidRPr="00700241">
        <w:rPr>
          <w:bCs/>
          <w:lang w:val="en-AU"/>
        </w:rPr>
        <w:t>, but maintaining forest area, and reporting the same area of ‘forest protected’ each year is success: forest has been protected</w:t>
      </w:r>
      <w:r w:rsidR="001A60A5" w:rsidRPr="00700241">
        <w:rPr>
          <w:rStyle w:val="FootnoteReference"/>
          <w:bCs/>
          <w:lang w:val="en-AU"/>
        </w:rPr>
        <w:footnoteReference w:id="5"/>
      </w:r>
      <w:r w:rsidRPr="00700241">
        <w:rPr>
          <w:bCs/>
          <w:lang w:val="en-AU"/>
        </w:rPr>
        <w:t>.</w:t>
      </w:r>
      <w:r w:rsidR="009F678F" w:rsidRPr="00700241">
        <w:rPr>
          <w:bCs/>
          <w:lang w:val="en-AU"/>
        </w:rPr>
        <w:t xml:space="preserve"> </w:t>
      </w:r>
    </w:p>
    <w:p w14:paraId="04A30B9E" w14:textId="77777777" w:rsidR="00710D02" w:rsidRPr="00700241" w:rsidRDefault="00710D02" w:rsidP="000D6C7D"/>
    <w:p w14:paraId="599E72E2" w14:textId="375E8206" w:rsidR="009202D1" w:rsidRPr="00700241" w:rsidRDefault="000D6C7D" w:rsidP="00C576D1">
      <w:pPr>
        <w:pStyle w:val="Heading2simple"/>
      </w:pPr>
      <w:bookmarkStart w:id="12" w:name="_Toc103271285"/>
      <w:r w:rsidRPr="00700241">
        <w:t>OPI2.1</w:t>
      </w:r>
      <w:r w:rsidR="009202D1" w:rsidRPr="00700241">
        <w:t xml:space="preserve"> Forest Conserved</w:t>
      </w:r>
      <w:bookmarkEnd w:id="12"/>
    </w:p>
    <w:p w14:paraId="0E8C387A" w14:textId="4D8CE345" w:rsidR="000D6C7D" w:rsidRPr="00700241" w:rsidRDefault="000D6C7D" w:rsidP="009202D1">
      <w:pPr>
        <w:pStyle w:val="Body"/>
      </w:pPr>
      <w:r w:rsidRPr="00700241">
        <w:t xml:space="preserve"># </w:t>
      </w:r>
      <w:proofErr w:type="gramStart"/>
      <w:r w:rsidRPr="00700241">
        <w:t>ha</w:t>
      </w:r>
      <w:proofErr w:type="gramEnd"/>
      <w:r w:rsidRPr="00700241">
        <w:t xml:space="preserve"> forest conserved.</w:t>
      </w:r>
      <w:bookmarkEnd w:id="11"/>
      <w:r w:rsidRPr="00700241">
        <w:t xml:space="preserve"> </w:t>
      </w:r>
    </w:p>
    <w:p w14:paraId="345F5991" w14:textId="2F23CB42" w:rsidR="000D6C7D" w:rsidRPr="00700241" w:rsidRDefault="000D6C7D" w:rsidP="000D6C7D">
      <w:pPr>
        <w:numPr>
          <w:ilvl w:val="0"/>
          <w:numId w:val="18"/>
        </w:numPr>
        <w:rPr>
          <w:bCs/>
        </w:rPr>
      </w:pPr>
      <w:r w:rsidRPr="00700241">
        <w:rPr>
          <w:bCs/>
          <w:i/>
          <w:iCs/>
        </w:rPr>
        <w:t>assessment of area that meets national forest definitions of land use and crown cover</w:t>
      </w:r>
      <w:r w:rsidRPr="00700241">
        <w:rPr>
          <w:bCs/>
        </w:rPr>
        <w:t xml:space="preserve">. </w:t>
      </w:r>
    </w:p>
    <w:p w14:paraId="01ECCDA2" w14:textId="7A5D7A5C" w:rsidR="000D6C7D" w:rsidRPr="00700241" w:rsidRDefault="000D6C7D" w:rsidP="000D6C7D">
      <w:pPr>
        <w:rPr>
          <w:bCs/>
          <w:lang w:val="en-AU"/>
        </w:rPr>
      </w:pPr>
      <w:r w:rsidRPr="00700241">
        <w:rPr>
          <w:bCs/>
          <w:lang w:val="en-AU"/>
        </w:rPr>
        <w:t xml:space="preserve">Quantification is a straightforward monitoring </w:t>
      </w:r>
      <w:r w:rsidR="004045A2" w:rsidRPr="00700241">
        <w:rPr>
          <w:bCs/>
          <w:lang w:val="en-AU"/>
        </w:rPr>
        <w:t xml:space="preserve">(in #ha) </w:t>
      </w:r>
      <w:r w:rsidRPr="00700241">
        <w:rPr>
          <w:bCs/>
          <w:lang w:val="en-AU"/>
        </w:rPr>
        <w:t xml:space="preserve">of </w:t>
      </w:r>
      <w:r w:rsidR="001A55FC" w:rsidRPr="00700241">
        <w:rPr>
          <w:bCs/>
          <w:lang w:val="en-AU"/>
        </w:rPr>
        <w:t>A</w:t>
      </w:r>
      <w:r w:rsidRPr="00700241">
        <w:rPr>
          <w:bCs/>
          <w:lang w:val="en-AU"/>
        </w:rPr>
        <w:t xml:space="preserve">reas of </w:t>
      </w:r>
      <w:r w:rsidR="001A55FC" w:rsidRPr="00700241">
        <w:rPr>
          <w:bCs/>
          <w:lang w:val="en-AU"/>
        </w:rPr>
        <w:t>I</w:t>
      </w:r>
      <w:r w:rsidRPr="00700241">
        <w:rPr>
          <w:bCs/>
          <w:lang w:val="en-AU"/>
        </w:rPr>
        <w:t xml:space="preserve">nfluence that meet the relevant national forest definition. Data is extracted from investment LPPs, supplemented by satellite monitoring. </w:t>
      </w:r>
    </w:p>
    <w:p w14:paraId="74995E32" w14:textId="77777777" w:rsidR="000D6C7D" w:rsidRPr="00700241" w:rsidRDefault="000D6C7D" w:rsidP="000D6C7D">
      <w:pPr>
        <w:rPr>
          <w:bCs/>
          <w:lang w:val="en-AU"/>
        </w:rPr>
      </w:pPr>
      <w:r w:rsidRPr="00700241">
        <w:rPr>
          <w:bCs/>
          <w:lang w:val="en-AU"/>
        </w:rPr>
        <w:t>To be included under ‘forest conserved’, areas must:</w:t>
      </w:r>
    </w:p>
    <w:p w14:paraId="3ABF93A9" w14:textId="77777777" w:rsidR="000D6C7D" w:rsidRPr="00700241" w:rsidRDefault="000D6C7D" w:rsidP="000D6C7D">
      <w:pPr>
        <w:numPr>
          <w:ilvl w:val="0"/>
          <w:numId w:val="19"/>
        </w:numPr>
        <w:rPr>
          <w:bCs/>
          <w:lang w:val="en-AU"/>
        </w:rPr>
      </w:pPr>
      <w:r w:rsidRPr="00700241">
        <w:rPr>
          <w:bCs/>
          <w:lang w:val="en-AU"/>
        </w:rPr>
        <w:t xml:space="preserve">be known and traceable if they are within the control of the </w:t>
      </w:r>
      <w:proofErr w:type="gramStart"/>
      <w:r w:rsidRPr="00700241">
        <w:rPr>
          <w:bCs/>
          <w:lang w:val="en-AU"/>
        </w:rPr>
        <w:t>investment;</w:t>
      </w:r>
      <w:proofErr w:type="gramEnd"/>
    </w:p>
    <w:p w14:paraId="62908FBC" w14:textId="77777777" w:rsidR="000D6C7D" w:rsidRPr="00700241" w:rsidRDefault="000D6C7D" w:rsidP="000D6C7D">
      <w:pPr>
        <w:numPr>
          <w:ilvl w:val="0"/>
          <w:numId w:val="19"/>
        </w:numPr>
        <w:rPr>
          <w:bCs/>
          <w:lang w:val="en-AU"/>
        </w:rPr>
      </w:pPr>
      <w:r w:rsidRPr="00700241">
        <w:rPr>
          <w:bCs/>
          <w:lang w:val="en-AU"/>
        </w:rPr>
        <w:t xml:space="preserve">be clearly identifiable forest areas in the ‘proximate’/landscape </w:t>
      </w:r>
      <w:proofErr w:type="gramStart"/>
      <w:r w:rsidRPr="00700241">
        <w:rPr>
          <w:bCs/>
          <w:lang w:val="en-AU"/>
        </w:rPr>
        <w:t>area;</w:t>
      </w:r>
      <w:proofErr w:type="gramEnd"/>
    </w:p>
    <w:p w14:paraId="5EE71B3A" w14:textId="77777777" w:rsidR="000D6C7D" w:rsidRPr="00700241" w:rsidRDefault="000D6C7D" w:rsidP="000D6C7D">
      <w:pPr>
        <w:numPr>
          <w:ilvl w:val="0"/>
          <w:numId w:val="19"/>
        </w:numPr>
        <w:rPr>
          <w:bCs/>
          <w:lang w:val="en-AU"/>
        </w:rPr>
      </w:pPr>
      <w:r w:rsidRPr="00700241">
        <w:rPr>
          <w:bCs/>
          <w:lang w:val="en-AU"/>
        </w:rPr>
        <w:t>meet national definitions (particularly crown cover) of forest; and</w:t>
      </w:r>
    </w:p>
    <w:p w14:paraId="630C6A8B" w14:textId="77777777" w:rsidR="000D6C7D" w:rsidRPr="00700241" w:rsidRDefault="000D6C7D" w:rsidP="000D6C7D">
      <w:pPr>
        <w:numPr>
          <w:ilvl w:val="0"/>
          <w:numId w:val="19"/>
        </w:numPr>
        <w:rPr>
          <w:bCs/>
          <w:lang w:val="en-AU"/>
        </w:rPr>
      </w:pPr>
      <w:r w:rsidRPr="00700241">
        <w:rPr>
          <w:bCs/>
          <w:lang w:val="en-AU"/>
        </w:rPr>
        <w:t xml:space="preserve">demonstrate management control and/or effective protection. </w:t>
      </w:r>
    </w:p>
    <w:p w14:paraId="6E60349B" w14:textId="77777777" w:rsidR="000D6C7D" w:rsidRPr="00700241" w:rsidRDefault="000D6C7D" w:rsidP="000D6C7D">
      <w:pPr>
        <w:rPr>
          <w:bCs/>
          <w:lang w:val="en-AU"/>
        </w:rPr>
      </w:pPr>
      <w:r w:rsidRPr="00700241">
        <w:rPr>
          <w:bCs/>
          <w:lang w:val="en-AU"/>
        </w:rPr>
        <w:t>Where this assurance cannot be provided, areas are excluded from quantification.</w:t>
      </w:r>
    </w:p>
    <w:p w14:paraId="3EB418C9" w14:textId="2E5816D9" w:rsidR="000D6C7D" w:rsidRPr="00700241" w:rsidRDefault="000D6C7D" w:rsidP="000D6C7D">
      <w:pPr>
        <w:rPr>
          <w:bCs/>
          <w:lang w:val="en-AU"/>
        </w:rPr>
      </w:pPr>
      <w:r w:rsidRPr="00700241">
        <w:rPr>
          <w:bCs/>
          <w:lang w:val="en-AU"/>
        </w:rPr>
        <w:t xml:space="preserve">Reversals resulting from natural disturbance (such as </w:t>
      </w:r>
      <w:proofErr w:type="gramStart"/>
      <w:r w:rsidRPr="00700241">
        <w:rPr>
          <w:bCs/>
          <w:lang w:val="en-AU"/>
        </w:rPr>
        <w:t>wind storms</w:t>
      </w:r>
      <w:proofErr w:type="gramEnd"/>
      <w:r w:rsidRPr="00700241">
        <w:rPr>
          <w:bCs/>
          <w:lang w:val="en-AU"/>
        </w:rPr>
        <w:t xml:space="preserve">) or human interventions (such as fire or logging) are subtracted from the reported number of hectares. </w:t>
      </w:r>
    </w:p>
    <w:p w14:paraId="70B37C61" w14:textId="77777777" w:rsidR="000D6C7D" w:rsidRPr="00700241" w:rsidRDefault="000D6C7D" w:rsidP="000D6C7D">
      <w:pPr>
        <w:rPr>
          <w:bCs/>
          <w:lang w:val="en-AU"/>
        </w:rPr>
      </w:pPr>
    </w:p>
    <w:p w14:paraId="52EBB59E" w14:textId="0A714B32" w:rsidR="00C576D1" w:rsidRPr="00700241" w:rsidRDefault="000D6C7D" w:rsidP="00C576D1">
      <w:pPr>
        <w:pStyle w:val="Heading2simple"/>
      </w:pPr>
      <w:bookmarkStart w:id="13" w:name="_Toc103271286"/>
      <w:bookmarkStart w:id="14" w:name="_Toc72336507"/>
      <w:r w:rsidRPr="00700241">
        <w:t>OPI2.2</w:t>
      </w:r>
      <w:r w:rsidR="00C576D1" w:rsidRPr="00700241">
        <w:t xml:space="preserve"> Forest Restored</w:t>
      </w:r>
      <w:bookmarkEnd w:id="13"/>
    </w:p>
    <w:p w14:paraId="30B79105" w14:textId="116AC4AC" w:rsidR="000D6C7D" w:rsidRPr="00700241" w:rsidRDefault="000D6C7D" w:rsidP="000D6C7D">
      <w:pPr>
        <w:rPr>
          <w:bCs/>
        </w:rPr>
      </w:pPr>
      <w:r w:rsidRPr="00700241">
        <w:rPr>
          <w:bCs/>
        </w:rPr>
        <w:t xml:space="preserve"># </w:t>
      </w:r>
      <w:proofErr w:type="gramStart"/>
      <w:r w:rsidRPr="00700241">
        <w:rPr>
          <w:bCs/>
        </w:rPr>
        <w:t>ha</w:t>
      </w:r>
      <w:proofErr w:type="gramEnd"/>
      <w:r w:rsidRPr="00700241">
        <w:rPr>
          <w:bCs/>
        </w:rPr>
        <w:t xml:space="preserve"> forest restored </w:t>
      </w:r>
      <w:bookmarkEnd w:id="14"/>
    </w:p>
    <w:p w14:paraId="0D43495B" w14:textId="2E036344" w:rsidR="000D6C7D" w:rsidRPr="00700241" w:rsidRDefault="0079477A" w:rsidP="000D6C7D">
      <w:pPr>
        <w:numPr>
          <w:ilvl w:val="0"/>
          <w:numId w:val="18"/>
        </w:numPr>
        <w:rPr>
          <w:bCs/>
        </w:rPr>
      </w:pPr>
      <w:r w:rsidRPr="00700241">
        <w:rPr>
          <w:bCs/>
          <w:i/>
          <w:iCs/>
        </w:rPr>
        <w:t>assessment of area under restoration management where crown cover is being increased with the intention to meet national forest definition over time</w:t>
      </w:r>
      <w:r w:rsidR="000D6C7D" w:rsidRPr="00700241">
        <w:rPr>
          <w:bCs/>
          <w:i/>
          <w:iCs/>
        </w:rPr>
        <w:t>.</w:t>
      </w:r>
      <w:r w:rsidR="000D6C7D" w:rsidRPr="00700241">
        <w:rPr>
          <w:bCs/>
        </w:rPr>
        <w:t xml:space="preserve"> </w:t>
      </w:r>
    </w:p>
    <w:p w14:paraId="1729A099" w14:textId="77777777" w:rsidR="000D68A5" w:rsidRPr="00700241" w:rsidRDefault="000D68A5" w:rsidP="000D68A5">
      <w:pPr>
        <w:rPr>
          <w:bCs/>
          <w:lang w:val="en-AU"/>
        </w:rPr>
      </w:pPr>
      <w:r w:rsidRPr="00700241">
        <w:rPr>
          <w:bCs/>
          <w:lang w:val="en-AU"/>
        </w:rPr>
        <w:t>This OPI includes:</w:t>
      </w:r>
    </w:p>
    <w:p w14:paraId="3302C5EE" w14:textId="43DFB2B1" w:rsidR="000D68A5" w:rsidRPr="00700241" w:rsidRDefault="000D68A5" w:rsidP="000D68A5">
      <w:pPr>
        <w:numPr>
          <w:ilvl w:val="0"/>
          <w:numId w:val="34"/>
        </w:numPr>
        <w:rPr>
          <w:bCs/>
          <w:lang w:val="en-AU"/>
        </w:rPr>
      </w:pPr>
      <w:r w:rsidRPr="00700241">
        <w:rPr>
          <w:bCs/>
          <w:lang w:val="en-AU"/>
        </w:rPr>
        <w:t xml:space="preserve">land that is </w:t>
      </w:r>
      <w:r w:rsidRPr="00700241">
        <w:rPr>
          <w:bCs/>
          <w:i/>
          <w:iCs/>
          <w:lang w:val="en-AU"/>
        </w:rPr>
        <w:t>being</w:t>
      </w:r>
      <w:r w:rsidRPr="00700241">
        <w:rPr>
          <w:bCs/>
          <w:lang w:val="en-AU"/>
        </w:rPr>
        <w:t xml:space="preserve"> restored but has not yet met the forest definition; and </w:t>
      </w:r>
    </w:p>
    <w:p w14:paraId="0C7005B8" w14:textId="2138831D" w:rsidR="000D68A5" w:rsidRPr="00700241" w:rsidRDefault="000D68A5" w:rsidP="000D68A5">
      <w:pPr>
        <w:numPr>
          <w:ilvl w:val="0"/>
          <w:numId w:val="34"/>
        </w:numPr>
        <w:rPr>
          <w:bCs/>
          <w:lang w:val="en-AU"/>
        </w:rPr>
      </w:pPr>
      <w:r w:rsidRPr="00700241">
        <w:rPr>
          <w:bCs/>
          <w:lang w:val="en-AU"/>
        </w:rPr>
        <w:t xml:space="preserve">land that </w:t>
      </w:r>
      <w:r w:rsidRPr="00700241">
        <w:rPr>
          <w:bCs/>
          <w:i/>
          <w:iCs/>
          <w:lang w:val="en-AU"/>
        </w:rPr>
        <w:t>has been</w:t>
      </w:r>
      <w:r w:rsidRPr="00700241">
        <w:rPr>
          <w:bCs/>
          <w:lang w:val="en-AU"/>
        </w:rPr>
        <w:t xml:space="preserve"> restored to meet the forest </w:t>
      </w:r>
      <w:proofErr w:type="gramStart"/>
      <w:r w:rsidRPr="00700241">
        <w:rPr>
          <w:bCs/>
          <w:lang w:val="en-AU"/>
        </w:rPr>
        <w:t>definition, and</w:t>
      </w:r>
      <w:proofErr w:type="gramEnd"/>
      <w:r w:rsidRPr="00700241">
        <w:rPr>
          <w:bCs/>
          <w:lang w:val="en-AU"/>
        </w:rPr>
        <w:t xml:space="preserve"> continues to be regenerated toward a ‘natural forest’ state. </w:t>
      </w:r>
    </w:p>
    <w:p w14:paraId="4098178B" w14:textId="03FF918D" w:rsidR="000D68A5" w:rsidRPr="00700241" w:rsidRDefault="000D68A5" w:rsidP="000D68A5">
      <w:pPr>
        <w:rPr>
          <w:bCs/>
          <w:lang w:val="en-AU"/>
        </w:rPr>
      </w:pPr>
      <w:r w:rsidRPr="00700241">
        <w:rPr>
          <w:bCs/>
          <w:lang w:val="en-AU"/>
        </w:rPr>
        <w:t xml:space="preserve">Quantification is by monitoring Areas of Influence that are managed to regenerate (actively through plantings or through natural regeneration) toward being ‘forest restored’. That is, regrowing trees and other biomass toward the end goal of ‘forest’. </w:t>
      </w:r>
    </w:p>
    <w:p w14:paraId="2177A3EE" w14:textId="77B57B8D" w:rsidR="000D68A5" w:rsidRPr="00700241" w:rsidRDefault="000D68A5" w:rsidP="000D68A5">
      <w:pPr>
        <w:rPr>
          <w:bCs/>
          <w:lang w:val="en-AU"/>
        </w:rPr>
      </w:pPr>
      <w:r w:rsidRPr="00700241">
        <w:rPr>
          <w:bCs/>
          <w:lang w:val="en-AU"/>
        </w:rPr>
        <w:t xml:space="preserve">Data is extracted from investment LPPs and annual </w:t>
      </w:r>
      <w:proofErr w:type="gramStart"/>
      <w:r w:rsidRPr="00700241">
        <w:rPr>
          <w:bCs/>
          <w:lang w:val="en-AU"/>
        </w:rPr>
        <w:t>reports, and</w:t>
      </w:r>
      <w:proofErr w:type="gramEnd"/>
      <w:r w:rsidRPr="00700241">
        <w:rPr>
          <w:bCs/>
          <w:lang w:val="en-AU"/>
        </w:rPr>
        <w:t xml:space="preserve"> may be supplemented by satellite monitoring where technically feasible. The number of hectares reported under O</w:t>
      </w:r>
      <w:r w:rsidRPr="00700241">
        <w:rPr>
          <w:bCs/>
        </w:rPr>
        <w:t>PI2.2 will be much smaller than OPI2.1</w:t>
      </w:r>
      <w:r w:rsidR="007C68B3" w:rsidRPr="00700241">
        <w:rPr>
          <w:bCs/>
        </w:rPr>
        <w:t xml:space="preserve"> </w:t>
      </w:r>
      <w:r w:rsidRPr="00700241">
        <w:rPr>
          <w:bCs/>
        </w:rPr>
        <w:t>at the &amp;Green portfolio level.</w:t>
      </w:r>
    </w:p>
    <w:p w14:paraId="7950DA6A" w14:textId="50735402" w:rsidR="00BA0B6A" w:rsidRPr="00700241" w:rsidRDefault="00BA0B6A" w:rsidP="00BA0B6A">
      <w:pPr>
        <w:rPr>
          <w:bCs/>
        </w:rPr>
      </w:pPr>
      <w:r w:rsidRPr="00700241">
        <w:rPr>
          <w:bCs/>
          <w:lang w:val="en-AU"/>
        </w:rPr>
        <w:t>Reversals are different for O</w:t>
      </w:r>
      <w:r w:rsidRPr="00700241">
        <w:rPr>
          <w:bCs/>
        </w:rPr>
        <w:t xml:space="preserve">PI2.2 compared to OPI2.1. Where a </w:t>
      </w:r>
      <w:r w:rsidRPr="00700241">
        <w:rPr>
          <w:bCs/>
          <w:lang w:val="en-AU"/>
        </w:rPr>
        <w:t>natural disturbance or human intervention removes or reduces biomass and/or crown cover, the area is further from the end goal of ‘forest’, nonetheless it is still in the process of restoration. The number of hectares included under O</w:t>
      </w:r>
      <w:r w:rsidRPr="00700241">
        <w:rPr>
          <w:bCs/>
        </w:rPr>
        <w:t xml:space="preserve">PI2.2 will thus remain the same after a reversal.  Reversals are only subtracted from </w:t>
      </w:r>
      <w:r w:rsidRPr="00700241">
        <w:rPr>
          <w:bCs/>
          <w:lang w:val="en-AU"/>
        </w:rPr>
        <w:t>O</w:t>
      </w:r>
      <w:r w:rsidRPr="00700241">
        <w:rPr>
          <w:bCs/>
        </w:rPr>
        <w:t xml:space="preserve">PI2.2 if the reversal is permanent, for example, a forest restoration area is converted to agriculture. </w:t>
      </w:r>
    </w:p>
    <w:p w14:paraId="55B93AA0" w14:textId="7881F7E3" w:rsidR="00BA0B6A" w:rsidRPr="00700241" w:rsidRDefault="002460ED" w:rsidP="00BA0B6A">
      <w:pPr>
        <w:rPr>
          <w:bCs/>
          <w:lang w:val="en-AU"/>
        </w:rPr>
      </w:pPr>
      <w:r w:rsidRPr="00700241">
        <w:rPr>
          <w:bCs/>
        </w:rPr>
        <w:t xml:space="preserve">Nonetheless, </w:t>
      </w:r>
      <w:r w:rsidR="00056247" w:rsidRPr="00700241">
        <w:rPr>
          <w:bCs/>
        </w:rPr>
        <w:t xml:space="preserve">reversals </w:t>
      </w:r>
      <w:r w:rsidR="00077D5D" w:rsidRPr="00700241">
        <w:rPr>
          <w:bCs/>
        </w:rPr>
        <w:t>are an important input for calculating carbon sequestration and emissions</w:t>
      </w:r>
      <w:r w:rsidR="002C5EFF" w:rsidRPr="00700241">
        <w:rPr>
          <w:bCs/>
        </w:rPr>
        <w:t xml:space="preserve">, and they must therefore be </w:t>
      </w:r>
      <w:r w:rsidR="00BA0B6A" w:rsidRPr="00700241">
        <w:rPr>
          <w:bCs/>
        </w:rPr>
        <w:t xml:space="preserve">clearly and transparently reported. The area of reversal (in ha) shall be recorded in </w:t>
      </w:r>
      <w:r w:rsidR="006E3717" w:rsidRPr="00700241">
        <w:rPr>
          <w:bCs/>
        </w:rPr>
        <w:t xml:space="preserve">&amp;Green’s </w:t>
      </w:r>
      <w:r w:rsidR="00BA0B6A" w:rsidRPr="00700241">
        <w:rPr>
          <w:bCs/>
        </w:rPr>
        <w:t>data capture system</w:t>
      </w:r>
      <w:r w:rsidR="00BA0209" w:rsidRPr="00700241">
        <w:rPr>
          <w:bCs/>
        </w:rPr>
        <w:t>.</w:t>
      </w:r>
      <w:r w:rsidR="00BA0B6A" w:rsidRPr="00700241">
        <w:rPr>
          <w:bCs/>
        </w:rPr>
        <w:t xml:space="preserve"> </w:t>
      </w:r>
    </w:p>
    <w:p w14:paraId="7D731437" w14:textId="77777777" w:rsidR="000D68A5" w:rsidRPr="00700241" w:rsidRDefault="000D68A5" w:rsidP="000D68A5">
      <w:pPr>
        <w:rPr>
          <w:bCs/>
          <w:lang w:val="en-AU"/>
        </w:rPr>
      </w:pPr>
    </w:p>
    <w:p w14:paraId="4352E2C3" w14:textId="2BCCBDA5" w:rsidR="000D6C7D" w:rsidRPr="00700241" w:rsidRDefault="000D6C7D" w:rsidP="000D6C7D">
      <w:pPr>
        <w:rPr>
          <w:u w:val="single"/>
          <w:lang w:val="en-AU"/>
        </w:rPr>
      </w:pPr>
      <w:r w:rsidRPr="00700241">
        <w:rPr>
          <w:u w:val="single"/>
          <w:lang w:val="en-AU"/>
        </w:rPr>
        <w:t>Illustration of key concepts:</w:t>
      </w:r>
    </w:p>
    <w:p w14:paraId="5DD2299B" w14:textId="2026F580" w:rsidR="000D6C7D" w:rsidRPr="00700241" w:rsidRDefault="000D6C7D" w:rsidP="000D6C7D">
      <w:pPr>
        <w:rPr>
          <w:lang w:val="en-AU"/>
        </w:rPr>
      </w:pPr>
      <w:r w:rsidRPr="00700241">
        <w:rPr>
          <w:lang w:val="en-AU"/>
        </w:rPr>
        <w:t>A ha is either ‘forest’ or ‘not forest’ based on national definitions and regulations, with % crown cover as the primary determinant</w:t>
      </w:r>
      <w:r w:rsidRPr="00700241">
        <w:rPr>
          <w:vertAlign w:val="superscript"/>
          <w:lang w:val="en-AU"/>
        </w:rPr>
        <w:footnoteReference w:id="6"/>
      </w:r>
      <w:r w:rsidR="003321EE" w:rsidRPr="00700241">
        <w:rPr>
          <w:lang w:val="en-AU"/>
        </w:rPr>
        <w:t xml:space="preserve"> (see </w:t>
      </w:r>
      <w:r w:rsidR="009E2392" w:rsidRPr="00700241">
        <w:rPr>
          <w:lang w:val="en-AU"/>
        </w:rPr>
        <w:fldChar w:fldCharType="begin"/>
      </w:r>
      <w:r w:rsidR="009E2392" w:rsidRPr="00700241">
        <w:rPr>
          <w:lang w:val="en-AU"/>
        </w:rPr>
        <w:instrText xml:space="preserve"> REF _Ref102572106 \h </w:instrText>
      </w:r>
      <w:r w:rsidR="00700241">
        <w:rPr>
          <w:lang w:val="en-AU"/>
        </w:rPr>
        <w:instrText xml:space="preserve"> \* MERGEFORMAT </w:instrText>
      </w:r>
      <w:r w:rsidR="009E2392" w:rsidRPr="00700241">
        <w:rPr>
          <w:lang w:val="en-AU"/>
        </w:rPr>
      </w:r>
      <w:r w:rsidR="009E2392" w:rsidRPr="00700241">
        <w:rPr>
          <w:lang w:val="en-AU"/>
        </w:rPr>
        <w:fldChar w:fldCharType="separate"/>
      </w:r>
      <w:r w:rsidR="009E2392" w:rsidRPr="00700241">
        <w:t xml:space="preserve">Figure </w:t>
      </w:r>
      <w:r w:rsidR="009E2392" w:rsidRPr="00700241">
        <w:rPr>
          <w:noProof/>
        </w:rPr>
        <w:t>2</w:t>
      </w:r>
      <w:r w:rsidR="009E2392" w:rsidRPr="00700241">
        <w:rPr>
          <w:lang w:val="en-AU"/>
        </w:rPr>
        <w:fldChar w:fldCharType="end"/>
      </w:r>
      <w:r w:rsidR="009E2392" w:rsidRPr="00700241">
        <w:rPr>
          <w:lang w:val="en-AU"/>
        </w:rPr>
        <w:t>)</w:t>
      </w:r>
      <w:r w:rsidRPr="00700241">
        <w:rPr>
          <w:lang w:val="en-AU"/>
        </w:rPr>
        <w:t>. Plantation forests are excluded from &amp;</w:t>
      </w:r>
      <w:proofErr w:type="gramStart"/>
      <w:r w:rsidRPr="00700241">
        <w:rPr>
          <w:lang w:val="en-AU"/>
        </w:rPr>
        <w:t>Green forest</w:t>
      </w:r>
      <w:proofErr w:type="gramEnd"/>
      <w:r w:rsidRPr="00700241">
        <w:rPr>
          <w:lang w:val="en-AU"/>
        </w:rPr>
        <w:t xml:space="preserve"> definitions. </w:t>
      </w:r>
      <w:r w:rsidR="007377A9" w:rsidRPr="00700241">
        <w:rPr>
          <w:lang w:val="en-AU"/>
        </w:rPr>
        <w:t xml:space="preserve">The Areas of Influence, Level of Assurance and attribution of actions are illustrated </w:t>
      </w:r>
      <w:r w:rsidR="009E2392" w:rsidRPr="00700241">
        <w:rPr>
          <w:lang w:val="en-AU"/>
        </w:rPr>
        <w:t>in</w:t>
      </w:r>
      <w:r w:rsidR="00591A75" w:rsidRPr="00700241">
        <w:rPr>
          <w:lang w:val="en-AU"/>
        </w:rPr>
        <w:t xml:space="preserve"> </w:t>
      </w:r>
      <w:r w:rsidR="00591A75" w:rsidRPr="00700241">
        <w:rPr>
          <w:lang w:val="en-AU"/>
        </w:rPr>
        <w:fldChar w:fldCharType="begin"/>
      </w:r>
      <w:r w:rsidR="00591A75" w:rsidRPr="00700241">
        <w:rPr>
          <w:lang w:val="en-AU"/>
        </w:rPr>
        <w:instrText xml:space="preserve"> REF _Ref102572272 \h </w:instrText>
      </w:r>
      <w:r w:rsidR="00700241">
        <w:rPr>
          <w:lang w:val="en-AU"/>
        </w:rPr>
        <w:instrText xml:space="preserve"> \* MERGEFORMAT </w:instrText>
      </w:r>
      <w:r w:rsidR="00591A75" w:rsidRPr="00700241">
        <w:rPr>
          <w:lang w:val="en-AU"/>
        </w:rPr>
      </w:r>
      <w:r w:rsidR="00591A75" w:rsidRPr="00700241">
        <w:rPr>
          <w:lang w:val="en-AU"/>
        </w:rPr>
        <w:fldChar w:fldCharType="separate"/>
      </w:r>
      <w:r w:rsidR="00591A75" w:rsidRPr="00700241">
        <w:t xml:space="preserve">Figure </w:t>
      </w:r>
      <w:r w:rsidR="00591A75" w:rsidRPr="00700241">
        <w:rPr>
          <w:noProof/>
        </w:rPr>
        <w:t>3</w:t>
      </w:r>
      <w:r w:rsidR="00591A75" w:rsidRPr="00700241">
        <w:rPr>
          <w:lang w:val="en-AU"/>
        </w:rPr>
        <w:fldChar w:fldCharType="end"/>
      </w:r>
      <w:r w:rsidR="00591A75" w:rsidRPr="00700241">
        <w:rPr>
          <w:lang w:val="en-AU"/>
        </w:rPr>
        <w:t>.</w:t>
      </w:r>
    </w:p>
    <w:p w14:paraId="7188C4F6" w14:textId="3BCE8403" w:rsidR="00D23DC5" w:rsidRPr="00700241" w:rsidRDefault="008C3E21" w:rsidP="00D23DC5">
      <w:pPr>
        <w:keepNext/>
      </w:pPr>
      <w:r w:rsidRPr="00700241">
        <w:rPr>
          <w:b/>
          <w:bCs/>
          <w:noProof/>
          <w:lang w:val="en-AU"/>
        </w:rPr>
        <w:drawing>
          <wp:inline distT="0" distB="0" distL="0" distR="0" wp14:anchorId="5D00D666" wp14:editId="6BAEABD6">
            <wp:extent cx="5335929" cy="2265081"/>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68922" cy="2279086"/>
                    </a:xfrm>
                    <a:prstGeom prst="rect">
                      <a:avLst/>
                    </a:prstGeom>
                    <a:noFill/>
                  </pic:spPr>
                </pic:pic>
              </a:graphicData>
            </a:graphic>
          </wp:inline>
        </w:drawing>
      </w:r>
    </w:p>
    <w:p w14:paraId="6293062F" w14:textId="45095455" w:rsidR="000D6C7D" w:rsidRPr="00700241" w:rsidRDefault="00D23DC5" w:rsidP="00D23DC5">
      <w:pPr>
        <w:pStyle w:val="Caption"/>
        <w:rPr>
          <w:b/>
          <w:bCs/>
          <w:lang w:val="en-AU"/>
        </w:rPr>
      </w:pPr>
      <w:bookmarkStart w:id="15" w:name="_Ref102572106"/>
      <w:r w:rsidRPr="00700241">
        <w:t xml:space="preserve">Figure </w:t>
      </w:r>
      <w:fldSimple w:instr=" SEQ Figure \* ARABIC ">
        <w:r w:rsidR="00F44BEE" w:rsidRPr="00700241">
          <w:rPr>
            <w:noProof/>
          </w:rPr>
          <w:t>2</w:t>
        </w:r>
      </w:fldSimple>
      <w:bookmarkEnd w:id="15"/>
      <w:r w:rsidRPr="00700241">
        <w:t>: Illustration of OPI2.1 and 2.2 in relation to forest definitions</w:t>
      </w:r>
    </w:p>
    <w:p w14:paraId="4D4865B1" w14:textId="77777777" w:rsidR="00F44BEE" w:rsidRPr="00700241" w:rsidRDefault="00F44BEE" w:rsidP="000D6C7D">
      <w:pPr>
        <w:rPr>
          <w:lang w:val="en-AU"/>
        </w:rPr>
      </w:pPr>
    </w:p>
    <w:p w14:paraId="2ACD8150" w14:textId="77777777" w:rsidR="00F44BEE" w:rsidRPr="00700241" w:rsidRDefault="00AF5317" w:rsidP="00F44BEE">
      <w:pPr>
        <w:keepNext/>
      </w:pPr>
      <w:r w:rsidRPr="00700241">
        <w:rPr>
          <w:noProof/>
        </w:rPr>
        <w:drawing>
          <wp:inline distT="0" distB="0" distL="0" distR="0" wp14:anchorId="2E3E9EA7" wp14:editId="76CD8582">
            <wp:extent cx="5641769" cy="2870521"/>
            <wp:effectExtent l="0" t="0" r="0" b="0"/>
            <wp:docPr id="6" name="Picture 6" descr="Chart, rad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hart, radar chart&#10;&#10;Description automatically generated"/>
                    <pic:cNvPicPr>
                      <a:picLocks noChangeAspect="1" noChangeArrowheads="1"/>
                    </pic:cNvPicPr>
                  </pic:nvPicPr>
                  <pic:blipFill>
                    <a:blip r:embed="rId13" r:link="rId14" cstate="print">
                      <a:extLst>
                        <a:ext uri="{28A0092B-C50C-407E-A947-70E740481C1C}">
                          <a14:useLocalDpi xmlns:a14="http://schemas.microsoft.com/office/drawing/2010/main" val="0"/>
                        </a:ext>
                      </a:extLst>
                    </a:blip>
                    <a:srcRect/>
                    <a:stretch>
                      <a:fillRect/>
                    </a:stretch>
                  </pic:blipFill>
                  <pic:spPr bwMode="auto">
                    <a:xfrm>
                      <a:off x="0" y="0"/>
                      <a:ext cx="5645832" cy="2872588"/>
                    </a:xfrm>
                    <a:prstGeom prst="rect">
                      <a:avLst/>
                    </a:prstGeom>
                    <a:noFill/>
                    <a:ln>
                      <a:noFill/>
                    </a:ln>
                  </pic:spPr>
                </pic:pic>
              </a:graphicData>
            </a:graphic>
          </wp:inline>
        </w:drawing>
      </w:r>
    </w:p>
    <w:p w14:paraId="28E6A00C" w14:textId="2ABF8619" w:rsidR="00F44BEE" w:rsidRPr="00700241" w:rsidRDefault="00F44BEE" w:rsidP="00F44BEE">
      <w:pPr>
        <w:pStyle w:val="Caption"/>
      </w:pPr>
      <w:bookmarkStart w:id="16" w:name="_Ref102572272"/>
      <w:r w:rsidRPr="00700241">
        <w:t xml:space="preserve">Figure </w:t>
      </w:r>
      <w:fldSimple w:instr=" SEQ Figure \* ARABIC ">
        <w:r w:rsidRPr="00700241">
          <w:rPr>
            <w:noProof/>
          </w:rPr>
          <w:t>3</w:t>
        </w:r>
      </w:fldSimple>
      <w:bookmarkEnd w:id="16"/>
      <w:r w:rsidRPr="00700241">
        <w:t>: Illustration of &amp;Green Areas of Influence, Level of Assurance and Attribution</w:t>
      </w:r>
    </w:p>
    <w:p w14:paraId="39A19DAE" w14:textId="62BDEA2C" w:rsidR="00633FDC" w:rsidRPr="00700241" w:rsidRDefault="00633FDC" w:rsidP="00803D72">
      <w:pPr>
        <w:rPr>
          <w:lang w:val="en-AU"/>
        </w:rPr>
      </w:pPr>
      <w:r w:rsidRPr="00700241">
        <w:br w:type="page"/>
      </w:r>
    </w:p>
    <w:p w14:paraId="1777B7B5" w14:textId="7F305DD9" w:rsidR="000D6C7D" w:rsidRPr="00700241" w:rsidRDefault="00CD700D" w:rsidP="000A0F4A">
      <w:pPr>
        <w:pStyle w:val="GreenHeading1"/>
      </w:pPr>
      <w:bookmarkStart w:id="17" w:name="_Toc103271287"/>
      <w:r w:rsidRPr="00700241">
        <w:t xml:space="preserve">FOREST AND CLIMATE: </w:t>
      </w:r>
      <w:r w:rsidR="000D6C7D" w:rsidRPr="00700241">
        <w:t>KPI</w:t>
      </w:r>
      <w:r w:rsidR="009202D1" w:rsidRPr="00700241">
        <w:t xml:space="preserve"> 3 - </w:t>
      </w:r>
      <w:r w:rsidR="00ED324A" w:rsidRPr="00700241">
        <w:t>CLIMATE BENEFITS</w:t>
      </w:r>
      <w:bookmarkEnd w:id="17"/>
    </w:p>
    <w:p w14:paraId="23C688EF" w14:textId="3AC14AB4" w:rsidR="000C4DC5" w:rsidRPr="00841209" w:rsidRDefault="00882311" w:rsidP="000C4DC5">
      <w:pPr>
        <w:rPr>
          <w:lang w:val="en-AU"/>
        </w:rPr>
      </w:pPr>
      <w:r w:rsidRPr="00D3250D">
        <w:rPr>
          <w:rStyle w:val="Wordboldgreen"/>
          <w:bCs/>
        </w:rPr>
        <w:t>KPI3: #tCO</w:t>
      </w:r>
      <w:r w:rsidRPr="00E90197">
        <w:rPr>
          <w:rStyle w:val="Wordboldgreen"/>
          <w:bCs/>
          <w:vertAlign w:val="subscript"/>
        </w:rPr>
        <w:t>2</w:t>
      </w:r>
      <w:r w:rsidRPr="00D3250D">
        <w:rPr>
          <w:rStyle w:val="Wordboldgreen"/>
          <w:bCs/>
        </w:rPr>
        <w:t xml:space="preserve">e of </w:t>
      </w:r>
      <w:r w:rsidR="00352186" w:rsidRPr="00D3250D">
        <w:rPr>
          <w:rStyle w:val="Wordboldgreen"/>
          <w:bCs/>
        </w:rPr>
        <w:t>Climate Benefits</w:t>
      </w:r>
      <w:r w:rsidR="00352186" w:rsidRPr="00700241">
        <w:rPr>
          <w:b/>
          <w:bCs/>
          <w:lang w:val="en-AU"/>
        </w:rPr>
        <w:t xml:space="preserve"> </w:t>
      </w:r>
      <w:r w:rsidR="00841209" w:rsidRPr="00841209">
        <w:rPr>
          <w:lang w:val="en-AU"/>
        </w:rPr>
        <w:t>m</w:t>
      </w:r>
      <w:r w:rsidR="000C4DC5" w:rsidRPr="00841209">
        <w:rPr>
          <w:lang w:val="en-AU"/>
        </w:rPr>
        <w:t>onitors the mitigation benefits in tonnes of Carbon Dioxide equivalent (tCO</w:t>
      </w:r>
      <w:r w:rsidR="000C4DC5" w:rsidRPr="00841209">
        <w:rPr>
          <w:vertAlign w:val="subscript"/>
          <w:lang w:val="en-AU"/>
        </w:rPr>
        <w:t>2</w:t>
      </w:r>
      <w:r w:rsidR="000C4DC5" w:rsidRPr="00841209">
        <w:rPr>
          <w:lang w:val="en-AU"/>
        </w:rPr>
        <w:t xml:space="preserve">e) from emissions </w:t>
      </w:r>
      <w:r w:rsidR="000C4DC5" w:rsidRPr="00841209">
        <w:rPr>
          <w:i/>
          <w:iCs/>
          <w:lang w:val="en-AU"/>
        </w:rPr>
        <w:t>reductions</w:t>
      </w:r>
      <w:r w:rsidR="000C4DC5" w:rsidRPr="00841209">
        <w:rPr>
          <w:lang w:val="en-AU"/>
        </w:rPr>
        <w:t xml:space="preserve"> plus emissions </w:t>
      </w:r>
      <w:r w:rsidR="000C4DC5" w:rsidRPr="00841209">
        <w:rPr>
          <w:i/>
          <w:iCs/>
          <w:lang w:val="en-AU"/>
        </w:rPr>
        <w:t>sequestration</w:t>
      </w:r>
      <w:r w:rsidR="000C4DC5" w:rsidRPr="00841209">
        <w:rPr>
          <w:lang w:val="en-AU"/>
        </w:rPr>
        <w:t xml:space="preserve">. Emissions reductions are generated from </w:t>
      </w:r>
      <w:r w:rsidR="000C4DC5" w:rsidRPr="00841209">
        <w:rPr>
          <w:lang w:val="en-IE"/>
        </w:rPr>
        <w:t xml:space="preserve">changes in farm management practices. Emissions sequestration results from regrowth and densification in degraded forests that are conserved, and from tree growth and establishment in forest restoration areas. Any reversals (and hence emissions) are deducted. </w:t>
      </w:r>
    </w:p>
    <w:p w14:paraId="08FE91B4" w14:textId="493387CA" w:rsidR="00882311" w:rsidRPr="00700241" w:rsidRDefault="00841209" w:rsidP="00882311">
      <w:pPr>
        <w:rPr>
          <w:bCs/>
        </w:rPr>
      </w:pPr>
      <w:r>
        <w:rPr>
          <w:bCs/>
          <w:lang w:val="en-AU"/>
        </w:rPr>
        <w:t xml:space="preserve">KPI3 </w:t>
      </w:r>
      <w:r w:rsidR="00882311" w:rsidRPr="00700241">
        <w:rPr>
          <w:bCs/>
          <w:lang w:val="en-AU"/>
        </w:rPr>
        <w:t xml:space="preserve">is the sum of </w:t>
      </w:r>
      <w:r w:rsidR="00882311" w:rsidRPr="00700241">
        <w:rPr>
          <w:bCs/>
        </w:rPr>
        <w:t>OPI</w:t>
      </w:r>
      <w:r w:rsidR="000039CC" w:rsidRPr="00700241">
        <w:rPr>
          <w:bCs/>
        </w:rPr>
        <w:t>3</w:t>
      </w:r>
      <w:r w:rsidR="00882311" w:rsidRPr="00700241">
        <w:rPr>
          <w:bCs/>
        </w:rPr>
        <w:t xml:space="preserve">.1 </w:t>
      </w:r>
      <w:r w:rsidR="000039CC" w:rsidRPr="00700241">
        <w:rPr>
          <w:bCs/>
        </w:rPr>
        <w:t xml:space="preserve">emissions reductions </w:t>
      </w:r>
      <w:r w:rsidR="00882311" w:rsidRPr="00700241">
        <w:rPr>
          <w:bCs/>
        </w:rPr>
        <w:t>and OPI</w:t>
      </w:r>
      <w:r w:rsidR="000039CC" w:rsidRPr="00700241">
        <w:rPr>
          <w:bCs/>
        </w:rPr>
        <w:t>3</w:t>
      </w:r>
      <w:r w:rsidR="00882311" w:rsidRPr="00700241">
        <w:rPr>
          <w:bCs/>
        </w:rPr>
        <w:t xml:space="preserve">.2 </w:t>
      </w:r>
      <w:r w:rsidR="000039CC" w:rsidRPr="00700241">
        <w:rPr>
          <w:bCs/>
        </w:rPr>
        <w:t xml:space="preserve">Emissions sequestration </w:t>
      </w:r>
      <w:proofErr w:type="gramStart"/>
      <w:r w:rsidR="00882311" w:rsidRPr="00700241">
        <w:rPr>
          <w:bCs/>
        </w:rPr>
        <w:t>in a given year</w:t>
      </w:r>
      <w:proofErr w:type="gramEnd"/>
      <w:r w:rsidR="00882311" w:rsidRPr="00700241">
        <w:rPr>
          <w:bCs/>
        </w:rPr>
        <w:t xml:space="preserve">. This is quantified per investment, and for the portfolio. </w:t>
      </w:r>
    </w:p>
    <w:p w14:paraId="00FA9907" w14:textId="512F75A9" w:rsidR="009202D1" w:rsidRPr="00700241" w:rsidRDefault="009202D1" w:rsidP="009202D1">
      <w:pPr>
        <w:rPr>
          <w:bCs/>
          <w:lang w:val="en-IE"/>
        </w:rPr>
      </w:pPr>
      <w:r w:rsidRPr="00700241">
        <w:rPr>
          <w:bCs/>
          <w:lang w:val="en-IE"/>
        </w:rPr>
        <w:t>Climate Benefits monitors the mitigation benefits in tonnes of Carbon Dioxide equivalent (tCO</w:t>
      </w:r>
      <w:r w:rsidRPr="00700241">
        <w:rPr>
          <w:bCs/>
          <w:vertAlign w:val="subscript"/>
          <w:lang w:val="en-IE"/>
        </w:rPr>
        <w:t>2</w:t>
      </w:r>
      <w:r w:rsidRPr="00700241">
        <w:rPr>
          <w:bCs/>
          <w:lang w:val="en-IE"/>
        </w:rPr>
        <w:t>e) from emissions reductions plus emissions sequestration. Emissions reductions are generated from changes in farm management practices. Emissions sequestration results from regrowth and densification in degraded forests that are conserved, and from tree growth and establishment in forest restoration areas. Any reversals (and hence emissions) are deducted.</w:t>
      </w:r>
    </w:p>
    <w:p w14:paraId="0D7D4F5A" w14:textId="3372884C" w:rsidR="009202D1" w:rsidRPr="00700241" w:rsidRDefault="006D3646" w:rsidP="009202D1">
      <w:pPr>
        <w:rPr>
          <w:lang w:val="en-AU"/>
        </w:rPr>
      </w:pPr>
      <w:r w:rsidRPr="00700241">
        <w:rPr>
          <w:lang w:val="en-AU"/>
        </w:rPr>
        <w:t xml:space="preserve">Climate benefits are reported with </w:t>
      </w:r>
      <w:r w:rsidR="009202D1" w:rsidRPr="00700241">
        <w:rPr>
          <w:lang w:val="en-AU"/>
        </w:rPr>
        <w:t>the following OPIs</w:t>
      </w:r>
      <w:r w:rsidRPr="00700241">
        <w:rPr>
          <w:lang w:val="en-AU"/>
        </w:rPr>
        <w:t>:</w:t>
      </w:r>
    </w:p>
    <w:p w14:paraId="1B59E87E" w14:textId="77777777" w:rsidR="009202D1" w:rsidRPr="00700241" w:rsidRDefault="009202D1" w:rsidP="009202D1">
      <w:pPr>
        <w:numPr>
          <w:ilvl w:val="0"/>
          <w:numId w:val="20"/>
        </w:numPr>
        <w:rPr>
          <w:bCs/>
          <w:lang w:val="en-AU"/>
        </w:rPr>
      </w:pPr>
      <w:r w:rsidRPr="00700241">
        <w:rPr>
          <w:bCs/>
          <w:lang w:val="en-AU"/>
        </w:rPr>
        <w:t>3.1 Emissions reductions</w:t>
      </w:r>
    </w:p>
    <w:p w14:paraId="6338F779" w14:textId="77777777" w:rsidR="009202D1" w:rsidRPr="00700241" w:rsidRDefault="009202D1" w:rsidP="009202D1">
      <w:pPr>
        <w:numPr>
          <w:ilvl w:val="0"/>
          <w:numId w:val="20"/>
        </w:numPr>
        <w:rPr>
          <w:bCs/>
          <w:lang w:val="en-AU"/>
        </w:rPr>
      </w:pPr>
      <w:r w:rsidRPr="00700241">
        <w:rPr>
          <w:bCs/>
          <w:lang w:val="en-AU"/>
        </w:rPr>
        <w:t>3.2 Emissions sequestration</w:t>
      </w:r>
    </w:p>
    <w:p w14:paraId="113934D2" w14:textId="32FC0B99" w:rsidR="009202D1" w:rsidRPr="00700241" w:rsidRDefault="009202D1" w:rsidP="009202D1">
      <w:pPr>
        <w:numPr>
          <w:ilvl w:val="0"/>
          <w:numId w:val="20"/>
        </w:numPr>
        <w:rPr>
          <w:b/>
          <w:bCs/>
          <w:lang w:val="en-AU"/>
        </w:rPr>
      </w:pPr>
      <w:r w:rsidRPr="00700241">
        <w:rPr>
          <w:bCs/>
          <w:lang w:val="en-AU"/>
        </w:rPr>
        <w:t>3.3 Emissions stored</w:t>
      </w:r>
    </w:p>
    <w:p w14:paraId="77EFF734" w14:textId="76FFB74A" w:rsidR="006D3646" w:rsidRPr="00700241" w:rsidRDefault="006D3646" w:rsidP="0073137D">
      <w:pPr>
        <w:rPr>
          <w:bCs/>
          <w:lang w:val="en-IE"/>
        </w:rPr>
      </w:pPr>
      <w:r w:rsidRPr="00700241">
        <w:rPr>
          <w:bCs/>
          <w:lang w:val="en-AU"/>
        </w:rPr>
        <w:t xml:space="preserve">KPI 3 is the </w:t>
      </w:r>
      <w:r w:rsidR="00E33F57" w:rsidRPr="00700241">
        <w:rPr>
          <w:bCs/>
          <w:lang w:val="en-AU"/>
        </w:rPr>
        <w:t xml:space="preserve">annual </w:t>
      </w:r>
      <w:r w:rsidRPr="00700241">
        <w:rPr>
          <w:bCs/>
          <w:lang w:val="en-AU"/>
        </w:rPr>
        <w:t>sum of OPI3.1 and OPI3.2.</w:t>
      </w:r>
    </w:p>
    <w:p w14:paraId="702B0ABA" w14:textId="77777777" w:rsidR="0073137D" w:rsidRPr="00700241" w:rsidRDefault="0073137D" w:rsidP="0073137D">
      <w:pPr>
        <w:rPr>
          <w:b/>
          <w:bCs/>
          <w:lang w:val="en-AU"/>
        </w:rPr>
      </w:pPr>
    </w:p>
    <w:p w14:paraId="5AAC2318" w14:textId="77777777" w:rsidR="009202D1" w:rsidRPr="00700241" w:rsidRDefault="009202D1" w:rsidP="00C576D1">
      <w:pPr>
        <w:pStyle w:val="Heading2simple"/>
      </w:pPr>
      <w:bookmarkStart w:id="18" w:name="_Toc103271288"/>
      <w:r w:rsidRPr="00700241">
        <w:t>OPI 3.1 Emissions reductions</w:t>
      </w:r>
      <w:bookmarkEnd w:id="18"/>
    </w:p>
    <w:p w14:paraId="18CB4283" w14:textId="0316CCC0" w:rsidR="009202D1" w:rsidRPr="00700241" w:rsidRDefault="003D1599" w:rsidP="009935D4">
      <w:r w:rsidRPr="00700241">
        <w:t>#tCO</w:t>
      </w:r>
      <w:r w:rsidRPr="00700241">
        <w:rPr>
          <w:vertAlign w:val="subscript"/>
        </w:rPr>
        <w:t>2</w:t>
      </w:r>
      <w:r w:rsidRPr="00700241">
        <w:t xml:space="preserve">e </w:t>
      </w:r>
      <w:r w:rsidR="000239BC" w:rsidRPr="00700241">
        <w:t>reduced or avoided</w:t>
      </w:r>
      <w:r w:rsidR="009935D4" w:rsidRPr="00700241">
        <w:t xml:space="preserve"> </w:t>
      </w:r>
      <w:r w:rsidR="009202D1" w:rsidRPr="00700241">
        <w:t>from low Carbon productivity (</w:t>
      </w:r>
      <w:proofErr w:type="gramStart"/>
      <w:r w:rsidR="009202D1" w:rsidRPr="00700241">
        <w:t>i.e.</w:t>
      </w:r>
      <w:proofErr w:type="gramEnd"/>
      <w:r w:rsidR="009202D1" w:rsidRPr="00700241">
        <w:t xml:space="preserve"> reduced on</w:t>
      </w:r>
      <w:r w:rsidR="009935D4" w:rsidRPr="00700241">
        <w:t>-</w:t>
      </w:r>
      <w:r w:rsidR="009202D1" w:rsidRPr="00700241">
        <w:t>farm emissions)</w:t>
      </w:r>
    </w:p>
    <w:p w14:paraId="48C3598E" w14:textId="459281D9" w:rsidR="009202D1" w:rsidRPr="00700241" w:rsidRDefault="009935D4" w:rsidP="009202D1">
      <w:pPr>
        <w:rPr>
          <w:lang w:val="en-IE"/>
        </w:rPr>
      </w:pPr>
      <w:r w:rsidRPr="00700241">
        <w:rPr>
          <w:lang w:val="en-IE"/>
        </w:rPr>
        <w:t xml:space="preserve">OPI3.1 is </w:t>
      </w:r>
      <w:r w:rsidR="009202D1" w:rsidRPr="00700241">
        <w:rPr>
          <w:lang w:val="en-IE"/>
        </w:rPr>
        <w:t>calculated by:</w:t>
      </w:r>
    </w:p>
    <w:p w14:paraId="094F7EBF" w14:textId="77777777" w:rsidR="009202D1" w:rsidRPr="00700241" w:rsidRDefault="009202D1" w:rsidP="009202D1">
      <w:pPr>
        <w:numPr>
          <w:ilvl w:val="0"/>
          <w:numId w:val="21"/>
        </w:numPr>
        <w:rPr>
          <w:lang w:val="en-IE"/>
        </w:rPr>
      </w:pPr>
      <w:r w:rsidRPr="00700241">
        <w:rPr>
          <w:lang w:val="en-IE"/>
        </w:rPr>
        <w:t xml:space="preserve">Change in Farm inventory </w:t>
      </w:r>
    </w:p>
    <w:p w14:paraId="49BE16EA" w14:textId="77777777" w:rsidR="009202D1" w:rsidRPr="00700241" w:rsidRDefault="009202D1" w:rsidP="009202D1">
      <w:pPr>
        <w:numPr>
          <w:ilvl w:val="0"/>
          <w:numId w:val="21"/>
        </w:numPr>
        <w:rPr>
          <w:lang w:val="en-IE"/>
        </w:rPr>
      </w:pPr>
      <w:r w:rsidRPr="00700241">
        <w:rPr>
          <w:lang w:val="en-IE"/>
        </w:rPr>
        <w:t xml:space="preserve">Change in emissions intensity (farm specific compared to industry average)  </w:t>
      </w:r>
    </w:p>
    <w:p w14:paraId="4829CD57" w14:textId="5C2D8F7A" w:rsidR="00DC37E6" w:rsidRPr="00700241" w:rsidRDefault="009202D1" w:rsidP="00DC37E6">
      <w:pPr>
        <w:rPr>
          <w:lang w:val="en-IE"/>
        </w:rPr>
      </w:pPr>
      <w:r w:rsidRPr="00700241">
        <w:rPr>
          <w:lang w:val="en-IE"/>
        </w:rPr>
        <w:t xml:space="preserve">The target </w:t>
      </w:r>
      <w:r w:rsidR="00BB5EF0" w:rsidRPr="00700241">
        <w:rPr>
          <w:lang w:val="en-IE"/>
        </w:rPr>
        <w:t>transaction</w:t>
      </w:r>
      <w:r w:rsidRPr="00700241">
        <w:rPr>
          <w:lang w:val="en-IE"/>
        </w:rPr>
        <w:t xml:space="preserve">s do not </w:t>
      </w:r>
      <w:r w:rsidR="003D4767" w:rsidRPr="00700241">
        <w:rPr>
          <w:lang w:val="en-IE"/>
        </w:rPr>
        <w:t xml:space="preserve">typically </w:t>
      </w:r>
      <w:r w:rsidRPr="00700241">
        <w:rPr>
          <w:lang w:val="en-IE"/>
        </w:rPr>
        <w:t xml:space="preserve">have comprehensive emissions inventories. More work is needed to establish baseline inventories and subsequent change in inventories, thus change in farm inventory is not (yet) used to assess OPI 3.1. </w:t>
      </w:r>
    </w:p>
    <w:p w14:paraId="02990417" w14:textId="5F34603D" w:rsidR="009202D1" w:rsidRPr="00700241" w:rsidRDefault="009202D1" w:rsidP="00DC37E6">
      <w:pPr>
        <w:rPr>
          <w:lang w:val="en-IE"/>
        </w:rPr>
      </w:pPr>
      <w:r w:rsidRPr="00700241">
        <w:rPr>
          <w:lang w:val="en-IE"/>
        </w:rPr>
        <w:t xml:space="preserve">Quantification of OPI 3.1 </w:t>
      </w:r>
      <w:r w:rsidR="001B3813" w:rsidRPr="00700241">
        <w:rPr>
          <w:lang w:val="en-IE"/>
        </w:rPr>
        <w:t xml:space="preserve">is thus </w:t>
      </w:r>
      <w:r w:rsidRPr="00700241">
        <w:rPr>
          <w:lang w:val="en-IE"/>
        </w:rPr>
        <w:t xml:space="preserve">through </w:t>
      </w:r>
      <w:r w:rsidR="001B3813" w:rsidRPr="00700241">
        <w:rPr>
          <w:lang w:val="en-IE"/>
        </w:rPr>
        <w:t>c</w:t>
      </w:r>
      <w:r w:rsidRPr="00700241">
        <w:rPr>
          <w:lang w:val="en-IE"/>
        </w:rPr>
        <w:t>hange in emissions intensity</w:t>
      </w:r>
      <w:r w:rsidR="004C4111" w:rsidRPr="00700241">
        <w:rPr>
          <w:lang w:val="en-IE"/>
        </w:rPr>
        <w:t xml:space="preserve"> and compared to relevant </w:t>
      </w:r>
      <w:r w:rsidRPr="00700241">
        <w:rPr>
          <w:lang w:val="en-IE"/>
        </w:rPr>
        <w:t>industry averages</w:t>
      </w:r>
      <w:r w:rsidR="004C4111" w:rsidRPr="00700241">
        <w:rPr>
          <w:lang w:val="en-IE"/>
        </w:rPr>
        <w:t xml:space="preserve"> or standards</w:t>
      </w:r>
      <w:r w:rsidRPr="00700241">
        <w:rPr>
          <w:lang w:val="en-IE"/>
        </w:rPr>
        <w:t>. That is, the difference in emissions intensity between the farm and industry average</w:t>
      </w:r>
      <w:r w:rsidR="002B4F0B" w:rsidRPr="00700241">
        <w:rPr>
          <w:lang w:val="en-IE"/>
        </w:rPr>
        <w:t xml:space="preserve"> (in tCO</w:t>
      </w:r>
      <w:r w:rsidR="002B4F0B" w:rsidRPr="00700241">
        <w:rPr>
          <w:vertAlign w:val="subscript"/>
          <w:lang w:val="en-IE"/>
        </w:rPr>
        <w:t>2</w:t>
      </w:r>
      <w:r w:rsidR="002B4F0B" w:rsidRPr="00700241">
        <w:rPr>
          <w:lang w:val="en-IE"/>
        </w:rPr>
        <w:t>e/</w:t>
      </w:r>
      <w:r w:rsidR="008E5EFF" w:rsidRPr="00700241">
        <w:rPr>
          <w:lang w:val="en-IE"/>
        </w:rPr>
        <w:t>to</w:t>
      </w:r>
      <w:r w:rsidR="00B752EA" w:rsidRPr="00700241">
        <w:rPr>
          <w:lang w:val="en-IE"/>
        </w:rPr>
        <w:t>nne of commodity produced)</w:t>
      </w:r>
      <w:r w:rsidRPr="00700241">
        <w:rPr>
          <w:lang w:val="en-IE"/>
        </w:rPr>
        <w:t xml:space="preserve"> multiplied by </w:t>
      </w:r>
      <w:r w:rsidR="00B752EA" w:rsidRPr="00700241">
        <w:rPr>
          <w:lang w:val="en-IE"/>
        </w:rPr>
        <w:t>amount of increased commodity production on farm.</w:t>
      </w:r>
      <w:r w:rsidRPr="00700241">
        <w:rPr>
          <w:lang w:val="en-IE"/>
        </w:rPr>
        <w:t xml:space="preserve"> </w:t>
      </w:r>
    </w:p>
    <w:tbl>
      <w:tblPr>
        <w:tblStyle w:val="TableGrid"/>
        <w:tblW w:w="0" w:type="auto"/>
        <w:tblLook w:val="04A0" w:firstRow="1" w:lastRow="0" w:firstColumn="1" w:lastColumn="0" w:noHBand="0" w:noVBand="1"/>
      </w:tblPr>
      <w:tblGrid>
        <w:gridCol w:w="3794"/>
        <w:gridCol w:w="709"/>
        <w:gridCol w:w="3827"/>
      </w:tblGrid>
      <w:tr w:rsidR="001D3A59" w:rsidRPr="00700241" w14:paraId="5A35BE83" w14:textId="77777777" w:rsidTr="00EC2BFB">
        <w:trPr>
          <w:cnfStyle w:val="100000000000" w:firstRow="1" w:lastRow="0" w:firstColumn="0" w:lastColumn="0" w:oddVBand="0" w:evenVBand="0" w:oddHBand="0" w:evenHBand="0" w:firstRowFirstColumn="0" w:firstRowLastColumn="0" w:lastRowFirstColumn="0" w:lastRowLastColumn="0"/>
        </w:trPr>
        <w:tc>
          <w:tcPr>
            <w:tcW w:w="3794" w:type="dxa"/>
          </w:tcPr>
          <w:p w14:paraId="297923F1" w14:textId="5FDF8064" w:rsidR="001D3A59" w:rsidRPr="00700241" w:rsidRDefault="001D3A59" w:rsidP="008D3CFC">
            <w:pPr>
              <w:spacing w:before="0" w:after="0"/>
              <w:rPr>
                <w:lang w:val="en-IE"/>
              </w:rPr>
            </w:pPr>
            <w:r w:rsidRPr="00700241">
              <w:rPr>
                <w:b w:val="0"/>
                <w:caps w:val="0"/>
                <w:color w:val="auto"/>
                <w:lang w:val="en-IE"/>
              </w:rPr>
              <w:t xml:space="preserve">farm commodity production (tonnes) </w:t>
            </w:r>
            <w:proofErr w:type="gramStart"/>
            <w:r w:rsidRPr="00700241">
              <w:rPr>
                <w:b w:val="0"/>
                <w:caps w:val="0"/>
                <w:color w:val="auto"/>
                <w:lang w:val="en-IE"/>
              </w:rPr>
              <w:t>increase</w:t>
            </w:r>
            <w:proofErr w:type="gramEnd"/>
            <w:r w:rsidRPr="00700241">
              <w:rPr>
                <w:b w:val="0"/>
                <w:caps w:val="0"/>
                <w:color w:val="auto"/>
                <w:lang w:val="en-IE"/>
              </w:rPr>
              <w:t xml:space="preserve"> over industry average</w:t>
            </w:r>
          </w:p>
        </w:tc>
        <w:tc>
          <w:tcPr>
            <w:tcW w:w="709" w:type="dxa"/>
          </w:tcPr>
          <w:p w14:paraId="565E0B70" w14:textId="4CD65429" w:rsidR="001D3A59" w:rsidRPr="00700241" w:rsidRDefault="001D3A59" w:rsidP="008D3CFC">
            <w:pPr>
              <w:spacing w:before="0" w:after="0"/>
              <w:rPr>
                <w:lang w:val="en-IE"/>
              </w:rPr>
            </w:pPr>
            <w:r w:rsidRPr="00700241">
              <w:rPr>
                <w:lang w:val="en-IE"/>
              </w:rPr>
              <w:t>X</w:t>
            </w:r>
          </w:p>
        </w:tc>
        <w:tc>
          <w:tcPr>
            <w:tcW w:w="3827" w:type="dxa"/>
          </w:tcPr>
          <w:p w14:paraId="27649F08" w14:textId="714412E7" w:rsidR="001D3A59" w:rsidRPr="00700241" w:rsidRDefault="006D0E16" w:rsidP="008D3CFC">
            <w:pPr>
              <w:spacing w:before="0" w:after="0"/>
              <w:rPr>
                <w:lang w:val="en-IE"/>
              </w:rPr>
            </w:pPr>
            <w:r w:rsidRPr="00700241">
              <w:rPr>
                <w:b w:val="0"/>
                <w:caps w:val="0"/>
                <w:color w:val="auto"/>
                <w:lang w:val="en-IE"/>
              </w:rPr>
              <w:t>farm emissions intensity – industry</w:t>
            </w:r>
            <w:r w:rsidR="00EC2BFB" w:rsidRPr="00700241">
              <w:rPr>
                <w:b w:val="0"/>
                <w:caps w:val="0"/>
                <w:color w:val="auto"/>
                <w:lang w:val="en-IE"/>
              </w:rPr>
              <w:t xml:space="preserve"> </w:t>
            </w:r>
            <w:proofErr w:type="gramStart"/>
            <w:r w:rsidR="00EC2BFB" w:rsidRPr="00700241">
              <w:rPr>
                <w:b w:val="0"/>
                <w:caps w:val="0"/>
                <w:color w:val="auto"/>
                <w:lang w:val="en-IE"/>
              </w:rPr>
              <w:t xml:space="preserve">average </w:t>
            </w:r>
            <w:r w:rsidRPr="00700241">
              <w:rPr>
                <w:b w:val="0"/>
                <w:caps w:val="0"/>
                <w:color w:val="auto"/>
                <w:lang w:val="en-IE"/>
              </w:rPr>
              <w:t xml:space="preserve"> emissions</w:t>
            </w:r>
            <w:proofErr w:type="gramEnd"/>
            <w:r w:rsidRPr="00700241">
              <w:rPr>
                <w:b w:val="0"/>
                <w:caps w:val="0"/>
                <w:color w:val="auto"/>
                <w:lang w:val="en-IE"/>
              </w:rPr>
              <w:t xml:space="preserve"> intensity</w:t>
            </w:r>
          </w:p>
        </w:tc>
      </w:tr>
    </w:tbl>
    <w:p w14:paraId="75D3FDA9" w14:textId="0E5909CF" w:rsidR="00EC2BFB" w:rsidRPr="00700241" w:rsidRDefault="00EC2BFB" w:rsidP="00EC2BFB">
      <w:pPr>
        <w:rPr>
          <w:lang w:val="en-IE"/>
        </w:rPr>
      </w:pPr>
      <w:r w:rsidRPr="00700241">
        <w:rPr>
          <w:lang w:val="en-IE"/>
        </w:rPr>
        <w:t>This approach is appropriate where the emissions profile of the commodity is well understood, and supply shed-specific data is available. This is the case for the target commodities of rubber, soy, palm oil and cattle</w:t>
      </w:r>
      <w:r w:rsidR="007D0A91" w:rsidRPr="00700241">
        <w:rPr>
          <w:lang w:val="en-IE"/>
        </w:rPr>
        <w:t xml:space="preserve"> (depending on supply shed)</w:t>
      </w:r>
      <w:r w:rsidRPr="00700241">
        <w:rPr>
          <w:lang w:val="en-IE"/>
        </w:rPr>
        <w:t xml:space="preserve">. </w:t>
      </w:r>
    </w:p>
    <w:p w14:paraId="7A4EEF87" w14:textId="49E01F62" w:rsidR="00380359" w:rsidRPr="00700241" w:rsidRDefault="00380359" w:rsidP="00380359">
      <w:pPr>
        <w:rPr>
          <w:lang w:val="en-IE"/>
        </w:rPr>
      </w:pPr>
      <w:r w:rsidRPr="00700241">
        <w:rPr>
          <w:lang w:val="en-IE"/>
        </w:rPr>
        <w:t xml:space="preserve">Since industry average productivity is gradually improving, the assessment must be updated annually. A lack of data in &amp;Green </w:t>
      </w:r>
      <w:r w:rsidR="00BB5EF0" w:rsidRPr="00700241">
        <w:rPr>
          <w:lang w:val="en-IE"/>
        </w:rPr>
        <w:t>transaction</w:t>
      </w:r>
      <w:r w:rsidRPr="00700241">
        <w:rPr>
          <w:lang w:val="en-IE"/>
        </w:rPr>
        <w:t>s somewhat limits applicability, and productivity gains of +/- 5% may be lost in data noise &amp; inter-annual variability, so this approach is applied only for significant intensification gains, over large areas.</w:t>
      </w:r>
    </w:p>
    <w:p w14:paraId="28284600" w14:textId="650F6020" w:rsidR="00866298" w:rsidRPr="00700241" w:rsidRDefault="00380359" w:rsidP="00380359">
      <w:pPr>
        <w:rPr>
          <w:lang w:val="en-IE"/>
        </w:rPr>
      </w:pPr>
      <w:r w:rsidRPr="00700241">
        <w:rPr>
          <w:lang w:val="en-IE"/>
        </w:rPr>
        <w:t>This approach quantifies emissions reductions compared to peer producers. This does not necessarily result in an absolute reduction in emissions within the farm boundary: emissions intensity may substantially decrease, but absolute emissions may increase. This approach does, however, reflect emissions reductions within the supply shed of that commodity, and is typical practice for land use impact assessment</w:t>
      </w:r>
      <w:r w:rsidR="008E726C" w:rsidRPr="00700241">
        <w:rPr>
          <w:rStyle w:val="FootnoteReference"/>
          <w:lang w:val="en-IE"/>
        </w:rPr>
        <w:footnoteReference w:id="7"/>
      </w:r>
      <w:r w:rsidRPr="00700241">
        <w:rPr>
          <w:lang w:val="en-IE"/>
        </w:rPr>
        <w:t xml:space="preserve">. </w:t>
      </w:r>
    </w:p>
    <w:tbl>
      <w:tblPr>
        <w:tblStyle w:val="TableGrid"/>
        <w:tblpPr w:leftFromText="180" w:rightFromText="180" w:vertAnchor="text" w:horzAnchor="margin" w:tblpY="126"/>
        <w:tblW w:w="8897" w:type="dxa"/>
        <w:tblLook w:val="04A0" w:firstRow="1" w:lastRow="0" w:firstColumn="1" w:lastColumn="0" w:noHBand="0" w:noVBand="1"/>
      </w:tblPr>
      <w:tblGrid>
        <w:gridCol w:w="4077"/>
        <w:gridCol w:w="993"/>
        <w:gridCol w:w="1984"/>
        <w:gridCol w:w="1843"/>
      </w:tblGrid>
      <w:tr w:rsidR="00866298" w:rsidRPr="00700241" w14:paraId="596B5B3D" w14:textId="77777777" w:rsidTr="00866298">
        <w:trPr>
          <w:cnfStyle w:val="100000000000" w:firstRow="1" w:lastRow="0" w:firstColumn="0" w:lastColumn="0" w:oddVBand="0" w:evenVBand="0" w:oddHBand="0" w:evenHBand="0" w:firstRowFirstColumn="0" w:firstRowLastColumn="0" w:lastRowFirstColumn="0" w:lastRowLastColumn="0"/>
        </w:trPr>
        <w:tc>
          <w:tcPr>
            <w:tcW w:w="4077" w:type="dxa"/>
          </w:tcPr>
          <w:p w14:paraId="4B688D04" w14:textId="77777777" w:rsidR="00866298" w:rsidRPr="00700241" w:rsidRDefault="00866298" w:rsidP="00866298">
            <w:pPr>
              <w:rPr>
                <w:bCs/>
                <w:lang w:val="en-AU"/>
              </w:rPr>
            </w:pPr>
            <w:r w:rsidRPr="00700241">
              <w:rPr>
                <w:bCs/>
                <w:lang w:val="en-AU"/>
              </w:rPr>
              <w:t>Data pointS</w:t>
            </w:r>
          </w:p>
        </w:tc>
        <w:tc>
          <w:tcPr>
            <w:tcW w:w="993" w:type="dxa"/>
          </w:tcPr>
          <w:p w14:paraId="04F6BBE2" w14:textId="77777777" w:rsidR="00866298" w:rsidRPr="00700241" w:rsidRDefault="00866298" w:rsidP="00866298">
            <w:pPr>
              <w:rPr>
                <w:bCs/>
                <w:lang w:val="en-AU"/>
              </w:rPr>
            </w:pPr>
            <w:r w:rsidRPr="00700241">
              <w:rPr>
                <w:bCs/>
                <w:lang w:val="en-AU"/>
              </w:rPr>
              <w:t>Metric</w:t>
            </w:r>
          </w:p>
        </w:tc>
        <w:tc>
          <w:tcPr>
            <w:tcW w:w="1984" w:type="dxa"/>
          </w:tcPr>
          <w:p w14:paraId="08927006" w14:textId="77777777" w:rsidR="00866298" w:rsidRPr="00700241" w:rsidRDefault="00866298" w:rsidP="00866298">
            <w:pPr>
              <w:rPr>
                <w:bCs/>
                <w:lang w:val="en-AU"/>
              </w:rPr>
            </w:pPr>
            <w:r w:rsidRPr="00700241">
              <w:rPr>
                <w:bCs/>
                <w:lang w:val="en-AU"/>
              </w:rPr>
              <w:t>Data source</w:t>
            </w:r>
          </w:p>
        </w:tc>
        <w:tc>
          <w:tcPr>
            <w:tcW w:w="1843" w:type="dxa"/>
          </w:tcPr>
          <w:p w14:paraId="74E03C04" w14:textId="77777777" w:rsidR="00866298" w:rsidRPr="00700241" w:rsidRDefault="00866298" w:rsidP="00866298">
            <w:pPr>
              <w:rPr>
                <w:bCs/>
                <w:lang w:val="en-AU"/>
              </w:rPr>
            </w:pPr>
            <w:r w:rsidRPr="00700241">
              <w:rPr>
                <w:bCs/>
                <w:lang w:val="en-AU"/>
              </w:rPr>
              <w:t>Owner</w:t>
            </w:r>
          </w:p>
        </w:tc>
      </w:tr>
      <w:tr w:rsidR="00866298" w:rsidRPr="00700241" w14:paraId="3D586CED" w14:textId="77777777" w:rsidTr="00866298">
        <w:tc>
          <w:tcPr>
            <w:tcW w:w="4077" w:type="dxa"/>
          </w:tcPr>
          <w:p w14:paraId="069821AF" w14:textId="4B2F82CF" w:rsidR="00866298" w:rsidRPr="00700241" w:rsidRDefault="00866298" w:rsidP="00866298">
            <w:pPr>
              <w:rPr>
                <w:lang w:val="en-GB"/>
              </w:rPr>
            </w:pPr>
            <w:r w:rsidRPr="00700241">
              <w:rPr>
                <w:lang w:val="en-GB"/>
              </w:rPr>
              <w:t>Productivity (in tonnes commodity/ha), see also OPI4.1</w:t>
            </w:r>
            <w:r w:rsidR="00531181" w:rsidRPr="00700241">
              <w:rPr>
                <w:lang w:val="en-GB"/>
              </w:rPr>
              <w:t>b</w:t>
            </w:r>
            <w:r w:rsidRPr="00700241">
              <w:rPr>
                <w:lang w:val="en-GB"/>
              </w:rPr>
              <w:t xml:space="preserve"> and OPI4.5  </w:t>
            </w:r>
          </w:p>
          <w:p w14:paraId="1550E6FB" w14:textId="77777777" w:rsidR="00866298" w:rsidRPr="00700241" w:rsidRDefault="00866298" w:rsidP="00866298">
            <w:pPr>
              <w:rPr>
                <w:lang w:val="en-GB"/>
              </w:rPr>
            </w:pPr>
            <w:r w:rsidRPr="00700241">
              <w:rPr>
                <w:lang w:val="en-GB"/>
              </w:rPr>
              <w:t xml:space="preserve"> and </w:t>
            </w:r>
          </w:p>
          <w:p w14:paraId="5BB9EBB2" w14:textId="77777777" w:rsidR="00866298" w:rsidRPr="00700241" w:rsidRDefault="00866298" w:rsidP="00866298">
            <w:pPr>
              <w:rPr>
                <w:lang w:val="en-GB"/>
              </w:rPr>
            </w:pPr>
            <w:r w:rsidRPr="00700241">
              <w:rPr>
                <w:lang w:val="en-GB"/>
              </w:rPr>
              <w:t xml:space="preserve">emission </w:t>
            </w:r>
            <w:proofErr w:type="gramStart"/>
            <w:r w:rsidRPr="00700241">
              <w:rPr>
                <w:lang w:val="en-GB"/>
              </w:rPr>
              <w:t>intensity  (</w:t>
            </w:r>
            <w:proofErr w:type="gramEnd"/>
            <w:r w:rsidRPr="00700241">
              <w:rPr>
                <w:lang w:val="en-GB"/>
              </w:rPr>
              <w:t>tCO</w:t>
            </w:r>
            <w:r w:rsidRPr="00700241">
              <w:rPr>
                <w:vertAlign w:val="subscript"/>
                <w:lang w:val="en-GB"/>
              </w:rPr>
              <w:t>2</w:t>
            </w:r>
            <w:r w:rsidRPr="00700241">
              <w:rPr>
                <w:lang w:val="en-GB"/>
              </w:rPr>
              <w:t>e/ha or tCO</w:t>
            </w:r>
            <w:r w:rsidRPr="00700241">
              <w:rPr>
                <w:vertAlign w:val="subscript"/>
                <w:lang w:val="en-GB"/>
              </w:rPr>
              <w:t>2</w:t>
            </w:r>
            <w:r w:rsidRPr="00700241">
              <w:rPr>
                <w:lang w:val="en-GB"/>
              </w:rPr>
              <w:t>e/t commodity)</w:t>
            </w:r>
          </w:p>
        </w:tc>
        <w:tc>
          <w:tcPr>
            <w:tcW w:w="993" w:type="dxa"/>
          </w:tcPr>
          <w:p w14:paraId="0693F491" w14:textId="77777777" w:rsidR="00866298" w:rsidRPr="00700241" w:rsidRDefault="00866298" w:rsidP="00866298">
            <w:pPr>
              <w:rPr>
                <w:lang w:val="en-AU"/>
              </w:rPr>
            </w:pPr>
            <w:r w:rsidRPr="00700241">
              <w:rPr>
                <w:lang w:val="en-AU"/>
              </w:rPr>
              <w:t>tCO</w:t>
            </w:r>
            <w:r w:rsidRPr="00700241">
              <w:rPr>
                <w:vertAlign w:val="subscript"/>
                <w:lang w:val="en-AU"/>
              </w:rPr>
              <w:t>2</w:t>
            </w:r>
            <w:r w:rsidRPr="00700241">
              <w:rPr>
                <w:lang w:val="en-AU"/>
              </w:rPr>
              <w:t>e</w:t>
            </w:r>
          </w:p>
        </w:tc>
        <w:tc>
          <w:tcPr>
            <w:tcW w:w="1984" w:type="dxa"/>
          </w:tcPr>
          <w:p w14:paraId="751A1D8A" w14:textId="091DD77B" w:rsidR="00866298" w:rsidRPr="00700241" w:rsidRDefault="00866298" w:rsidP="00866298">
            <w:pPr>
              <w:rPr>
                <w:lang w:val="en-AU"/>
              </w:rPr>
            </w:pPr>
            <w:r w:rsidRPr="00700241">
              <w:rPr>
                <w:lang w:val="en-AU"/>
              </w:rPr>
              <w:t xml:space="preserve">Client productivity records, </w:t>
            </w:r>
          </w:p>
          <w:p w14:paraId="05EC2030" w14:textId="77777777" w:rsidR="00866298" w:rsidRPr="00700241" w:rsidRDefault="00866298" w:rsidP="00866298">
            <w:pPr>
              <w:rPr>
                <w:lang w:val="en-AU"/>
              </w:rPr>
            </w:pPr>
            <w:r w:rsidRPr="00700241">
              <w:rPr>
                <w:lang w:val="en-AU"/>
              </w:rPr>
              <w:t>industry average</w:t>
            </w:r>
          </w:p>
        </w:tc>
        <w:tc>
          <w:tcPr>
            <w:tcW w:w="1843" w:type="dxa"/>
          </w:tcPr>
          <w:p w14:paraId="4E9B7806" w14:textId="77777777" w:rsidR="00866298" w:rsidRPr="00700241" w:rsidRDefault="00866298" w:rsidP="00866298">
            <w:pPr>
              <w:rPr>
                <w:lang w:val="en-AU"/>
              </w:rPr>
            </w:pPr>
            <w:r w:rsidRPr="00700241">
              <w:rPr>
                <w:lang w:val="en-AU"/>
              </w:rPr>
              <w:t>Client, government, or other public and credible databases</w:t>
            </w:r>
          </w:p>
        </w:tc>
      </w:tr>
    </w:tbl>
    <w:p w14:paraId="50AEDF11" w14:textId="77777777" w:rsidR="00866298" w:rsidRPr="00700241" w:rsidRDefault="00866298" w:rsidP="00DC37E6">
      <w:pPr>
        <w:rPr>
          <w:lang w:val="en-IE"/>
        </w:rPr>
      </w:pPr>
    </w:p>
    <w:p w14:paraId="3F64AD01" w14:textId="77777777" w:rsidR="009202D1" w:rsidRPr="00700241" w:rsidRDefault="009202D1" w:rsidP="00C576D1">
      <w:pPr>
        <w:pStyle w:val="Heading2simple"/>
      </w:pPr>
      <w:bookmarkStart w:id="19" w:name="_Toc103271289"/>
      <w:r w:rsidRPr="00700241">
        <w:t>OPI 3.2 Emissions sequestration</w:t>
      </w:r>
      <w:bookmarkEnd w:id="19"/>
    </w:p>
    <w:p w14:paraId="068E17BE" w14:textId="196BCB20" w:rsidR="00D6230D" w:rsidRPr="00700241" w:rsidRDefault="00BC2FB3" w:rsidP="00D6230D">
      <w:r w:rsidRPr="00700241">
        <w:t>#tCO</w:t>
      </w:r>
      <w:r w:rsidRPr="00700241">
        <w:rPr>
          <w:vertAlign w:val="subscript"/>
        </w:rPr>
        <w:t>2</w:t>
      </w:r>
      <w:r w:rsidRPr="00700241">
        <w:t xml:space="preserve">e </w:t>
      </w:r>
      <w:r w:rsidR="00D6230D" w:rsidRPr="00700241">
        <w:t>emissions sequestered in protected forest areas (from OPI2.1 &amp; 2.2)</w:t>
      </w:r>
      <w:r w:rsidR="003E4C80" w:rsidRPr="00700241">
        <w:t>.</w:t>
      </w:r>
    </w:p>
    <w:p w14:paraId="7040A8F8" w14:textId="02D56186" w:rsidR="009202D1" w:rsidRPr="00700241" w:rsidRDefault="009202D1" w:rsidP="009202D1">
      <w:r w:rsidRPr="00700241">
        <w:t xml:space="preserve">OPI 3.2 is calculated </w:t>
      </w:r>
      <w:r w:rsidR="00E10AB5" w:rsidRPr="00700241">
        <w:t xml:space="preserve">using </w:t>
      </w:r>
      <w:r w:rsidRPr="00700241">
        <w:t>the same approach as national inventories</w:t>
      </w:r>
      <w:r w:rsidR="008B13CF" w:rsidRPr="00700241">
        <w:rPr>
          <w:rStyle w:val="FootnoteReference"/>
        </w:rPr>
        <w:footnoteReference w:id="8"/>
      </w:r>
      <w:r w:rsidR="00AD6FA9" w:rsidRPr="00700241">
        <w:t xml:space="preserve"> </w:t>
      </w:r>
      <w:r w:rsidR="00AD6FA9" w:rsidRPr="00700241">
        <w:rPr>
          <w:bCs/>
          <w:vertAlign w:val="superscript"/>
          <w:lang w:val="en-IE"/>
        </w:rPr>
        <w:footnoteReference w:id="9"/>
      </w:r>
      <w:r w:rsidRPr="00700241">
        <w:t xml:space="preserve"> under the UNFCCC: a calculation of area multiplied by </w:t>
      </w:r>
      <w:r w:rsidR="009E340C" w:rsidRPr="00700241">
        <w:t xml:space="preserve">appropriate </w:t>
      </w:r>
      <w:r w:rsidRPr="00700241">
        <w:t xml:space="preserve">IPCC </w:t>
      </w:r>
      <w:r w:rsidR="009E340C" w:rsidRPr="00700241">
        <w:t xml:space="preserve">emissions </w:t>
      </w:r>
      <w:r w:rsidRPr="00700241">
        <w:t>factor</w:t>
      </w:r>
      <w:r w:rsidR="009E340C" w:rsidRPr="00700241">
        <w:t>s</w:t>
      </w:r>
      <w:r w:rsidR="00FA7AD7" w:rsidRPr="00700241">
        <w:rPr>
          <w:rStyle w:val="FootnoteReference"/>
        </w:rPr>
        <w:footnoteReference w:id="10"/>
      </w:r>
      <w:r w:rsidRPr="00700241">
        <w:t xml:space="preserve">. </w:t>
      </w:r>
    </w:p>
    <w:p w14:paraId="3B696F4F" w14:textId="77777777" w:rsidR="00A62D0A" w:rsidRPr="00700241" w:rsidRDefault="00292DF4" w:rsidP="00292DF4">
      <w:r w:rsidRPr="00700241">
        <w:t xml:space="preserve">IPCC factors </w:t>
      </w:r>
      <w:r w:rsidR="001C651A" w:rsidRPr="00700241">
        <w:t xml:space="preserve">are </w:t>
      </w:r>
      <w:r w:rsidRPr="00700241">
        <w:t xml:space="preserve">selected </w:t>
      </w:r>
      <w:r w:rsidR="001C651A" w:rsidRPr="00700241">
        <w:t>to the highest degree of geographical and location specificity available (</w:t>
      </w:r>
      <w:proofErr w:type="spellStart"/>
      <w:r w:rsidR="001C651A" w:rsidRPr="00700241">
        <w:t>ie</w:t>
      </w:r>
      <w:proofErr w:type="spellEnd"/>
      <w:r w:rsidR="001C651A" w:rsidRPr="00700241">
        <w:t xml:space="preserve">: higher IPCC Tiers, </w:t>
      </w:r>
      <w:r w:rsidR="006B5F5C" w:rsidRPr="00700241">
        <w:t>genera</w:t>
      </w:r>
      <w:r w:rsidR="00B919CE" w:rsidRPr="00700241">
        <w:t xml:space="preserve">lly Tier 2 or 3) </w:t>
      </w:r>
      <w:r w:rsidRPr="00700241">
        <w:t>for biomass growth, R, and Carbon Fraction</w:t>
      </w:r>
      <w:r w:rsidR="00B919CE" w:rsidRPr="00700241">
        <w:t xml:space="preserve">. These factors are further </w:t>
      </w:r>
      <w:r w:rsidRPr="00700241">
        <w:t xml:space="preserve">compared with recent relevant </w:t>
      </w:r>
      <w:r w:rsidR="00A62D0A" w:rsidRPr="00700241">
        <w:t xml:space="preserve">published </w:t>
      </w:r>
      <w:r w:rsidRPr="00700241">
        <w:t>research for regrowth in degraded forests</w:t>
      </w:r>
      <w:r w:rsidR="00A62D0A" w:rsidRPr="00700241">
        <w:t xml:space="preserve"> when available</w:t>
      </w:r>
      <w:r w:rsidRPr="00700241">
        <w:t xml:space="preserve">. </w:t>
      </w:r>
    </w:p>
    <w:p w14:paraId="1AF847BF" w14:textId="1A297D38" w:rsidR="00292DF4" w:rsidRPr="00700241" w:rsidRDefault="00292DF4" w:rsidP="00292DF4">
      <w:r w:rsidRPr="00700241">
        <w:t xml:space="preserve">These </w:t>
      </w:r>
      <w:r w:rsidR="00A62D0A" w:rsidRPr="00700241">
        <w:t xml:space="preserve">factors </w:t>
      </w:r>
      <w:r w:rsidRPr="00700241">
        <w:t xml:space="preserve">are multiplied by #ha protected as assessed for </w:t>
      </w:r>
      <w:r w:rsidR="00A62D0A" w:rsidRPr="00700241">
        <w:t xml:space="preserve">OPI2.1 and OPI2.2. The factors are </w:t>
      </w:r>
      <w:r w:rsidRPr="00700241">
        <w:t xml:space="preserve">differentiated for forest conservation (forest densification) and forest restoration (reforestation). </w:t>
      </w:r>
    </w:p>
    <w:p w14:paraId="323B1060" w14:textId="0E3BBABF" w:rsidR="00292DF4" w:rsidRPr="00700241" w:rsidRDefault="00292DF4" w:rsidP="00292DF4">
      <w:r w:rsidRPr="00700241">
        <w:t>There are two key assumptions</w:t>
      </w:r>
      <w:r w:rsidR="00633271" w:rsidRPr="00700241">
        <w:rPr>
          <w:rStyle w:val="FootnoteReference"/>
        </w:rPr>
        <w:footnoteReference w:id="11"/>
      </w:r>
      <w:r w:rsidRPr="00700241">
        <w:t xml:space="preserve"> for this approach:</w:t>
      </w:r>
    </w:p>
    <w:p w14:paraId="1EEFFAF5" w14:textId="77777777" w:rsidR="00292DF4" w:rsidRPr="00700241" w:rsidRDefault="00292DF4" w:rsidP="00292DF4">
      <w:r w:rsidRPr="00700241">
        <w:t>•</w:t>
      </w:r>
      <w:r w:rsidRPr="00700241">
        <w:tab/>
        <w:t xml:space="preserve">forests are degraded to some degree (not pristine) at the time of protection. </w:t>
      </w:r>
    </w:p>
    <w:p w14:paraId="777B58CD" w14:textId="5F0290BE" w:rsidR="00292DF4" w:rsidRPr="00700241" w:rsidRDefault="00292DF4" w:rsidP="00292DF4">
      <w:r w:rsidRPr="00700241">
        <w:t>•</w:t>
      </w:r>
      <w:r w:rsidRPr="00700241">
        <w:tab/>
        <w:t xml:space="preserve">forest areas protected will halt </w:t>
      </w:r>
      <w:r w:rsidR="00EF4234" w:rsidRPr="00700241">
        <w:t xml:space="preserve">or greatly reduce </w:t>
      </w:r>
      <w:r w:rsidRPr="00700241">
        <w:t xml:space="preserve">biomass extraction from those areas. </w:t>
      </w:r>
    </w:p>
    <w:p w14:paraId="558AF7B6" w14:textId="60C7C065" w:rsidR="00E764B0" w:rsidRPr="00700241" w:rsidRDefault="00292DF4" w:rsidP="009202D1">
      <w:r w:rsidRPr="00700241">
        <w:t>On concessions and within farm boundaries these assumptions can be demonstrated, but in proximate areas this is harder to assure. Conservative values are selected for all parameters, but substantially more conservative values (that is, lower bounds of uncertainty from IPCC factors) are used for proximate areas to give a conservative estimate of carbon sequestration. Where minimum assurance cannot be provided, these areas are excluded from quantification.</w:t>
      </w:r>
    </w:p>
    <w:tbl>
      <w:tblPr>
        <w:tblStyle w:val="TableGrid"/>
        <w:tblpPr w:leftFromText="180" w:rightFromText="180" w:vertAnchor="text" w:tblpY="39"/>
        <w:tblW w:w="8801" w:type="dxa"/>
        <w:tblLook w:val="04A0" w:firstRow="1" w:lastRow="0" w:firstColumn="1" w:lastColumn="0" w:noHBand="0" w:noVBand="1"/>
      </w:tblPr>
      <w:tblGrid>
        <w:gridCol w:w="3056"/>
        <w:gridCol w:w="1576"/>
        <w:gridCol w:w="2773"/>
        <w:gridCol w:w="1396"/>
      </w:tblGrid>
      <w:tr w:rsidR="009202D1" w:rsidRPr="00700241" w14:paraId="666C1500" w14:textId="77777777" w:rsidTr="008A76A1">
        <w:trPr>
          <w:cnfStyle w:val="100000000000" w:firstRow="1" w:lastRow="0" w:firstColumn="0" w:lastColumn="0" w:oddVBand="0" w:evenVBand="0" w:oddHBand="0" w:evenHBand="0" w:firstRowFirstColumn="0" w:firstRowLastColumn="0" w:lastRowFirstColumn="0" w:lastRowLastColumn="0"/>
        </w:trPr>
        <w:tc>
          <w:tcPr>
            <w:tcW w:w="3085" w:type="dxa"/>
          </w:tcPr>
          <w:p w14:paraId="21FB0628" w14:textId="6D58186E" w:rsidR="009202D1" w:rsidRPr="00700241" w:rsidRDefault="009202D1" w:rsidP="009202D1">
            <w:pPr>
              <w:rPr>
                <w:bCs/>
                <w:lang w:val="en-AU"/>
              </w:rPr>
            </w:pPr>
            <w:r w:rsidRPr="00700241">
              <w:rPr>
                <w:bCs/>
                <w:lang w:val="en-AU"/>
              </w:rPr>
              <w:t>Data point</w:t>
            </w:r>
            <w:r w:rsidR="00E859F6" w:rsidRPr="00700241">
              <w:rPr>
                <w:bCs/>
                <w:lang w:val="en-AU"/>
              </w:rPr>
              <w:t>S</w:t>
            </w:r>
          </w:p>
        </w:tc>
        <w:tc>
          <w:tcPr>
            <w:tcW w:w="1588" w:type="dxa"/>
          </w:tcPr>
          <w:p w14:paraId="3627EF4B" w14:textId="77777777" w:rsidR="009202D1" w:rsidRPr="00700241" w:rsidRDefault="009202D1" w:rsidP="009202D1">
            <w:pPr>
              <w:rPr>
                <w:bCs/>
                <w:lang w:val="en-AU"/>
              </w:rPr>
            </w:pPr>
            <w:r w:rsidRPr="00700241">
              <w:rPr>
                <w:bCs/>
                <w:lang w:val="en-AU"/>
              </w:rPr>
              <w:t>Metric</w:t>
            </w:r>
          </w:p>
        </w:tc>
        <w:tc>
          <w:tcPr>
            <w:tcW w:w="2806" w:type="dxa"/>
          </w:tcPr>
          <w:p w14:paraId="3513E404" w14:textId="77777777" w:rsidR="009202D1" w:rsidRPr="00700241" w:rsidRDefault="009202D1" w:rsidP="009202D1">
            <w:pPr>
              <w:rPr>
                <w:bCs/>
                <w:lang w:val="en-AU"/>
              </w:rPr>
            </w:pPr>
            <w:r w:rsidRPr="00700241">
              <w:rPr>
                <w:bCs/>
                <w:lang w:val="en-AU"/>
              </w:rPr>
              <w:t>Data source</w:t>
            </w:r>
          </w:p>
        </w:tc>
        <w:tc>
          <w:tcPr>
            <w:tcW w:w="1322" w:type="dxa"/>
          </w:tcPr>
          <w:p w14:paraId="571F4A23" w14:textId="77777777" w:rsidR="009202D1" w:rsidRPr="00700241" w:rsidRDefault="009202D1" w:rsidP="009202D1">
            <w:pPr>
              <w:rPr>
                <w:bCs/>
                <w:lang w:val="en-AU"/>
              </w:rPr>
            </w:pPr>
            <w:r w:rsidRPr="00700241">
              <w:rPr>
                <w:bCs/>
                <w:lang w:val="en-AU"/>
              </w:rPr>
              <w:t>Owner</w:t>
            </w:r>
          </w:p>
        </w:tc>
      </w:tr>
      <w:tr w:rsidR="009202D1" w:rsidRPr="00700241" w14:paraId="2AD97471" w14:textId="77777777" w:rsidTr="008A76A1">
        <w:tc>
          <w:tcPr>
            <w:tcW w:w="3085" w:type="dxa"/>
          </w:tcPr>
          <w:p w14:paraId="1E4AD5ED" w14:textId="37D4CF81" w:rsidR="009202D1" w:rsidRPr="00700241" w:rsidRDefault="009202D1" w:rsidP="009202D1">
            <w:pPr>
              <w:rPr>
                <w:lang w:val="en-GB"/>
              </w:rPr>
            </w:pPr>
            <w:r w:rsidRPr="00700241">
              <w:rPr>
                <w:lang w:val="en-GB"/>
              </w:rPr>
              <w:t xml:space="preserve">OPI 2.1 &amp; </w:t>
            </w:r>
            <w:r w:rsidR="00E859F6" w:rsidRPr="00700241">
              <w:rPr>
                <w:lang w:val="en-GB"/>
              </w:rPr>
              <w:t>OPI</w:t>
            </w:r>
            <w:r w:rsidRPr="00700241">
              <w:rPr>
                <w:lang w:val="en-GB"/>
              </w:rPr>
              <w:t xml:space="preserve">2.2 </w:t>
            </w:r>
            <w:r w:rsidR="00130782" w:rsidRPr="00700241">
              <w:rPr>
                <w:lang w:val="en-GB"/>
              </w:rPr>
              <w:t>(</w:t>
            </w:r>
            <w:r w:rsidRPr="00700241">
              <w:rPr>
                <w:lang w:val="en-GB"/>
              </w:rPr>
              <w:t>in ha</w:t>
            </w:r>
            <w:r w:rsidR="00130782" w:rsidRPr="00700241">
              <w:rPr>
                <w:lang w:val="en-GB"/>
              </w:rPr>
              <w:t>)</w:t>
            </w:r>
          </w:p>
          <w:p w14:paraId="5B6E9D9B" w14:textId="51607D96" w:rsidR="00E859F6" w:rsidRPr="00700241" w:rsidRDefault="00E859F6" w:rsidP="009202D1">
            <w:pPr>
              <w:rPr>
                <w:lang w:val="en-GB"/>
              </w:rPr>
            </w:pPr>
            <w:r w:rsidRPr="00700241">
              <w:rPr>
                <w:lang w:val="en-GB"/>
              </w:rPr>
              <w:t xml:space="preserve">Sequestration factors </w:t>
            </w:r>
            <w:r w:rsidR="00130782" w:rsidRPr="00700241">
              <w:rPr>
                <w:lang w:val="en-GB"/>
              </w:rPr>
              <w:t>(in tCO</w:t>
            </w:r>
            <w:r w:rsidR="00130782" w:rsidRPr="00700241">
              <w:rPr>
                <w:vertAlign w:val="subscript"/>
                <w:lang w:val="en-GB"/>
              </w:rPr>
              <w:t>2</w:t>
            </w:r>
            <w:r w:rsidR="00130782" w:rsidRPr="00700241">
              <w:rPr>
                <w:lang w:val="en-GB"/>
              </w:rPr>
              <w:t>e/ha/year)</w:t>
            </w:r>
          </w:p>
        </w:tc>
        <w:tc>
          <w:tcPr>
            <w:tcW w:w="1588" w:type="dxa"/>
          </w:tcPr>
          <w:p w14:paraId="3DA11FC5" w14:textId="1C0A39AE" w:rsidR="009202D1" w:rsidRPr="00700241" w:rsidRDefault="009202D1" w:rsidP="008A76A1">
            <w:pPr>
              <w:jc w:val="center"/>
              <w:rPr>
                <w:lang w:val="en-AU"/>
              </w:rPr>
            </w:pPr>
            <w:r w:rsidRPr="00700241">
              <w:rPr>
                <w:lang w:val="en-AU"/>
              </w:rPr>
              <w:t>tCO</w:t>
            </w:r>
            <w:r w:rsidRPr="00700241">
              <w:rPr>
                <w:vertAlign w:val="subscript"/>
                <w:lang w:val="en-AU"/>
              </w:rPr>
              <w:t>2</w:t>
            </w:r>
            <w:r w:rsidRPr="00700241">
              <w:rPr>
                <w:lang w:val="en-AU"/>
              </w:rPr>
              <w:t>e</w:t>
            </w:r>
          </w:p>
        </w:tc>
        <w:tc>
          <w:tcPr>
            <w:tcW w:w="2806" w:type="dxa"/>
          </w:tcPr>
          <w:p w14:paraId="06992635" w14:textId="77777777" w:rsidR="009202D1" w:rsidRPr="00700241" w:rsidRDefault="009202D1" w:rsidP="009202D1">
            <w:pPr>
              <w:rPr>
                <w:lang w:val="en-AU"/>
              </w:rPr>
            </w:pPr>
            <w:r w:rsidRPr="00700241">
              <w:rPr>
                <w:lang w:val="en-AU"/>
              </w:rPr>
              <w:t xml:space="preserve">Client </w:t>
            </w:r>
          </w:p>
          <w:p w14:paraId="694CA7F3" w14:textId="29BE75EE" w:rsidR="008A76A1" w:rsidRPr="00700241" w:rsidRDefault="008A76A1" w:rsidP="009202D1">
            <w:pPr>
              <w:rPr>
                <w:lang w:val="en-AU"/>
              </w:rPr>
            </w:pPr>
            <w:r w:rsidRPr="00700241">
              <w:rPr>
                <w:lang w:val="en-AU"/>
              </w:rPr>
              <w:t>IPCC and other peer reviewed research</w:t>
            </w:r>
          </w:p>
        </w:tc>
        <w:tc>
          <w:tcPr>
            <w:tcW w:w="1322" w:type="dxa"/>
          </w:tcPr>
          <w:p w14:paraId="59A35607" w14:textId="77777777" w:rsidR="009202D1" w:rsidRPr="00700241" w:rsidRDefault="009202D1" w:rsidP="009202D1">
            <w:pPr>
              <w:rPr>
                <w:lang w:val="en-AU"/>
              </w:rPr>
            </w:pPr>
            <w:r w:rsidRPr="00700241">
              <w:rPr>
                <w:lang w:val="en-AU"/>
              </w:rPr>
              <w:t>Client</w:t>
            </w:r>
          </w:p>
          <w:p w14:paraId="16341143" w14:textId="063B4138" w:rsidR="008A76A1" w:rsidRPr="00700241" w:rsidRDefault="008A76A1" w:rsidP="009202D1">
            <w:pPr>
              <w:rPr>
                <w:lang w:val="en-AU"/>
              </w:rPr>
            </w:pPr>
            <w:r w:rsidRPr="00700241">
              <w:rPr>
                <w:lang w:val="en-AU"/>
              </w:rPr>
              <w:t>IPCC/&amp;Green</w:t>
            </w:r>
          </w:p>
          <w:p w14:paraId="3CD3F7E2" w14:textId="0ABEED54" w:rsidR="008A76A1" w:rsidRPr="00700241" w:rsidRDefault="008A76A1" w:rsidP="009202D1">
            <w:pPr>
              <w:rPr>
                <w:lang w:val="en-AU"/>
              </w:rPr>
            </w:pPr>
          </w:p>
        </w:tc>
      </w:tr>
    </w:tbl>
    <w:p w14:paraId="58D20670" w14:textId="77777777" w:rsidR="009202D1" w:rsidRPr="00700241" w:rsidRDefault="009202D1" w:rsidP="009202D1"/>
    <w:p w14:paraId="28CB1920" w14:textId="77777777" w:rsidR="009202D1" w:rsidRPr="00700241" w:rsidRDefault="009202D1" w:rsidP="00C576D1">
      <w:pPr>
        <w:pStyle w:val="Heading2simple"/>
      </w:pPr>
      <w:bookmarkStart w:id="20" w:name="_Toc103271290"/>
      <w:r w:rsidRPr="00700241">
        <w:t>OPI 3.3 Emissions stored</w:t>
      </w:r>
      <w:bookmarkEnd w:id="20"/>
    </w:p>
    <w:p w14:paraId="2AF1E6F2" w14:textId="1BA81671" w:rsidR="009202D1" w:rsidRPr="00700241" w:rsidRDefault="002415BB" w:rsidP="009202D1">
      <w:pPr>
        <w:rPr>
          <w:bCs/>
          <w:lang w:val="en-IE"/>
        </w:rPr>
      </w:pPr>
      <w:r w:rsidRPr="00700241">
        <w:rPr>
          <w:bCs/>
          <w:lang w:val="en-IE"/>
        </w:rPr>
        <w:t>#</w:t>
      </w:r>
      <w:r w:rsidR="009202D1" w:rsidRPr="00700241">
        <w:rPr>
          <w:bCs/>
          <w:lang w:val="en-IE"/>
        </w:rPr>
        <w:t>tCO</w:t>
      </w:r>
      <w:r w:rsidR="009202D1" w:rsidRPr="00700241">
        <w:rPr>
          <w:bCs/>
          <w:vertAlign w:val="subscript"/>
          <w:lang w:val="en-IE"/>
        </w:rPr>
        <w:t>2</w:t>
      </w:r>
      <w:r w:rsidR="009202D1" w:rsidRPr="00700241">
        <w:rPr>
          <w:bCs/>
          <w:lang w:val="en-IE"/>
        </w:rPr>
        <w:t>e stock in protected forest areas (</w:t>
      </w:r>
      <w:r w:rsidR="009F2B9B" w:rsidRPr="00700241">
        <w:rPr>
          <w:bCs/>
          <w:lang w:val="en-IE"/>
        </w:rPr>
        <w:t xml:space="preserve">from </w:t>
      </w:r>
      <w:r w:rsidR="009202D1" w:rsidRPr="00700241">
        <w:rPr>
          <w:bCs/>
          <w:lang w:val="en-IE"/>
        </w:rPr>
        <w:t>OPI 3.1 &amp; 3.2)</w:t>
      </w:r>
    </w:p>
    <w:p w14:paraId="74554AB9" w14:textId="77777777" w:rsidR="00EE1F83" w:rsidRPr="00700241" w:rsidRDefault="00663BED" w:rsidP="00663BED">
      <w:pPr>
        <w:rPr>
          <w:bCs/>
          <w:lang w:val="en-IE"/>
        </w:rPr>
      </w:pPr>
      <w:r w:rsidRPr="00700241">
        <w:rPr>
          <w:bCs/>
          <w:lang w:val="en-IE"/>
        </w:rPr>
        <w:t xml:space="preserve">OPI 3.3 reflects the </w:t>
      </w:r>
      <w:r w:rsidR="00AB2F7E" w:rsidRPr="00700241">
        <w:rPr>
          <w:bCs/>
          <w:lang w:val="en-IE"/>
        </w:rPr>
        <w:t>C</w:t>
      </w:r>
      <w:r w:rsidRPr="00700241">
        <w:rPr>
          <w:bCs/>
          <w:lang w:val="en-IE"/>
        </w:rPr>
        <w:t>arbon stock held in protected forests, and is a proxy for forest quality, since higher carbon stock forests are typically more biodiverse, with greater species and age profile diversity. OPI 3.3 represents ‘stock’ and is NOT summed with OPI 3.2 which represents ‘flux’.</w:t>
      </w:r>
    </w:p>
    <w:p w14:paraId="4DFE2D97" w14:textId="3A4DCC33" w:rsidR="00663BED" w:rsidRPr="00700241" w:rsidRDefault="00E12C33" w:rsidP="00663BED">
      <w:pPr>
        <w:rPr>
          <w:bCs/>
          <w:lang w:val="en-IE"/>
        </w:rPr>
      </w:pPr>
      <w:r w:rsidRPr="00700241">
        <w:rPr>
          <w:bCs/>
          <w:lang w:val="en-IE"/>
        </w:rPr>
        <w:t>OPI 3.3 is quantified using IPCC factors</w:t>
      </w:r>
      <w:r w:rsidR="00B27F8A" w:rsidRPr="00700241">
        <w:rPr>
          <w:bCs/>
          <w:vertAlign w:val="superscript"/>
        </w:rPr>
        <w:footnoteReference w:id="12"/>
      </w:r>
      <w:r w:rsidRPr="00700241">
        <w:rPr>
          <w:bCs/>
          <w:lang w:val="en-IE"/>
        </w:rPr>
        <w:t xml:space="preserve"> appropriately selected for biomass and carbon storage in protected forests, conservatively assessed</w:t>
      </w:r>
      <w:r w:rsidR="00F26BE7" w:rsidRPr="00700241">
        <w:rPr>
          <w:rStyle w:val="FootnoteReference"/>
          <w:bCs/>
          <w:lang w:val="en-IE"/>
        </w:rPr>
        <w:footnoteReference w:id="13"/>
      </w:r>
      <w:r w:rsidRPr="00700241">
        <w:rPr>
          <w:bCs/>
          <w:lang w:val="en-IE"/>
        </w:rPr>
        <w:t xml:space="preserve">. </w:t>
      </w:r>
      <w:r w:rsidR="00663BED" w:rsidRPr="00700241">
        <w:rPr>
          <w:bCs/>
          <w:lang w:val="en-IE"/>
        </w:rPr>
        <w:t xml:space="preserve">A hectare of degraded but protected and recovering forest might </w:t>
      </w:r>
      <w:r w:rsidR="00F353EC" w:rsidRPr="00700241">
        <w:rPr>
          <w:bCs/>
          <w:lang w:val="en-IE"/>
        </w:rPr>
        <w:t xml:space="preserve">initially </w:t>
      </w:r>
      <w:r w:rsidR="00663BED" w:rsidRPr="00700241">
        <w:rPr>
          <w:bCs/>
          <w:lang w:val="en-IE"/>
        </w:rPr>
        <w:t>store 400-700tCO</w:t>
      </w:r>
      <w:r w:rsidR="00663BED" w:rsidRPr="00700241">
        <w:rPr>
          <w:bCs/>
          <w:vertAlign w:val="subscript"/>
          <w:lang w:val="en-IE"/>
        </w:rPr>
        <w:t>2</w:t>
      </w:r>
      <w:r w:rsidR="00663BED" w:rsidRPr="00700241">
        <w:rPr>
          <w:bCs/>
          <w:lang w:val="en-IE"/>
        </w:rPr>
        <w:t>e/ha, while that same hectare might typically sequester 10-30tCO</w:t>
      </w:r>
      <w:r w:rsidR="00663BED" w:rsidRPr="00700241">
        <w:rPr>
          <w:bCs/>
          <w:vertAlign w:val="subscript"/>
          <w:lang w:val="en-IE"/>
        </w:rPr>
        <w:t>2</w:t>
      </w:r>
      <w:r w:rsidR="00663BED" w:rsidRPr="00700241">
        <w:rPr>
          <w:bCs/>
          <w:lang w:val="en-IE"/>
        </w:rPr>
        <w:t xml:space="preserve">e/ha/year. </w:t>
      </w:r>
    </w:p>
    <w:p w14:paraId="013E1C72" w14:textId="54239E01" w:rsidR="004D0EDC" w:rsidRPr="00700241" w:rsidRDefault="004D0EDC" w:rsidP="00663BED">
      <w:pPr>
        <w:rPr>
          <w:bCs/>
          <w:lang w:val="en-IE"/>
        </w:rPr>
      </w:pPr>
      <w:r w:rsidRPr="00700241">
        <w:rPr>
          <w:bCs/>
          <w:lang w:val="en-IE"/>
        </w:rPr>
        <w:t xml:space="preserve">OPI3.3 is cumulative: </w:t>
      </w:r>
      <w:r w:rsidR="00803D5C" w:rsidRPr="00700241">
        <w:rPr>
          <w:bCs/>
          <w:lang w:val="en-IE"/>
        </w:rPr>
        <w:t xml:space="preserve">with the annual sequestration (per ha) added to the storage (per ha). For example, if a hectare of forest is assessed as having </w:t>
      </w:r>
      <w:r w:rsidR="001965A7" w:rsidRPr="00700241">
        <w:rPr>
          <w:bCs/>
          <w:lang w:val="en-IE"/>
        </w:rPr>
        <w:t>500tCO</w:t>
      </w:r>
      <w:r w:rsidR="001965A7" w:rsidRPr="00700241">
        <w:rPr>
          <w:bCs/>
          <w:vertAlign w:val="subscript"/>
          <w:lang w:val="en-IE"/>
        </w:rPr>
        <w:t>2</w:t>
      </w:r>
      <w:r w:rsidR="001965A7" w:rsidRPr="00700241">
        <w:rPr>
          <w:bCs/>
          <w:lang w:val="en-IE"/>
        </w:rPr>
        <w:t xml:space="preserve">e stock in the baseline year (when </w:t>
      </w:r>
      <w:r w:rsidR="00197E2F" w:rsidRPr="00700241">
        <w:rPr>
          <w:bCs/>
          <w:lang w:val="en-IE"/>
        </w:rPr>
        <w:t xml:space="preserve">the </w:t>
      </w:r>
      <w:r w:rsidR="001965A7" w:rsidRPr="00700241">
        <w:rPr>
          <w:bCs/>
          <w:lang w:val="en-IE"/>
        </w:rPr>
        <w:t xml:space="preserve">forest </w:t>
      </w:r>
      <w:r w:rsidR="00197E2F" w:rsidRPr="00700241">
        <w:rPr>
          <w:bCs/>
          <w:lang w:val="en-IE"/>
        </w:rPr>
        <w:t xml:space="preserve">is </w:t>
      </w:r>
      <w:r w:rsidR="001965A7" w:rsidRPr="00700241">
        <w:rPr>
          <w:bCs/>
          <w:lang w:val="en-IE"/>
        </w:rPr>
        <w:t>protect</w:t>
      </w:r>
      <w:r w:rsidR="00197E2F" w:rsidRPr="00700241">
        <w:rPr>
          <w:bCs/>
          <w:lang w:val="en-IE"/>
        </w:rPr>
        <w:t xml:space="preserve">ed), and </w:t>
      </w:r>
      <w:r w:rsidR="00B10D2F" w:rsidRPr="00700241">
        <w:rPr>
          <w:bCs/>
          <w:lang w:val="en-IE"/>
        </w:rPr>
        <w:t>20tCO</w:t>
      </w:r>
      <w:r w:rsidR="00B10D2F" w:rsidRPr="00700241">
        <w:rPr>
          <w:bCs/>
          <w:vertAlign w:val="subscript"/>
          <w:lang w:val="en-IE"/>
        </w:rPr>
        <w:t>2</w:t>
      </w:r>
      <w:r w:rsidR="00B10D2F" w:rsidRPr="00700241">
        <w:rPr>
          <w:bCs/>
          <w:lang w:val="en-IE"/>
        </w:rPr>
        <w:t>e/ha/year sequestration rate, OPI3.3 for that hectare will be reported</w:t>
      </w:r>
      <w:r w:rsidR="000E5980" w:rsidRPr="00700241">
        <w:rPr>
          <w:rStyle w:val="FootnoteReference"/>
          <w:bCs/>
          <w:lang w:val="en-IE"/>
        </w:rPr>
        <w:footnoteReference w:id="14"/>
      </w:r>
      <w:r w:rsidR="00B10D2F" w:rsidRPr="00700241">
        <w:rPr>
          <w:bCs/>
          <w:lang w:val="en-IE"/>
        </w:rPr>
        <w:t xml:space="preserve"> as</w:t>
      </w:r>
      <w:r w:rsidR="004A7049" w:rsidRPr="00700241">
        <w:rPr>
          <w:bCs/>
          <w:lang w:val="en-IE"/>
        </w:rPr>
        <w:t xml:space="preserve">: year 1 </w:t>
      </w:r>
      <w:r w:rsidR="00DA1232" w:rsidRPr="00700241">
        <w:rPr>
          <w:bCs/>
          <w:lang w:val="en-IE"/>
        </w:rPr>
        <w:t xml:space="preserve">(baseline) </w:t>
      </w:r>
      <w:r w:rsidR="004A7049" w:rsidRPr="00700241">
        <w:rPr>
          <w:bCs/>
          <w:lang w:val="en-IE"/>
        </w:rPr>
        <w:t>– 500tCO</w:t>
      </w:r>
      <w:r w:rsidR="004A7049" w:rsidRPr="00700241">
        <w:rPr>
          <w:bCs/>
          <w:vertAlign w:val="subscript"/>
          <w:lang w:val="en-IE"/>
        </w:rPr>
        <w:t>2</w:t>
      </w:r>
      <w:r w:rsidR="004A7049" w:rsidRPr="00700241">
        <w:rPr>
          <w:bCs/>
          <w:lang w:val="en-IE"/>
        </w:rPr>
        <w:t xml:space="preserve">e; year </w:t>
      </w:r>
      <w:r w:rsidR="00DA1232" w:rsidRPr="00700241">
        <w:rPr>
          <w:bCs/>
          <w:lang w:val="en-IE"/>
        </w:rPr>
        <w:t>2</w:t>
      </w:r>
      <w:r w:rsidR="004A7049" w:rsidRPr="00700241">
        <w:rPr>
          <w:bCs/>
          <w:lang w:val="en-IE"/>
        </w:rPr>
        <w:t xml:space="preserve"> – 5</w:t>
      </w:r>
      <w:r w:rsidR="00DA1232" w:rsidRPr="00700241">
        <w:rPr>
          <w:bCs/>
          <w:lang w:val="en-IE"/>
        </w:rPr>
        <w:t>2</w:t>
      </w:r>
      <w:r w:rsidR="004A7049" w:rsidRPr="00700241">
        <w:rPr>
          <w:bCs/>
          <w:lang w:val="en-IE"/>
        </w:rPr>
        <w:t>0tCO</w:t>
      </w:r>
      <w:r w:rsidR="004A7049" w:rsidRPr="00700241">
        <w:rPr>
          <w:bCs/>
          <w:vertAlign w:val="subscript"/>
          <w:lang w:val="en-IE"/>
        </w:rPr>
        <w:t>2</w:t>
      </w:r>
      <w:r w:rsidR="004A7049" w:rsidRPr="00700241">
        <w:rPr>
          <w:bCs/>
          <w:lang w:val="en-IE"/>
        </w:rPr>
        <w:t xml:space="preserve">e; year </w:t>
      </w:r>
      <w:r w:rsidR="00DA1232" w:rsidRPr="00700241">
        <w:rPr>
          <w:bCs/>
          <w:lang w:val="en-IE"/>
        </w:rPr>
        <w:t>3</w:t>
      </w:r>
      <w:r w:rsidR="004A7049" w:rsidRPr="00700241">
        <w:rPr>
          <w:bCs/>
          <w:lang w:val="en-IE"/>
        </w:rPr>
        <w:t xml:space="preserve"> – 5</w:t>
      </w:r>
      <w:r w:rsidR="00DA1232" w:rsidRPr="00700241">
        <w:rPr>
          <w:bCs/>
          <w:lang w:val="en-IE"/>
        </w:rPr>
        <w:t>4</w:t>
      </w:r>
      <w:r w:rsidR="004A7049" w:rsidRPr="00700241">
        <w:rPr>
          <w:bCs/>
          <w:lang w:val="en-IE"/>
        </w:rPr>
        <w:t>0tCO</w:t>
      </w:r>
      <w:r w:rsidR="004A7049" w:rsidRPr="00700241">
        <w:rPr>
          <w:bCs/>
          <w:vertAlign w:val="subscript"/>
          <w:lang w:val="en-IE"/>
        </w:rPr>
        <w:t>2</w:t>
      </w:r>
      <w:r w:rsidR="004A7049" w:rsidRPr="00700241">
        <w:rPr>
          <w:bCs/>
          <w:lang w:val="en-IE"/>
        </w:rPr>
        <w:t xml:space="preserve">e; etcetera. </w:t>
      </w:r>
    </w:p>
    <w:p w14:paraId="1543B34C" w14:textId="2EB2D08E" w:rsidR="00AE636A" w:rsidRPr="00700241" w:rsidRDefault="00723B46" w:rsidP="009202D1">
      <w:pPr>
        <w:rPr>
          <w:bCs/>
          <w:lang w:val="en-IE"/>
        </w:rPr>
      </w:pPr>
      <w:r w:rsidRPr="00700241">
        <w:rPr>
          <w:bCs/>
          <w:lang w:val="en-IE"/>
        </w:rPr>
        <w:t xml:space="preserve">Any reversals </w:t>
      </w:r>
      <w:r w:rsidR="003221EC" w:rsidRPr="00700241">
        <w:rPr>
          <w:bCs/>
          <w:lang w:val="en-IE"/>
        </w:rPr>
        <w:t>are</w:t>
      </w:r>
      <w:r w:rsidRPr="00700241">
        <w:rPr>
          <w:bCs/>
          <w:lang w:val="en-IE"/>
        </w:rPr>
        <w:t xml:space="preserve"> reported and deducted from </w:t>
      </w:r>
      <w:r w:rsidR="00040D8C" w:rsidRPr="00700241">
        <w:rPr>
          <w:bCs/>
          <w:lang w:val="en-IE"/>
        </w:rPr>
        <w:t xml:space="preserve">total Carbon stock. </w:t>
      </w:r>
    </w:p>
    <w:tbl>
      <w:tblPr>
        <w:tblStyle w:val="TableGrid"/>
        <w:tblpPr w:leftFromText="180" w:rightFromText="180" w:vertAnchor="text" w:tblpY="39"/>
        <w:tblW w:w="8801" w:type="dxa"/>
        <w:tblLook w:val="04A0" w:firstRow="1" w:lastRow="0" w:firstColumn="1" w:lastColumn="0" w:noHBand="0" w:noVBand="1"/>
      </w:tblPr>
      <w:tblGrid>
        <w:gridCol w:w="3056"/>
        <w:gridCol w:w="1576"/>
        <w:gridCol w:w="2773"/>
        <w:gridCol w:w="1396"/>
      </w:tblGrid>
      <w:tr w:rsidR="00036091" w:rsidRPr="00700241" w14:paraId="05D19987" w14:textId="77777777" w:rsidTr="00A41311">
        <w:trPr>
          <w:cnfStyle w:val="100000000000" w:firstRow="1" w:lastRow="0" w:firstColumn="0" w:lastColumn="0" w:oddVBand="0" w:evenVBand="0" w:oddHBand="0" w:evenHBand="0" w:firstRowFirstColumn="0" w:firstRowLastColumn="0" w:lastRowFirstColumn="0" w:lastRowLastColumn="0"/>
        </w:trPr>
        <w:tc>
          <w:tcPr>
            <w:tcW w:w="3085" w:type="dxa"/>
          </w:tcPr>
          <w:p w14:paraId="64DA746C" w14:textId="77777777" w:rsidR="00B554BF" w:rsidRPr="00700241" w:rsidRDefault="00B554BF" w:rsidP="00A41311">
            <w:pPr>
              <w:rPr>
                <w:bCs/>
                <w:lang w:val="en-AU"/>
              </w:rPr>
            </w:pPr>
            <w:r w:rsidRPr="00700241">
              <w:rPr>
                <w:bCs/>
                <w:lang w:val="en-AU"/>
              </w:rPr>
              <w:t>Data pointS</w:t>
            </w:r>
          </w:p>
        </w:tc>
        <w:tc>
          <w:tcPr>
            <w:tcW w:w="1588" w:type="dxa"/>
          </w:tcPr>
          <w:p w14:paraId="2BB14C52" w14:textId="77777777" w:rsidR="00B554BF" w:rsidRPr="00700241" w:rsidRDefault="00B554BF" w:rsidP="00A41311">
            <w:pPr>
              <w:rPr>
                <w:bCs/>
                <w:lang w:val="en-AU"/>
              </w:rPr>
            </w:pPr>
            <w:r w:rsidRPr="00700241">
              <w:rPr>
                <w:bCs/>
                <w:lang w:val="en-AU"/>
              </w:rPr>
              <w:t>Metric</w:t>
            </w:r>
          </w:p>
        </w:tc>
        <w:tc>
          <w:tcPr>
            <w:tcW w:w="2806" w:type="dxa"/>
          </w:tcPr>
          <w:p w14:paraId="4BC9ADA5" w14:textId="77777777" w:rsidR="00B554BF" w:rsidRPr="00700241" w:rsidRDefault="00B554BF" w:rsidP="00A41311">
            <w:pPr>
              <w:rPr>
                <w:bCs/>
                <w:lang w:val="en-AU"/>
              </w:rPr>
            </w:pPr>
            <w:r w:rsidRPr="00700241">
              <w:rPr>
                <w:bCs/>
                <w:lang w:val="en-AU"/>
              </w:rPr>
              <w:t>Data source</w:t>
            </w:r>
          </w:p>
        </w:tc>
        <w:tc>
          <w:tcPr>
            <w:tcW w:w="1322" w:type="dxa"/>
          </w:tcPr>
          <w:p w14:paraId="13177434" w14:textId="77777777" w:rsidR="00B554BF" w:rsidRPr="00700241" w:rsidRDefault="00B554BF" w:rsidP="00A41311">
            <w:pPr>
              <w:rPr>
                <w:bCs/>
                <w:lang w:val="en-AU"/>
              </w:rPr>
            </w:pPr>
            <w:r w:rsidRPr="00700241">
              <w:rPr>
                <w:bCs/>
                <w:lang w:val="en-AU"/>
              </w:rPr>
              <w:t>Owner</w:t>
            </w:r>
          </w:p>
        </w:tc>
      </w:tr>
      <w:tr w:rsidR="00036091" w:rsidRPr="00700241" w14:paraId="2F09540D" w14:textId="77777777" w:rsidTr="00A41311">
        <w:tc>
          <w:tcPr>
            <w:tcW w:w="3085" w:type="dxa"/>
          </w:tcPr>
          <w:p w14:paraId="54FB9114" w14:textId="77777777" w:rsidR="00B554BF" w:rsidRPr="00700241" w:rsidRDefault="00B554BF" w:rsidP="00A41311">
            <w:pPr>
              <w:rPr>
                <w:lang w:val="en-GB"/>
              </w:rPr>
            </w:pPr>
            <w:r w:rsidRPr="00700241">
              <w:rPr>
                <w:lang w:val="en-GB"/>
              </w:rPr>
              <w:t>OPI 2.1 &amp; OPI2.2 (in ha)</w:t>
            </w:r>
          </w:p>
          <w:p w14:paraId="49A71320" w14:textId="341460D8" w:rsidR="00036091" w:rsidRPr="00700241" w:rsidRDefault="00036091" w:rsidP="00A41311">
            <w:pPr>
              <w:rPr>
                <w:lang w:val="en-GB"/>
              </w:rPr>
            </w:pPr>
            <w:r w:rsidRPr="00700241">
              <w:rPr>
                <w:lang w:val="en-GB"/>
              </w:rPr>
              <w:t xml:space="preserve">Carbon storage factors </w:t>
            </w:r>
            <w:r w:rsidR="00FF2F77" w:rsidRPr="00700241">
              <w:rPr>
                <w:lang w:val="en-GB"/>
              </w:rPr>
              <w:t>for baseline</w:t>
            </w:r>
            <w:r w:rsidRPr="00700241">
              <w:rPr>
                <w:lang w:val="en-GB"/>
              </w:rPr>
              <w:t xml:space="preserve"> (in tCO</w:t>
            </w:r>
            <w:r w:rsidRPr="00700241">
              <w:rPr>
                <w:vertAlign w:val="subscript"/>
                <w:lang w:val="en-GB"/>
              </w:rPr>
              <w:t>2</w:t>
            </w:r>
            <w:r w:rsidRPr="00700241">
              <w:rPr>
                <w:lang w:val="en-GB"/>
              </w:rPr>
              <w:t>e/ha)</w:t>
            </w:r>
          </w:p>
          <w:p w14:paraId="51F99F94" w14:textId="01DA7D4A" w:rsidR="00B554BF" w:rsidRPr="00700241" w:rsidRDefault="00B554BF" w:rsidP="00A41311">
            <w:pPr>
              <w:rPr>
                <w:lang w:val="en-GB"/>
              </w:rPr>
            </w:pPr>
            <w:r w:rsidRPr="00700241">
              <w:rPr>
                <w:lang w:val="en-GB"/>
              </w:rPr>
              <w:t xml:space="preserve">Sequestration factors </w:t>
            </w:r>
            <w:r w:rsidR="0083357E" w:rsidRPr="00700241">
              <w:rPr>
                <w:lang w:val="en-GB"/>
              </w:rPr>
              <w:t xml:space="preserve">from OPI3.2 </w:t>
            </w:r>
            <w:r w:rsidRPr="00700241">
              <w:rPr>
                <w:lang w:val="en-GB"/>
              </w:rPr>
              <w:t>(in tCO</w:t>
            </w:r>
            <w:r w:rsidRPr="00700241">
              <w:rPr>
                <w:vertAlign w:val="subscript"/>
                <w:lang w:val="en-GB"/>
              </w:rPr>
              <w:t>2</w:t>
            </w:r>
            <w:r w:rsidRPr="00700241">
              <w:rPr>
                <w:lang w:val="en-GB"/>
              </w:rPr>
              <w:t>e/ha/year)</w:t>
            </w:r>
          </w:p>
        </w:tc>
        <w:tc>
          <w:tcPr>
            <w:tcW w:w="1588" w:type="dxa"/>
          </w:tcPr>
          <w:p w14:paraId="706BDF82" w14:textId="77777777" w:rsidR="00B554BF" w:rsidRPr="00700241" w:rsidRDefault="00B554BF" w:rsidP="00A41311">
            <w:pPr>
              <w:jc w:val="center"/>
              <w:rPr>
                <w:lang w:val="en-AU"/>
              </w:rPr>
            </w:pPr>
            <w:r w:rsidRPr="00700241">
              <w:rPr>
                <w:lang w:val="en-AU"/>
              </w:rPr>
              <w:t>tCO</w:t>
            </w:r>
            <w:r w:rsidRPr="00700241">
              <w:rPr>
                <w:vertAlign w:val="subscript"/>
                <w:lang w:val="en-AU"/>
              </w:rPr>
              <w:t>2</w:t>
            </w:r>
            <w:r w:rsidRPr="00700241">
              <w:rPr>
                <w:lang w:val="en-AU"/>
              </w:rPr>
              <w:t>e</w:t>
            </w:r>
          </w:p>
        </w:tc>
        <w:tc>
          <w:tcPr>
            <w:tcW w:w="2806" w:type="dxa"/>
          </w:tcPr>
          <w:p w14:paraId="756A69E5" w14:textId="77777777" w:rsidR="00B554BF" w:rsidRPr="00700241" w:rsidRDefault="00B554BF" w:rsidP="00A41311">
            <w:pPr>
              <w:rPr>
                <w:lang w:val="en-AU"/>
              </w:rPr>
            </w:pPr>
            <w:r w:rsidRPr="00700241">
              <w:rPr>
                <w:lang w:val="en-AU"/>
              </w:rPr>
              <w:t xml:space="preserve">Client </w:t>
            </w:r>
          </w:p>
          <w:p w14:paraId="0E6D7725" w14:textId="77777777" w:rsidR="00B554BF" w:rsidRPr="00700241" w:rsidRDefault="00B554BF" w:rsidP="00A41311">
            <w:pPr>
              <w:rPr>
                <w:lang w:val="en-AU"/>
              </w:rPr>
            </w:pPr>
            <w:r w:rsidRPr="00700241">
              <w:rPr>
                <w:lang w:val="en-AU"/>
              </w:rPr>
              <w:t>IPCC and other peer reviewed research</w:t>
            </w:r>
          </w:p>
        </w:tc>
        <w:tc>
          <w:tcPr>
            <w:tcW w:w="1322" w:type="dxa"/>
          </w:tcPr>
          <w:p w14:paraId="18809126" w14:textId="77777777" w:rsidR="00B554BF" w:rsidRPr="00700241" w:rsidRDefault="00B554BF" w:rsidP="00A41311">
            <w:pPr>
              <w:rPr>
                <w:lang w:val="en-AU"/>
              </w:rPr>
            </w:pPr>
            <w:r w:rsidRPr="00700241">
              <w:rPr>
                <w:lang w:val="en-AU"/>
              </w:rPr>
              <w:t>Client</w:t>
            </w:r>
          </w:p>
          <w:p w14:paraId="174D15F4" w14:textId="77777777" w:rsidR="00B554BF" w:rsidRPr="00700241" w:rsidRDefault="00B554BF" w:rsidP="00A41311">
            <w:pPr>
              <w:rPr>
                <w:lang w:val="en-AU"/>
              </w:rPr>
            </w:pPr>
            <w:r w:rsidRPr="00700241">
              <w:rPr>
                <w:lang w:val="en-AU"/>
              </w:rPr>
              <w:t>IPCC/&amp;Green</w:t>
            </w:r>
          </w:p>
          <w:p w14:paraId="034FFF7F" w14:textId="77777777" w:rsidR="00B554BF" w:rsidRPr="00700241" w:rsidRDefault="00B554BF" w:rsidP="00A41311">
            <w:pPr>
              <w:rPr>
                <w:lang w:val="en-AU"/>
              </w:rPr>
            </w:pPr>
          </w:p>
        </w:tc>
      </w:tr>
    </w:tbl>
    <w:p w14:paraId="13113481" w14:textId="77777777" w:rsidR="00BA39D4" w:rsidRPr="00700241" w:rsidRDefault="00BA39D4">
      <w:pPr>
        <w:spacing w:after="100"/>
        <w:rPr>
          <w:rFonts w:eastAsiaTheme="minorEastAsia"/>
          <w:b/>
          <w:bCs/>
          <w:color w:val="034427"/>
          <w:spacing w:val="15"/>
          <w:sz w:val="24"/>
          <w:szCs w:val="28"/>
          <w:lang w:val="en-IE"/>
        </w:rPr>
      </w:pPr>
      <w:r w:rsidRPr="00700241">
        <w:br w:type="page"/>
      </w:r>
    </w:p>
    <w:p w14:paraId="28F75266" w14:textId="03245D1E" w:rsidR="009202D1" w:rsidRPr="00700241" w:rsidRDefault="001E3AC1" w:rsidP="000A0F4A">
      <w:pPr>
        <w:pStyle w:val="GreenHeading1"/>
      </w:pPr>
      <w:bookmarkStart w:id="21" w:name="_Toc103271291"/>
      <w:r w:rsidRPr="00700241">
        <w:t xml:space="preserve">PRODUCTION: </w:t>
      </w:r>
      <w:r w:rsidR="009202D1" w:rsidRPr="00700241">
        <w:t>KPI 4 - ECOSYSTEMS WITH IMPROVED RESILIENCE</w:t>
      </w:r>
      <w:bookmarkEnd w:id="21"/>
    </w:p>
    <w:p w14:paraId="29A6E101" w14:textId="5842BD87" w:rsidR="009202D1" w:rsidRPr="00E90197" w:rsidRDefault="009202D1" w:rsidP="009202D1">
      <w:pPr>
        <w:rPr>
          <w:b/>
          <w:noProof/>
          <w:color w:val="034427"/>
          <w:lang w:val="en-AU"/>
        </w:rPr>
      </w:pPr>
      <w:r w:rsidRPr="00700241">
        <w:rPr>
          <w:rStyle w:val="Wordboldgreen"/>
          <w:lang w:val="en-AU"/>
        </w:rPr>
        <w:t>KPI4: #ha of Ecosystems with improved resilience</w:t>
      </w:r>
      <w:r w:rsidR="00E90197">
        <w:rPr>
          <w:rStyle w:val="Wordboldgreen"/>
          <w:lang w:val="en-AU"/>
        </w:rPr>
        <w:t xml:space="preserve"> </w:t>
      </w:r>
      <w:r w:rsidR="007D5C83">
        <w:rPr>
          <w:lang w:val="en-AU"/>
        </w:rPr>
        <w:t>mo</w:t>
      </w:r>
      <w:r w:rsidRPr="00700241">
        <w:rPr>
          <w:lang w:val="en-AU"/>
        </w:rPr>
        <w:t xml:space="preserve">nitors the area </w:t>
      </w:r>
      <w:r w:rsidR="00847898" w:rsidRPr="00700241">
        <w:rPr>
          <w:lang w:val="en-AU"/>
        </w:rPr>
        <w:t xml:space="preserve">in hectares </w:t>
      </w:r>
      <w:r w:rsidRPr="00700241">
        <w:rPr>
          <w:lang w:val="en-AU"/>
        </w:rPr>
        <w:t xml:space="preserve">of land rehabilitated, restored </w:t>
      </w:r>
      <w:r w:rsidR="00847898" w:rsidRPr="00700241">
        <w:rPr>
          <w:lang w:val="en-AU"/>
        </w:rPr>
        <w:t>and/</w:t>
      </w:r>
      <w:r w:rsidRPr="00700241">
        <w:rPr>
          <w:lang w:val="en-AU"/>
        </w:rPr>
        <w:t>or protected, made up of the: area of forest protected (KPI2); plus, area of non-forest ecosystems restored or improved</w:t>
      </w:r>
      <w:r w:rsidR="001F24D5" w:rsidRPr="00700241">
        <w:rPr>
          <w:lang w:val="en-AU"/>
        </w:rPr>
        <w:t xml:space="preserve"> (OPI4.5a)</w:t>
      </w:r>
      <w:r w:rsidRPr="00700241">
        <w:rPr>
          <w:lang w:val="en-AU"/>
        </w:rPr>
        <w:t xml:space="preserve">; plus, areas of degraded land restored through regenerative agriculture, </w:t>
      </w:r>
      <w:proofErr w:type="spellStart"/>
      <w:r w:rsidRPr="00700241">
        <w:rPr>
          <w:lang w:val="en-AU"/>
        </w:rPr>
        <w:t>silvo</w:t>
      </w:r>
      <w:proofErr w:type="spellEnd"/>
      <w:r w:rsidRPr="00700241">
        <w:rPr>
          <w:lang w:val="en-AU"/>
        </w:rPr>
        <w:t xml:space="preserve">-pastoral </w:t>
      </w:r>
      <w:proofErr w:type="gramStart"/>
      <w:r w:rsidRPr="00700241">
        <w:rPr>
          <w:lang w:val="en-AU"/>
        </w:rPr>
        <w:t>agriculture</w:t>
      </w:r>
      <w:proofErr w:type="gramEnd"/>
      <w:r w:rsidRPr="00700241">
        <w:rPr>
          <w:lang w:val="en-AU"/>
        </w:rPr>
        <w:t xml:space="preserve"> or agroforestry</w:t>
      </w:r>
      <w:r w:rsidR="00265E2C" w:rsidRPr="00700241">
        <w:rPr>
          <w:lang w:val="en-AU"/>
        </w:rPr>
        <w:t xml:space="preserve"> (OPI4.5b)</w:t>
      </w:r>
      <w:r w:rsidRPr="00700241">
        <w:rPr>
          <w:lang w:val="en-AU"/>
        </w:rPr>
        <w:t>.</w:t>
      </w:r>
    </w:p>
    <w:p w14:paraId="1B828218" w14:textId="7B22B2E7" w:rsidR="00A56F94" w:rsidRPr="00700241" w:rsidRDefault="00A56F94" w:rsidP="009202D1">
      <w:pPr>
        <w:rPr>
          <w:b/>
          <w:bCs/>
          <w:lang w:val="en-AU"/>
        </w:rPr>
      </w:pPr>
      <w:r w:rsidRPr="00700241">
        <w:rPr>
          <w:lang w:val="en-AU"/>
        </w:rPr>
        <w:t xml:space="preserve">That is, KPI4 in #ha = KPI2 + OPI4.5a + OPI4.5b. </w:t>
      </w:r>
    </w:p>
    <w:p w14:paraId="187BC83C" w14:textId="05D1BC08" w:rsidR="009202D1" w:rsidRPr="00700241" w:rsidRDefault="00D07D71" w:rsidP="009202D1">
      <w:pPr>
        <w:rPr>
          <w:lang w:val="en-AU"/>
        </w:rPr>
      </w:pPr>
      <w:r w:rsidRPr="00700241">
        <w:rPr>
          <w:lang w:val="en-IE"/>
        </w:rPr>
        <w:t>P</w:t>
      </w:r>
      <w:r w:rsidR="006410E8" w:rsidRPr="00700241">
        <w:rPr>
          <w:lang w:val="en-IE"/>
        </w:rPr>
        <w:t xml:space="preserve">roduction OPIs are important for cross-checks and may </w:t>
      </w:r>
      <w:r w:rsidR="002A45A1" w:rsidRPr="00700241">
        <w:rPr>
          <w:lang w:val="en-IE"/>
        </w:rPr>
        <w:t xml:space="preserve">be proxy indicators for KPI 1: Transformational Change, particularly OPI1.2 Scale. </w:t>
      </w:r>
      <w:r w:rsidR="006410E8" w:rsidRPr="00700241">
        <w:rPr>
          <w:lang w:val="en-IE"/>
        </w:rPr>
        <w:t xml:space="preserve"> </w:t>
      </w:r>
      <w:r w:rsidR="002A45A1" w:rsidRPr="00700241">
        <w:rPr>
          <w:lang w:val="en-IE"/>
        </w:rPr>
        <w:t>The suite of Production OPIs include</w:t>
      </w:r>
      <w:r w:rsidRPr="00700241">
        <w:rPr>
          <w:lang w:val="en-IE"/>
        </w:rPr>
        <w:t>:</w:t>
      </w:r>
    </w:p>
    <w:p w14:paraId="5FBD62C9" w14:textId="77777777" w:rsidR="009202D1" w:rsidRPr="00700241" w:rsidRDefault="009202D1" w:rsidP="009202D1">
      <w:pPr>
        <w:numPr>
          <w:ilvl w:val="0"/>
          <w:numId w:val="20"/>
        </w:numPr>
        <w:rPr>
          <w:lang w:val="en-AU"/>
        </w:rPr>
      </w:pPr>
      <w:r w:rsidRPr="00700241">
        <w:rPr>
          <w:lang w:val="en-AU"/>
        </w:rPr>
        <w:t xml:space="preserve">4.1a Increase in yield </w:t>
      </w:r>
    </w:p>
    <w:p w14:paraId="7F83B3AC" w14:textId="77777777" w:rsidR="009202D1" w:rsidRPr="00700241" w:rsidRDefault="009202D1" w:rsidP="009202D1">
      <w:pPr>
        <w:numPr>
          <w:ilvl w:val="0"/>
          <w:numId w:val="20"/>
        </w:numPr>
        <w:rPr>
          <w:lang w:val="en-AU"/>
        </w:rPr>
      </w:pPr>
      <w:r w:rsidRPr="00700241">
        <w:rPr>
          <w:lang w:val="en-AU"/>
        </w:rPr>
        <w:t>4.1b Yield gap over sector average</w:t>
      </w:r>
    </w:p>
    <w:p w14:paraId="7A90DAF2" w14:textId="77777777" w:rsidR="009202D1" w:rsidRPr="00700241" w:rsidRDefault="009202D1" w:rsidP="009202D1">
      <w:pPr>
        <w:numPr>
          <w:ilvl w:val="0"/>
          <w:numId w:val="20"/>
        </w:numPr>
        <w:rPr>
          <w:lang w:val="en-AU"/>
        </w:rPr>
      </w:pPr>
      <w:r w:rsidRPr="00700241">
        <w:rPr>
          <w:lang w:val="en-AU"/>
        </w:rPr>
        <w:t>4.2 Avoided deforestation in supply shed</w:t>
      </w:r>
    </w:p>
    <w:p w14:paraId="222C73B9" w14:textId="77777777" w:rsidR="009202D1" w:rsidRPr="00700241" w:rsidRDefault="009202D1" w:rsidP="009202D1">
      <w:pPr>
        <w:numPr>
          <w:ilvl w:val="0"/>
          <w:numId w:val="20"/>
        </w:numPr>
        <w:rPr>
          <w:lang w:val="en-AU"/>
        </w:rPr>
      </w:pPr>
      <w:r w:rsidRPr="00700241">
        <w:rPr>
          <w:lang w:val="en-AU"/>
        </w:rPr>
        <w:t xml:space="preserve">4.3 Avoided emissions </w:t>
      </w:r>
    </w:p>
    <w:p w14:paraId="1E6032C9" w14:textId="77777777" w:rsidR="009202D1" w:rsidRPr="00700241" w:rsidRDefault="009202D1" w:rsidP="009202D1">
      <w:pPr>
        <w:numPr>
          <w:ilvl w:val="0"/>
          <w:numId w:val="20"/>
        </w:numPr>
        <w:rPr>
          <w:lang w:val="en-AU"/>
        </w:rPr>
      </w:pPr>
      <w:r w:rsidRPr="00700241">
        <w:rPr>
          <w:lang w:val="en-AU"/>
        </w:rPr>
        <w:t>4.4 Agricultural land under cultivation</w:t>
      </w:r>
    </w:p>
    <w:p w14:paraId="6B8913CC" w14:textId="60ED4AE3" w:rsidR="009202D1" w:rsidRPr="00700241" w:rsidRDefault="009202D1" w:rsidP="009202D1">
      <w:pPr>
        <w:numPr>
          <w:ilvl w:val="0"/>
          <w:numId w:val="20"/>
        </w:numPr>
        <w:rPr>
          <w:lang w:val="en-AU"/>
        </w:rPr>
      </w:pPr>
      <w:r w:rsidRPr="00700241">
        <w:rPr>
          <w:lang w:val="en-AU"/>
        </w:rPr>
        <w:t>4.5</w:t>
      </w:r>
      <w:r w:rsidR="008C50ED" w:rsidRPr="00700241">
        <w:rPr>
          <w:lang w:val="en-AU"/>
        </w:rPr>
        <w:t>a</w:t>
      </w:r>
      <w:r w:rsidRPr="00700241">
        <w:rPr>
          <w:lang w:val="en-AU"/>
        </w:rPr>
        <w:t xml:space="preserve"> Land Sustainably Intensified </w:t>
      </w:r>
    </w:p>
    <w:p w14:paraId="04C95D98" w14:textId="74C14B6E" w:rsidR="009202D1" w:rsidRPr="00700241" w:rsidRDefault="009202D1" w:rsidP="009202D1">
      <w:pPr>
        <w:numPr>
          <w:ilvl w:val="0"/>
          <w:numId w:val="20"/>
        </w:numPr>
        <w:rPr>
          <w:lang w:val="en-AU"/>
        </w:rPr>
      </w:pPr>
      <w:r w:rsidRPr="00700241">
        <w:rPr>
          <w:lang w:val="en-AU"/>
        </w:rPr>
        <w:t>4.5</w:t>
      </w:r>
      <w:r w:rsidR="008C50ED" w:rsidRPr="00700241">
        <w:rPr>
          <w:lang w:val="en-AU"/>
        </w:rPr>
        <w:t>b</w:t>
      </w:r>
      <w:r w:rsidRPr="00700241">
        <w:rPr>
          <w:lang w:val="en-AU"/>
        </w:rPr>
        <w:t xml:space="preserve"> Land restored to productive</w:t>
      </w:r>
    </w:p>
    <w:p w14:paraId="78647B44" w14:textId="77777777" w:rsidR="00762E6A" w:rsidRPr="00700241" w:rsidRDefault="00762E6A" w:rsidP="009202D1">
      <w:pPr>
        <w:rPr>
          <w:b/>
          <w:bCs/>
          <w:lang w:val="en-AU"/>
        </w:rPr>
      </w:pPr>
    </w:p>
    <w:p w14:paraId="0782B104" w14:textId="77777777" w:rsidR="009202D1" w:rsidRPr="00700241" w:rsidRDefault="009202D1" w:rsidP="00C576D1">
      <w:pPr>
        <w:pStyle w:val="Heading2simple"/>
      </w:pPr>
      <w:bookmarkStart w:id="22" w:name="_Toc103271292"/>
      <w:r w:rsidRPr="00700241">
        <w:t>OPI 4.1a Increase in yield</w:t>
      </w:r>
      <w:bookmarkEnd w:id="22"/>
      <w:r w:rsidRPr="00700241">
        <w:t xml:space="preserve"> </w:t>
      </w:r>
    </w:p>
    <w:p w14:paraId="13D61B69" w14:textId="77777777" w:rsidR="00762E6A" w:rsidRPr="00700241" w:rsidRDefault="00F74A8B" w:rsidP="009202D1">
      <w:pPr>
        <w:rPr>
          <w:lang w:val="en-IE"/>
        </w:rPr>
      </w:pPr>
      <w:r w:rsidRPr="00700241">
        <w:rPr>
          <w:lang w:val="en-IE"/>
        </w:rPr>
        <w:t xml:space="preserve">% </w:t>
      </w:r>
      <w:proofErr w:type="gramStart"/>
      <w:r w:rsidR="00762E6A" w:rsidRPr="00700241">
        <w:rPr>
          <w:lang w:val="en-IE"/>
        </w:rPr>
        <w:t>i</w:t>
      </w:r>
      <w:r w:rsidR="009202D1" w:rsidRPr="00700241">
        <w:rPr>
          <w:lang w:val="en-IE"/>
        </w:rPr>
        <w:t>ncrease</w:t>
      </w:r>
      <w:proofErr w:type="gramEnd"/>
      <w:r w:rsidR="009202D1" w:rsidRPr="00700241">
        <w:rPr>
          <w:lang w:val="en-IE"/>
        </w:rPr>
        <w:t xml:space="preserve"> in yield (for brownfield projects) </w:t>
      </w:r>
    </w:p>
    <w:p w14:paraId="597492AF" w14:textId="1952040A" w:rsidR="009202D1" w:rsidRPr="00700241" w:rsidRDefault="004D00CC" w:rsidP="009202D1">
      <w:pPr>
        <w:rPr>
          <w:lang w:val="en-IE"/>
        </w:rPr>
      </w:pPr>
      <w:r w:rsidRPr="00700241">
        <w:rPr>
          <w:lang w:val="en-IE"/>
        </w:rPr>
        <w:t xml:space="preserve">OPI4.1a </w:t>
      </w:r>
      <w:r w:rsidR="009239E0" w:rsidRPr="00700241">
        <w:rPr>
          <w:lang w:val="en-IE"/>
        </w:rPr>
        <w:t xml:space="preserve">quantifies </w:t>
      </w:r>
      <w:r w:rsidRPr="00700241">
        <w:rPr>
          <w:lang w:val="en-IE"/>
        </w:rPr>
        <w:t xml:space="preserve">the increase in equivalent commodity production yield to the </w:t>
      </w:r>
      <w:r w:rsidR="009202D1" w:rsidRPr="00700241">
        <w:rPr>
          <w:lang w:val="en-IE"/>
        </w:rPr>
        <w:t>baseline yield</w:t>
      </w:r>
      <w:r w:rsidR="009239E0" w:rsidRPr="00700241">
        <w:rPr>
          <w:lang w:val="en-IE"/>
        </w:rPr>
        <w:t>.</w:t>
      </w:r>
      <w:r w:rsidR="009202D1" w:rsidRPr="00700241">
        <w:rPr>
          <w:lang w:val="en-IE"/>
        </w:rPr>
        <w:t xml:space="preserve"> It is </w:t>
      </w:r>
      <w:r w:rsidR="005751CF" w:rsidRPr="00700241">
        <w:rPr>
          <w:lang w:val="en-IE"/>
        </w:rPr>
        <w:t>reported</w:t>
      </w:r>
      <w:r w:rsidR="009202D1" w:rsidRPr="00700241">
        <w:rPr>
          <w:lang w:val="en-IE"/>
        </w:rPr>
        <w:t xml:space="preserve"> as % difference between baseline and year of measurement.</w:t>
      </w:r>
    </w:p>
    <w:tbl>
      <w:tblPr>
        <w:tblStyle w:val="TableGrid"/>
        <w:tblW w:w="8801" w:type="dxa"/>
        <w:tblLook w:val="04A0" w:firstRow="1" w:lastRow="0" w:firstColumn="1" w:lastColumn="0" w:noHBand="0" w:noVBand="1"/>
      </w:tblPr>
      <w:tblGrid>
        <w:gridCol w:w="3936"/>
        <w:gridCol w:w="1417"/>
        <w:gridCol w:w="2126"/>
        <w:gridCol w:w="1322"/>
      </w:tblGrid>
      <w:tr w:rsidR="009202D1" w:rsidRPr="00700241" w14:paraId="6BA57A19" w14:textId="77777777" w:rsidTr="00C2405A">
        <w:trPr>
          <w:cnfStyle w:val="100000000000" w:firstRow="1" w:lastRow="0" w:firstColumn="0" w:lastColumn="0" w:oddVBand="0" w:evenVBand="0" w:oddHBand="0" w:evenHBand="0" w:firstRowFirstColumn="0" w:firstRowLastColumn="0" w:lastRowFirstColumn="0" w:lastRowLastColumn="0"/>
        </w:trPr>
        <w:tc>
          <w:tcPr>
            <w:tcW w:w="3936" w:type="dxa"/>
          </w:tcPr>
          <w:p w14:paraId="682C280D" w14:textId="77777777" w:rsidR="009202D1" w:rsidRPr="00700241" w:rsidRDefault="009202D1" w:rsidP="009202D1">
            <w:pPr>
              <w:rPr>
                <w:bCs/>
                <w:lang w:val="en-AU"/>
              </w:rPr>
            </w:pPr>
            <w:r w:rsidRPr="00700241">
              <w:rPr>
                <w:bCs/>
                <w:lang w:val="en-AU"/>
              </w:rPr>
              <w:t>Data point</w:t>
            </w:r>
          </w:p>
        </w:tc>
        <w:tc>
          <w:tcPr>
            <w:tcW w:w="1417" w:type="dxa"/>
          </w:tcPr>
          <w:p w14:paraId="01096AD2" w14:textId="77777777" w:rsidR="009202D1" w:rsidRPr="00700241" w:rsidRDefault="009202D1" w:rsidP="009202D1">
            <w:pPr>
              <w:rPr>
                <w:bCs/>
                <w:lang w:val="en-AU"/>
              </w:rPr>
            </w:pPr>
            <w:r w:rsidRPr="00700241">
              <w:rPr>
                <w:bCs/>
                <w:lang w:val="en-AU"/>
              </w:rPr>
              <w:t>Metric</w:t>
            </w:r>
          </w:p>
        </w:tc>
        <w:tc>
          <w:tcPr>
            <w:tcW w:w="2126" w:type="dxa"/>
          </w:tcPr>
          <w:p w14:paraId="6153A393" w14:textId="77777777" w:rsidR="009202D1" w:rsidRPr="00700241" w:rsidRDefault="009202D1" w:rsidP="009202D1">
            <w:pPr>
              <w:rPr>
                <w:bCs/>
                <w:lang w:val="en-AU"/>
              </w:rPr>
            </w:pPr>
            <w:r w:rsidRPr="00700241">
              <w:rPr>
                <w:bCs/>
                <w:lang w:val="en-AU"/>
              </w:rPr>
              <w:t>Data source</w:t>
            </w:r>
          </w:p>
        </w:tc>
        <w:tc>
          <w:tcPr>
            <w:tcW w:w="1322" w:type="dxa"/>
          </w:tcPr>
          <w:p w14:paraId="60B71B76" w14:textId="77777777" w:rsidR="009202D1" w:rsidRPr="00700241" w:rsidRDefault="009202D1" w:rsidP="009202D1">
            <w:pPr>
              <w:rPr>
                <w:bCs/>
                <w:lang w:val="en-AU"/>
              </w:rPr>
            </w:pPr>
            <w:r w:rsidRPr="00700241">
              <w:rPr>
                <w:bCs/>
                <w:lang w:val="en-AU"/>
              </w:rPr>
              <w:t>Owner</w:t>
            </w:r>
          </w:p>
        </w:tc>
      </w:tr>
      <w:tr w:rsidR="009202D1" w:rsidRPr="00700241" w14:paraId="568359D4" w14:textId="77777777" w:rsidTr="00C2405A">
        <w:tc>
          <w:tcPr>
            <w:tcW w:w="3936" w:type="dxa"/>
          </w:tcPr>
          <w:p w14:paraId="4649F111" w14:textId="5C1C28C0" w:rsidR="009202D1" w:rsidRPr="00700241" w:rsidRDefault="009202D1" w:rsidP="009202D1">
            <w:pPr>
              <w:rPr>
                <w:lang w:val="en-GB"/>
              </w:rPr>
            </w:pPr>
            <w:r w:rsidRPr="00700241">
              <w:rPr>
                <w:lang w:val="en-GB"/>
              </w:rPr>
              <w:t xml:space="preserve">Productivity </w:t>
            </w:r>
            <w:r w:rsidR="00357ABF" w:rsidRPr="00700241">
              <w:rPr>
                <w:lang w:val="en-GB"/>
              </w:rPr>
              <w:t xml:space="preserve">in </w:t>
            </w:r>
            <w:r w:rsidR="00C2405A" w:rsidRPr="00700241">
              <w:rPr>
                <w:lang w:val="en-GB"/>
              </w:rPr>
              <w:t xml:space="preserve">relevant </w:t>
            </w:r>
            <w:r w:rsidR="00357ABF" w:rsidRPr="00700241">
              <w:rPr>
                <w:lang w:val="en-GB"/>
              </w:rPr>
              <w:t>units of commodity production</w:t>
            </w:r>
            <w:r w:rsidR="00C2405A" w:rsidRPr="00700241">
              <w:rPr>
                <w:lang w:val="en-GB"/>
              </w:rPr>
              <w:t xml:space="preserve"> intensification (</w:t>
            </w:r>
            <w:proofErr w:type="spellStart"/>
            <w:r w:rsidR="00C2405A" w:rsidRPr="00700241">
              <w:rPr>
                <w:lang w:val="en-GB"/>
              </w:rPr>
              <w:t>eg</w:t>
            </w:r>
            <w:proofErr w:type="spellEnd"/>
            <w:r w:rsidR="00C2405A" w:rsidRPr="00700241">
              <w:rPr>
                <w:lang w:val="en-GB"/>
              </w:rPr>
              <w:t>: tonnes</w:t>
            </w:r>
            <w:r w:rsidR="00357ABF" w:rsidRPr="00700241">
              <w:rPr>
                <w:lang w:val="en-GB"/>
              </w:rPr>
              <w:t>/ha</w:t>
            </w:r>
            <w:r w:rsidR="00C2405A" w:rsidRPr="00700241">
              <w:rPr>
                <w:lang w:val="en-GB"/>
              </w:rPr>
              <w:t>, #head/ha etc</w:t>
            </w:r>
            <w:r w:rsidR="00357ABF" w:rsidRPr="00700241">
              <w:rPr>
                <w:lang w:val="en-GB"/>
              </w:rPr>
              <w:t>)</w:t>
            </w:r>
          </w:p>
        </w:tc>
        <w:tc>
          <w:tcPr>
            <w:tcW w:w="1417" w:type="dxa"/>
          </w:tcPr>
          <w:p w14:paraId="1DB1E6E1" w14:textId="77777777" w:rsidR="009202D1" w:rsidRPr="00700241" w:rsidRDefault="009202D1" w:rsidP="00C2405A">
            <w:pPr>
              <w:jc w:val="center"/>
              <w:rPr>
                <w:lang w:val="en-AU"/>
              </w:rPr>
            </w:pPr>
            <w:r w:rsidRPr="00700241">
              <w:rPr>
                <w:lang w:val="en-AU"/>
              </w:rPr>
              <w:t>Percentage</w:t>
            </w:r>
          </w:p>
        </w:tc>
        <w:tc>
          <w:tcPr>
            <w:tcW w:w="2126" w:type="dxa"/>
          </w:tcPr>
          <w:p w14:paraId="4CF30713" w14:textId="77777777" w:rsidR="009202D1" w:rsidRPr="00700241" w:rsidRDefault="009202D1" w:rsidP="009202D1">
            <w:pPr>
              <w:rPr>
                <w:lang w:val="en-AU"/>
              </w:rPr>
            </w:pPr>
            <w:r w:rsidRPr="00700241">
              <w:rPr>
                <w:lang w:val="en-AU"/>
              </w:rPr>
              <w:t>Client productivity records</w:t>
            </w:r>
          </w:p>
        </w:tc>
        <w:tc>
          <w:tcPr>
            <w:tcW w:w="1322" w:type="dxa"/>
          </w:tcPr>
          <w:p w14:paraId="22634CBB" w14:textId="77777777" w:rsidR="009202D1" w:rsidRPr="00700241" w:rsidRDefault="009202D1" w:rsidP="009202D1">
            <w:pPr>
              <w:rPr>
                <w:lang w:val="en-AU"/>
              </w:rPr>
            </w:pPr>
            <w:r w:rsidRPr="00700241">
              <w:rPr>
                <w:lang w:val="en-AU"/>
              </w:rPr>
              <w:t>Client</w:t>
            </w:r>
          </w:p>
        </w:tc>
      </w:tr>
    </w:tbl>
    <w:p w14:paraId="699288DD" w14:textId="5AC81DCB" w:rsidR="009202D1" w:rsidRPr="00700241" w:rsidRDefault="009019D9" w:rsidP="000353E1">
      <w:pPr>
        <w:rPr>
          <w:lang w:val="en-IE"/>
        </w:rPr>
      </w:pPr>
      <w:r w:rsidRPr="00700241">
        <w:rPr>
          <w:lang w:val="en-IE"/>
        </w:rPr>
        <w:t xml:space="preserve">During due diligence, independent consultants assess and clarify thresholds </w:t>
      </w:r>
      <w:r w:rsidR="002D4092" w:rsidRPr="00700241">
        <w:rPr>
          <w:lang w:val="en-IE"/>
        </w:rPr>
        <w:t xml:space="preserve">that </w:t>
      </w:r>
      <w:r w:rsidR="000353E1" w:rsidRPr="00700241">
        <w:rPr>
          <w:lang w:val="en-IE"/>
        </w:rPr>
        <w:t xml:space="preserve">reasonably </w:t>
      </w:r>
      <w:r w:rsidR="009202D1" w:rsidRPr="00700241">
        <w:rPr>
          <w:lang w:val="en-IE"/>
        </w:rPr>
        <w:t xml:space="preserve">qualify as </w:t>
      </w:r>
      <w:r w:rsidR="000353E1" w:rsidRPr="00700241">
        <w:rPr>
          <w:lang w:val="en-IE"/>
        </w:rPr>
        <w:t xml:space="preserve">material </w:t>
      </w:r>
      <w:r w:rsidR="009202D1" w:rsidRPr="00700241">
        <w:rPr>
          <w:lang w:val="en-IE"/>
        </w:rPr>
        <w:t>increase</w:t>
      </w:r>
      <w:r w:rsidR="000353E1" w:rsidRPr="00700241">
        <w:rPr>
          <w:lang w:val="en-IE"/>
        </w:rPr>
        <w:t>s</w:t>
      </w:r>
      <w:r w:rsidR="009202D1" w:rsidRPr="00700241">
        <w:rPr>
          <w:lang w:val="en-IE"/>
        </w:rPr>
        <w:t xml:space="preserve"> in yield, </w:t>
      </w:r>
      <w:r w:rsidR="000353E1" w:rsidRPr="00700241">
        <w:rPr>
          <w:lang w:val="en-IE"/>
        </w:rPr>
        <w:t>separate from data noise and interannual variability</w:t>
      </w:r>
      <w:r w:rsidR="009202D1" w:rsidRPr="00700241">
        <w:rPr>
          <w:lang w:val="en-IE"/>
        </w:rPr>
        <w:t>.</w:t>
      </w:r>
    </w:p>
    <w:p w14:paraId="35996A9D" w14:textId="77777777" w:rsidR="009202D1" w:rsidRPr="00700241" w:rsidRDefault="009202D1" w:rsidP="009202D1">
      <w:pPr>
        <w:rPr>
          <w:lang w:val="en-IE"/>
        </w:rPr>
      </w:pPr>
    </w:p>
    <w:p w14:paraId="599BEB31" w14:textId="77777777" w:rsidR="009202D1" w:rsidRPr="00700241" w:rsidRDefault="009202D1" w:rsidP="00C576D1">
      <w:pPr>
        <w:pStyle w:val="Heading2simple"/>
      </w:pPr>
      <w:bookmarkStart w:id="23" w:name="_Toc103271293"/>
      <w:r w:rsidRPr="00700241">
        <w:t>OPI 4.1b Yield gap over sector average</w:t>
      </w:r>
      <w:bookmarkEnd w:id="23"/>
    </w:p>
    <w:p w14:paraId="16BF073B" w14:textId="77777777" w:rsidR="0020311B" w:rsidRPr="00700241" w:rsidRDefault="007F4C24" w:rsidP="009202D1">
      <w:r w:rsidRPr="00700241">
        <w:t xml:space="preserve">% </w:t>
      </w:r>
      <w:proofErr w:type="gramStart"/>
      <w:r w:rsidR="0020311B" w:rsidRPr="00700241">
        <w:t>y</w:t>
      </w:r>
      <w:r w:rsidR="009202D1" w:rsidRPr="00700241">
        <w:t>ield</w:t>
      </w:r>
      <w:proofErr w:type="gramEnd"/>
      <w:r w:rsidR="009202D1" w:rsidRPr="00700241">
        <w:t xml:space="preserve"> gap over sector average in the region (for greenfield projects)</w:t>
      </w:r>
      <w:r w:rsidR="0020311B" w:rsidRPr="00700241">
        <w:t>.</w:t>
      </w:r>
    </w:p>
    <w:p w14:paraId="238D1DDE" w14:textId="091184FD" w:rsidR="005D67B9" w:rsidRPr="00700241" w:rsidRDefault="0020311B" w:rsidP="005D67B9">
      <w:r w:rsidRPr="00700241">
        <w:t xml:space="preserve">OPI4.1b quantifies </w:t>
      </w:r>
      <w:r w:rsidR="005D67B9" w:rsidRPr="00700241">
        <w:t xml:space="preserve">the </w:t>
      </w:r>
      <w:r w:rsidR="009202D1" w:rsidRPr="00700241">
        <w:rPr>
          <w:lang w:val="en-IE"/>
        </w:rPr>
        <w:t xml:space="preserve">% difference between </w:t>
      </w:r>
      <w:r w:rsidR="00925A9E" w:rsidRPr="00700241">
        <w:rPr>
          <w:lang w:val="en-IE"/>
        </w:rPr>
        <w:t xml:space="preserve">the client’s productivity yield and that of the relevant equivalent </w:t>
      </w:r>
      <w:r w:rsidR="009202D1" w:rsidRPr="00700241">
        <w:rPr>
          <w:lang w:val="en-IE"/>
        </w:rPr>
        <w:t>sector average</w:t>
      </w:r>
      <w:r w:rsidR="00531181" w:rsidRPr="00700241">
        <w:rPr>
          <w:lang w:val="en-IE"/>
        </w:rPr>
        <w:t xml:space="preserve"> in the year of assessment</w:t>
      </w:r>
      <w:r w:rsidR="00FC6546" w:rsidRPr="00700241">
        <w:rPr>
          <w:rStyle w:val="FootnoteReference"/>
          <w:lang w:val="en-IE"/>
        </w:rPr>
        <w:footnoteReference w:id="15"/>
      </w:r>
      <w:r w:rsidR="009202D1" w:rsidRPr="00700241">
        <w:rPr>
          <w:lang w:val="en-IE"/>
        </w:rPr>
        <w:t>.</w:t>
      </w:r>
    </w:p>
    <w:p w14:paraId="4C2E707B" w14:textId="02E0E72E" w:rsidR="009202D1" w:rsidRPr="00700241" w:rsidRDefault="003642B2" w:rsidP="009202D1">
      <w:r w:rsidRPr="00700241">
        <w:t xml:space="preserve">Average sector </w:t>
      </w:r>
      <w:r w:rsidR="00AA6A96" w:rsidRPr="00700241">
        <w:t>yields</w:t>
      </w:r>
      <w:r w:rsidRPr="00700241">
        <w:t xml:space="preserve"> will be assessed during </w:t>
      </w:r>
      <w:r w:rsidR="00AA6A96" w:rsidRPr="00700241">
        <w:t xml:space="preserve">due diligence </w:t>
      </w:r>
      <w:r w:rsidRPr="00700241">
        <w:t xml:space="preserve">and updated during annual reporting. This </w:t>
      </w:r>
      <w:r w:rsidR="00941799" w:rsidRPr="00700241">
        <w:t xml:space="preserve">data point is </w:t>
      </w:r>
      <w:r w:rsidRPr="00700241">
        <w:t xml:space="preserve">then </w:t>
      </w:r>
      <w:r w:rsidR="00941799" w:rsidRPr="00700241">
        <w:t xml:space="preserve">compared to the </w:t>
      </w:r>
      <w:r w:rsidRPr="00700241">
        <w:t xml:space="preserve">client’s productivity of same year, </w:t>
      </w:r>
      <w:r w:rsidR="00F036FF" w:rsidRPr="00700241">
        <w:t xml:space="preserve">to report </w:t>
      </w:r>
      <w:r w:rsidRPr="00700241">
        <w:t xml:space="preserve">the % of yield gap over </w:t>
      </w:r>
      <w:r w:rsidR="00F036FF" w:rsidRPr="00700241">
        <w:t xml:space="preserve">the </w:t>
      </w:r>
      <w:r w:rsidRPr="00700241">
        <w:t>sector.</w:t>
      </w:r>
      <w:r w:rsidR="00F036FF" w:rsidRPr="00700241">
        <w:t xml:space="preserve"> </w:t>
      </w:r>
    </w:p>
    <w:tbl>
      <w:tblPr>
        <w:tblStyle w:val="TableGrid"/>
        <w:tblW w:w="8801" w:type="dxa"/>
        <w:tblLook w:val="04A0" w:firstRow="1" w:lastRow="0" w:firstColumn="1" w:lastColumn="0" w:noHBand="0" w:noVBand="1"/>
      </w:tblPr>
      <w:tblGrid>
        <w:gridCol w:w="2590"/>
        <w:gridCol w:w="2083"/>
        <w:gridCol w:w="1843"/>
        <w:gridCol w:w="2285"/>
      </w:tblGrid>
      <w:tr w:rsidR="009202D1" w:rsidRPr="00700241" w14:paraId="60A916DB" w14:textId="77777777" w:rsidTr="00A41311">
        <w:trPr>
          <w:cnfStyle w:val="100000000000" w:firstRow="1" w:lastRow="0" w:firstColumn="0" w:lastColumn="0" w:oddVBand="0" w:evenVBand="0" w:oddHBand="0" w:evenHBand="0" w:firstRowFirstColumn="0" w:firstRowLastColumn="0" w:lastRowFirstColumn="0" w:lastRowLastColumn="0"/>
        </w:trPr>
        <w:tc>
          <w:tcPr>
            <w:tcW w:w="2590" w:type="dxa"/>
          </w:tcPr>
          <w:p w14:paraId="2C9E0988" w14:textId="77777777" w:rsidR="009202D1" w:rsidRPr="00700241" w:rsidRDefault="009202D1" w:rsidP="009202D1">
            <w:pPr>
              <w:rPr>
                <w:bCs/>
                <w:lang w:val="en-AU"/>
              </w:rPr>
            </w:pPr>
            <w:r w:rsidRPr="00700241">
              <w:rPr>
                <w:bCs/>
                <w:lang w:val="en-AU"/>
              </w:rPr>
              <w:t>Data point</w:t>
            </w:r>
          </w:p>
        </w:tc>
        <w:tc>
          <w:tcPr>
            <w:tcW w:w="2083" w:type="dxa"/>
          </w:tcPr>
          <w:p w14:paraId="45E080FF" w14:textId="77777777" w:rsidR="009202D1" w:rsidRPr="00700241" w:rsidRDefault="009202D1" w:rsidP="009202D1">
            <w:pPr>
              <w:rPr>
                <w:bCs/>
                <w:lang w:val="en-AU"/>
              </w:rPr>
            </w:pPr>
            <w:r w:rsidRPr="00700241">
              <w:rPr>
                <w:bCs/>
                <w:lang w:val="en-AU"/>
              </w:rPr>
              <w:t>Metric</w:t>
            </w:r>
          </w:p>
        </w:tc>
        <w:tc>
          <w:tcPr>
            <w:tcW w:w="1843" w:type="dxa"/>
          </w:tcPr>
          <w:p w14:paraId="50C18144" w14:textId="77777777" w:rsidR="009202D1" w:rsidRPr="00700241" w:rsidRDefault="009202D1" w:rsidP="009202D1">
            <w:pPr>
              <w:rPr>
                <w:bCs/>
                <w:lang w:val="en-AU"/>
              </w:rPr>
            </w:pPr>
            <w:r w:rsidRPr="00700241">
              <w:rPr>
                <w:bCs/>
                <w:lang w:val="en-AU"/>
              </w:rPr>
              <w:t>Data source</w:t>
            </w:r>
          </w:p>
        </w:tc>
        <w:tc>
          <w:tcPr>
            <w:tcW w:w="2285" w:type="dxa"/>
          </w:tcPr>
          <w:p w14:paraId="2A88E43F" w14:textId="77777777" w:rsidR="009202D1" w:rsidRPr="00700241" w:rsidRDefault="009202D1" w:rsidP="009202D1">
            <w:pPr>
              <w:rPr>
                <w:bCs/>
                <w:lang w:val="en-AU"/>
              </w:rPr>
            </w:pPr>
            <w:r w:rsidRPr="00700241">
              <w:rPr>
                <w:bCs/>
                <w:lang w:val="en-AU"/>
              </w:rPr>
              <w:t>Owner</w:t>
            </w:r>
          </w:p>
        </w:tc>
      </w:tr>
      <w:tr w:rsidR="009202D1" w:rsidRPr="00700241" w14:paraId="76F88E05" w14:textId="77777777" w:rsidTr="00A41311">
        <w:tc>
          <w:tcPr>
            <w:tcW w:w="2590" w:type="dxa"/>
          </w:tcPr>
          <w:p w14:paraId="51DEC4D2" w14:textId="62B358E9" w:rsidR="0091781A" w:rsidRPr="00700241" w:rsidRDefault="0091781A" w:rsidP="009202D1">
            <w:pPr>
              <w:rPr>
                <w:lang w:val="en-GB"/>
              </w:rPr>
            </w:pPr>
            <w:r w:rsidRPr="00700241">
              <w:rPr>
                <w:lang w:val="en-GB"/>
              </w:rPr>
              <w:t>Productivity in relevant units of commodity production (</w:t>
            </w:r>
            <w:proofErr w:type="spellStart"/>
            <w:r w:rsidRPr="00700241">
              <w:rPr>
                <w:lang w:val="en-GB"/>
              </w:rPr>
              <w:t>eg</w:t>
            </w:r>
            <w:proofErr w:type="spellEnd"/>
            <w:r w:rsidRPr="00700241">
              <w:rPr>
                <w:lang w:val="en-GB"/>
              </w:rPr>
              <w:t>: tonnes/ha, #head/ha etc)</w:t>
            </w:r>
          </w:p>
        </w:tc>
        <w:tc>
          <w:tcPr>
            <w:tcW w:w="2083" w:type="dxa"/>
          </w:tcPr>
          <w:p w14:paraId="6A319064" w14:textId="77777777" w:rsidR="009202D1" w:rsidRPr="00700241" w:rsidRDefault="009202D1" w:rsidP="00F74206">
            <w:pPr>
              <w:jc w:val="center"/>
              <w:rPr>
                <w:lang w:val="en-AU"/>
              </w:rPr>
            </w:pPr>
            <w:r w:rsidRPr="00700241">
              <w:rPr>
                <w:lang w:val="en-AU"/>
              </w:rPr>
              <w:t>Percentage</w:t>
            </w:r>
          </w:p>
        </w:tc>
        <w:tc>
          <w:tcPr>
            <w:tcW w:w="1843" w:type="dxa"/>
          </w:tcPr>
          <w:p w14:paraId="0A7D3FF2" w14:textId="77777777" w:rsidR="009202D1" w:rsidRPr="00700241" w:rsidRDefault="009202D1" w:rsidP="009202D1">
            <w:pPr>
              <w:rPr>
                <w:lang w:val="en-AU"/>
              </w:rPr>
            </w:pPr>
            <w:r w:rsidRPr="00700241">
              <w:rPr>
                <w:lang w:val="en-AU"/>
              </w:rPr>
              <w:t>Client productivity records and sectoral data</w:t>
            </w:r>
          </w:p>
        </w:tc>
        <w:tc>
          <w:tcPr>
            <w:tcW w:w="2285" w:type="dxa"/>
          </w:tcPr>
          <w:p w14:paraId="020AE4CF" w14:textId="77777777" w:rsidR="009202D1" w:rsidRPr="00700241" w:rsidRDefault="009202D1" w:rsidP="009202D1">
            <w:pPr>
              <w:rPr>
                <w:lang w:val="en-AU"/>
              </w:rPr>
            </w:pPr>
            <w:r w:rsidRPr="00700241">
              <w:rPr>
                <w:lang w:val="en-AU"/>
              </w:rPr>
              <w:t>Client, sectoral organizations, government, etc.</w:t>
            </w:r>
          </w:p>
        </w:tc>
      </w:tr>
    </w:tbl>
    <w:p w14:paraId="386D5832" w14:textId="77777777" w:rsidR="009202D1" w:rsidRPr="00700241" w:rsidRDefault="009202D1" w:rsidP="009202D1"/>
    <w:p w14:paraId="225C6FEF" w14:textId="77777777" w:rsidR="009202D1" w:rsidRPr="00700241" w:rsidRDefault="009202D1" w:rsidP="00C576D1">
      <w:pPr>
        <w:pStyle w:val="Heading2simple"/>
      </w:pPr>
      <w:bookmarkStart w:id="24" w:name="_Toc103271294"/>
      <w:r w:rsidRPr="00700241">
        <w:t>OPI 4.2 Avoided deforestation in supply shed</w:t>
      </w:r>
      <w:bookmarkEnd w:id="24"/>
    </w:p>
    <w:p w14:paraId="76C61E14" w14:textId="77777777" w:rsidR="00392BEB" w:rsidRPr="00700241" w:rsidRDefault="004A41EA" w:rsidP="009202D1">
      <w:pPr>
        <w:rPr>
          <w:bCs/>
          <w:lang w:val="en-IE"/>
        </w:rPr>
      </w:pPr>
      <w:r w:rsidRPr="00700241">
        <w:rPr>
          <w:bCs/>
          <w:lang w:val="en-IE"/>
        </w:rPr>
        <w:t>#</w:t>
      </w:r>
      <w:proofErr w:type="gramStart"/>
      <w:r w:rsidRPr="00700241">
        <w:rPr>
          <w:bCs/>
          <w:lang w:val="en-IE"/>
        </w:rPr>
        <w:t>ha</w:t>
      </w:r>
      <w:proofErr w:type="gramEnd"/>
      <w:r w:rsidRPr="00700241">
        <w:rPr>
          <w:bCs/>
          <w:lang w:val="en-IE"/>
        </w:rPr>
        <w:t xml:space="preserve"> </w:t>
      </w:r>
      <w:r w:rsidR="009202D1" w:rsidRPr="00700241">
        <w:rPr>
          <w:bCs/>
          <w:lang w:val="en-IE"/>
        </w:rPr>
        <w:t xml:space="preserve">of </w:t>
      </w:r>
      <w:r w:rsidR="00392BEB" w:rsidRPr="00700241">
        <w:rPr>
          <w:bCs/>
          <w:lang w:val="en-IE"/>
        </w:rPr>
        <w:t>avoided deforestation or peatland degradation in the supply shed</w:t>
      </w:r>
    </w:p>
    <w:p w14:paraId="4F3EF592" w14:textId="375F545C" w:rsidR="009202D1" w:rsidRPr="00700241" w:rsidRDefault="00D70862" w:rsidP="009202D1">
      <w:pPr>
        <w:rPr>
          <w:bCs/>
          <w:lang w:val="en-IE"/>
        </w:rPr>
      </w:pPr>
      <w:r w:rsidRPr="00700241">
        <w:rPr>
          <w:bCs/>
          <w:lang w:val="en-IE"/>
        </w:rPr>
        <w:t xml:space="preserve">OPI 4.2 assesses the area of </w:t>
      </w:r>
      <w:r w:rsidR="009202D1" w:rsidRPr="00700241">
        <w:rPr>
          <w:bCs/>
          <w:lang w:val="en-IE"/>
        </w:rPr>
        <w:t>extensification</w:t>
      </w:r>
      <w:r w:rsidR="001B4E43" w:rsidRPr="00700241">
        <w:rPr>
          <w:rStyle w:val="FootnoteReference"/>
          <w:bCs/>
          <w:lang w:val="en-IE"/>
        </w:rPr>
        <w:footnoteReference w:id="16"/>
      </w:r>
      <w:r w:rsidR="009202D1" w:rsidRPr="00700241">
        <w:rPr>
          <w:bCs/>
          <w:lang w:val="en-IE"/>
        </w:rPr>
        <w:t xml:space="preserve"> </w:t>
      </w:r>
      <w:r w:rsidR="00D96ED0" w:rsidRPr="00700241">
        <w:rPr>
          <w:bCs/>
          <w:lang w:val="en-IE"/>
        </w:rPr>
        <w:t xml:space="preserve">in the supply shed </w:t>
      </w:r>
      <w:r w:rsidR="009202D1" w:rsidRPr="00700241">
        <w:rPr>
          <w:bCs/>
          <w:lang w:val="en-IE"/>
        </w:rPr>
        <w:t>avoided by increased productivity</w:t>
      </w:r>
      <w:r w:rsidR="00AE2042" w:rsidRPr="00700241">
        <w:rPr>
          <w:bCs/>
          <w:lang w:val="en-IE"/>
        </w:rPr>
        <w:t>.</w:t>
      </w:r>
      <w:r w:rsidR="009202D1" w:rsidRPr="00700241">
        <w:rPr>
          <w:bCs/>
          <w:lang w:val="en-IE"/>
        </w:rPr>
        <w:t xml:space="preserve"> </w:t>
      </w:r>
    </w:p>
    <w:p w14:paraId="42FD7B78" w14:textId="207FB693" w:rsidR="009202D1" w:rsidRPr="00700241" w:rsidRDefault="009202D1" w:rsidP="009202D1">
      <w:pPr>
        <w:rPr>
          <w:bCs/>
          <w:lang w:val="en-AU"/>
        </w:rPr>
      </w:pPr>
      <w:r w:rsidRPr="00700241">
        <w:rPr>
          <w:bCs/>
          <w:lang w:val="en-AU"/>
        </w:rPr>
        <w:t xml:space="preserve">Avoided deforestation, with its inherent subjectivity and risk of non-permanence, is considered as an ‘indirect’ impact in the market supply shed. OPI 4.2 is </w:t>
      </w:r>
      <w:r w:rsidR="00467CC5" w:rsidRPr="00700241">
        <w:rPr>
          <w:bCs/>
          <w:lang w:val="en-AU"/>
        </w:rPr>
        <w:t>NOT</w:t>
      </w:r>
      <w:r w:rsidRPr="00700241">
        <w:rPr>
          <w:bCs/>
          <w:lang w:val="en-AU"/>
        </w:rPr>
        <w:t xml:space="preserve"> reported as part of </w:t>
      </w:r>
      <w:r w:rsidR="00DF4688" w:rsidRPr="00700241">
        <w:rPr>
          <w:bCs/>
          <w:lang w:val="en-AU"/>
        </w:rPr>
        <w:t>KPI2 F</w:t>
      </w:r>
      <w:r w:rsidRPr="00700241">
        <w:rPr>
          <w:bCs/>
          <w:lang w:val="en-AU"/>
        </w:rPr>
        <w:t xml:space="preserve">orest protected. It is quantified to </w:t>
      </w:r>
      <w:r w:rsidR="00C363A2" w:rsidRPr="00700241">
        <w:rPr>
          <w:bCs/>
          <w:lang w:val="en-AU"/>
        </w:rPr>
        <w:t>convey</w:t>
      </w:r>
      <w:r w:rsidRPr="00700241">
        <w:rPr>
          <w:bCs/>
          <w:lang w:val="en-AU"/>
        </w:rPr>
        <w:t xml:space="preserve"> the market impact, but the results are </w:t>
      </w:r>
      <w:r w:rsidR="0087704A" w:rsidRPr="00700241">
        <w:rPr>
          <w:bCs/>
          <w:lang w:val="en-AU"/>
        </w:rPr>
        <w:t>NOT</w:t>
      </w:r>
      <w:r w:rsidRPr="00700241">
        <w:rPr>
          <w:bCs/>
          <w:lang w:val="en-AU"/>
        </w:rPr>
        <w:t xml:space="preserve"> attributed to &amp;Green. </w:t>
      </w:r>
    </w:p>
    <w:p w14:paraId="2CC9A3C1" w14:textId="11A4F4D0" w:rsidR="00EB3711" w:rsidRPr="00700241" w:rsidRDefault="009202D1" w:rsidP="009202D1">
      <w:pPr>
        <w:rPr>
          <w:bCs/>
          <w:lang w:val="en-AU"/>
        </w:rPr>
      </w:pPr>
      <w:r w:rsidRPr="00700241">
        <w:rPr>
          <w:bCs/>
          <w:lang w:val="en-AU"/>
        </w:rPr>
        <w:t xml:space="preserve">OPI 4.2 is estimated by the ‘Marginal Production’ approach </w:t>
      </w:r>
      <w:r w:rsidR="00F64E5D" w:rsidRPr="00700241">
        <w:rPr>
          <w:bCs/>
          <w:lang w:val="en-AU"/>
        </w:rPr>
        <w:t>and</w:t>
      </w:r>
      <w:r w:rsidRPr="00700241">
        <w:rPr>
          <w:bCs/>
          <w:lang w:val="en-AU"/>
        </w:rPr>
        <w:t xml:space="preserve"> is applicable to the Market and Supply Shed (indirect) Area of Influence, with a low </w:t>
      </w:r>
      <w:r w:rsidR="00F64E5D" w:rsidRPr="00700241">
        <w:rPr>
          <w:bCs/>
          <w:lang w:val="en-AU"/>
        </w:rPr>
        <w:t>L</w:t>
      </w:r>
      <w:r w:rsidRPr="00700241">
        <w:rPr>
          <w:bCs/>
          <w:lang w:val="en-AU"/>
        </w:rPr>
        <w:t xml:space="preserve">evel of </w:t>
      </w:r>
      <w:r w:rsidR="00F64E5D" w:rsidRPr="00700241">
        <w:rPr>
          <w:bCs/>
          <w:lang w:val="en-AU"/>
        </w:rPr>
        <w:t>A</w:t>
      </w:r>
      <w:r w:rsidRPr="00700241">
        <w:rPr>
          <w:bCs/>
          <w:lang w:val="en-AU"/>
        </w:rPr>
        <w:t>ssurance, and without attribution</w:t>
      </w:r>
      <w:r w:rsidR="00F64E5D" w:rsidRPr="00700241">
        <w:rPr>
          <w:bCs/>
          <w:lang w:val="en-AU"/>
        </w:rPr>
        <w:t xml:space="preserve"> to &amp;Green</w:t>
      </w:r>
      <w:r w:rsidR="00EB3711" w:rsidRPr="00700241">
        <w:rPr>
          <w:bCs/>
          <w:lang w:val="en-AU"/>
        </w:rPr>
        <w:t xml:space="preserve">, see </w:t>
      </w:r>
      <w:r w:rsidR="00EB3711" w:rsidRPr="00700241">
        <w:rPr>
          <w:bCs/>
          <w:lang w:val="en-AU"/>
        </w:rPr>
        <w:fldChar w:fldCharType="begin"/>
      </w:r>
      <w:r w:rsidR="00EB3711" w:rsidRPr="00700241">
        <w:rPr>
          <w:bCs/>
          <w:lang w:val="en-AU"/>
        </w:rPr>
        <w:instrText xml:space="preserve"> REF _Ref102572272 \h </w:instrText>
      </w:r>
      <w:r w:rsidR="00700241">
        <w:rPr>
          <w:bCs/>
          <w:lang w:val="en-AU"/>
        </w:rPr>
        <w:instrText xml:space="preserve"> \* MERGEFORMAT </w:instrText>
      </w:r>
      <w:r w:rsidR="00EB3711" w:rsidRPr="00700241">
        <w:rPr>
          <w:bCs/>
          <w:lang w:val="en-AU"/>
        </w:rPr>
      </w:r>
      <w:r w:rsidR="00EB3711" w:rsidRPr="00700241">
        <w:rPr>
          <w:bCs/>
          <w:lang w:val="en-AU"/>
        </w:rPr>
        <w:fldChar w:fldCharType="separate"/>
      </w:r>
      <w:r w:rsidR="00EB3711" w:rsidRPr="00700241">
        <w:t xml:space="preserve">Figure </w:t>
      </w:r>
      <w:r w:rsidR="00EB3711" w:rsidRPr="00700241">
        <w:rPr>
          <w:noProof/>
        </w:rPr>
        <w:t>3</w:t>
      </w:r>
      <w:r w:rsidR="00EB3711" w:rsidRPr="00700241">
        <w:rPr>
          <w:bCs/>
          <w:lang w:val="en-AU"/>
        </w:rPr>
        <w:fldChar w:fldCharType="end"/>
      </w:r>
      <w:r w:rsidRPr="00700241">
        <w:rPr>
          <w:bCs/>
          <w:lang w:val="en-AU"/>
        </w:rPr>
        <w:t>.</w:t>
      </w:r>
    </w:p>
    <w:p w14:paraId="084B0474" w14:textId="408228B4" w:rsidR="009202D1" w:rsidRPr="00700241" w:rsidRDefault="009202D1" w:rsidP="009202D1">
      <w:pPr>
        <w:rPr>
          <w:bCs/>
          <w:lang w:val="en-AU"/>
        </w:rPr>
      </w:pPr>
      <w:r w:rsidRPr="00700241">
        <w:rPr>
          <w:bCs/>
          <w:lang w:val="en-AU"/>
        </w:rPr>
        <w:t xml:space="preserve">Avoided deforestation benefits arise from intensifying production of commodities in existing farm areas. </w:t>
      </w:r>
      <w:r w:rsidR="00741EBC" w:rsidRPr="00700241">
        <w:rPr>
          <w:bCs/>
          <w:lang w:val="en-AU"/>
        </w:rPr>
        <w:t>H</w:t>
      </w:r>
      <w:r w:rsidRPr="00700241">
        <w:rPr>
          <w:bCs/>
          <w:lang w:val="en-AU"/>
        </w:rPr>
        <w:t xml:space="preserve">igher production from intensification takes market share within the supply shed, that would otherwise </w:t>
      </w:r>
      <w:r w:rsidR="00F12976" w:rsidRPr="00700241">
        <w:rPr>
          <w:bCs/>
          <w:lang w:val="en-AU"/>
        </w:rPr>
        <w:t xml:space="preserve">(in part) </w:t>
      </w:r>
      <w:r w:rsidRPr="00700241">
        <w:rPr>
          <w:bCs/>
          <w:lang w:val="en-AU"/>
        </w:rPr>
        <w:t xml:space="preserve">be produced by extensification and deforestation. </w:t>
      </w:r>
    </w:p>
    <w:p w14:paraId="40F67B15" w14:textId="79769E95" w:rsidR="009202D1" w:rsidRPr="00700241" w:rsidRDefault="009202D1" w:rsidP="009202D1">
      <w:pPr>
        <w:rPr>
          <w:bCs/>
          <w:lang w:val="en-AU"/>
        </w:rPr>
      </w:pPr>
      <w:r w:rsidRPr="00700241">
        <w:rPr>
          <w:bCs/>
          <w:lang w:val="en-AU"/>
        </w:rPr>
        <w:t xml:space="preserve">The supply shed is defined per project to reflect the sphere of influence of the commodity, typically aligned with &amp;Green’s jurisdictional eligibility. Supply shed definitions </w:t>
      </w:r>
      <w:r w:rsidR="00F12976" w:rsidRPr="00700241">
        <w:rPr>
          <w:bCs/>
          <w:lang w:val="en-AU"/>
        </w:rPr>
        <w:t>are</w:t>
      </w:r>
      <w:r w:rsidRPr="00700241">
        <w:rPr>
          <w:bCs/>
          <w:lang w:val="en-AU"/>
        </w:rPr>
        <w:t xml:space="preserve"> influenced by data availability, and industry recognised standards and practices. </w:t>
      </w:r>
    </w:p>
    <w:p w14:paraId="4ADC9D29" w14:textId="6A725FBB" w:rsidR="009202D1" w:rsidRPr="00700241" w:rsidRDefault="009202D1" w:rsidP="009202D1">
      <w:pPr>
        <w:rPr>
          <w:bCs/>
          <w:lang w:val="en-AU"/>
        </w:rPr>
      </w:pPr>
      <w:r w:rsidRPr="00700241">
        <w:rPr>
          <w:bCs/>
          <w:lang w:val="en-AU"/>
        </w:rPr>
        <w:t>Data to establish OPI4.2 is drawn from</w:t>
      </w:r>
      <w:r w:rsidR="00EA6EE2" w:rsidRPr="00700241">
        <w:rPr>
          <w:bCs/>
          <w:lang w:val="en-AU"/>
        </w:rPr>
        <w:t xml:space="preserve"> OPI4.1</w:t>
      </w:r>
      <w:r w:rsidR="001271F5" w:rsidRPr="00700241">
        <w:rPr>
          <w:bCs/>
          <w:lang w:val="en-AU"/>
        </w:rPr>
        <w:t>a and/or OPI4.1b</w:t>
      </w:r>
      <w:r w:rsidRPr="00700241">
        <w:rPr>
          <w:bCs/>
          <w:lang w:val="en-AU"/>
        </w:rPr>
        <w:t xml:space="preserve"> for commodity </w:t>
      </w:r>
      <w:r w:rsidR="001271F5" w:rsidRPr="00700241">
        <w:rPr>
          <w:bCs/>
          <w:lang w:val="en-AU"/>
        </w:rPr>
        <w:t xml:space="preserve">production </w:t>
      </w:r>
      <w:r w:rsidRPr="00700241">
        <w:rPr>
          <w:bCs/>
          <w:lang w:val="en-AU"/>
        </w:rPr>
        <w:t xml:space="preserve">intensification, and from independent, publicly available market information sources to assess extensification and deforestation. These external sources include published market information and government statistics on total commodity production and land area under cultivation. This is combined with publicly available information from non-profit organisations such as Global Forest Watch and national statistics on forest cover and loss </w:t>
      </w:r>
      <w:r w:rsidR="00EE5F23" w:rsidRPr="00700241">
        <w:rPr>
          <w:bCs/>
          <w:lang w:val="en-AU"/>
        </w:rPr>
        <w:t xml:space="preserve">(including national UNFCCC FRL submissions) </w:t>
      </w:r>
      <w:r w:rsidRPr="00700241">
        <w:rPr>
          <w:bCs/>
          <w:lang w:val="en-AU"/>
        </w:rPr>
        <w:t xml:space="preserve">to determine forest loss by commodity. </w:t>
      </w:r>
    </w:p>
    <w:p w14:paraId="0C860125" w14:textId="4692B920" w:rsidR="009202D1" w:rsidRPr="00700241" w:rsidRDefault="009202D1" w:rsidP="3780A7E6">
      <w:pPr>
        <w:rPr>
          <w:lang w:val="en-AU"/>
        </w:rPr>
      </w:pPr>
      <w:r w:rsidRPr="00700241">
        <w:rPr>
          <w:lang w:val="en-AU"/>
        </w:rPr>
        <w:t>This approach is aligned with the emerging best practice and increasingly standardised approaches to corporate Scope 3 corporate emissions accounting, such as the Gold Standard’s Value Change methodology and the Science Based Targets Initiative</w:t>
      </w:r>
      <w:r w:rsidR="007910C3" w:rsidRPr="00700241">
        <w:rPr>
          <w:rStyle w:val="FootnoteReference"/>
        </w:rPr>
        <w:footnoteReference w:id="17"/>
      </w:r>
      <w:r w:rsidRPr="00700241">
        <w:rPr>
          <w:lang w:val="en-AU"/>
        </w:rPr>
        <w:t>.</w:t>
      </w:r>
    </w:p>
    <w:p w14:paraId="4A42A72E" w14:textId="77777777" w:rsidR="00AE2042" w:rsidRPr="00700241" w:rsidRDefault="00AE2042" w:rsidP="00AE2042">
      <w:pPr>
        <w:rPr>
          <w:bCs/>
          <w:lang w:val="en-IE"/>
        </w:rPr>
      </w:pPr>
      <w:bookmarkStart w:id="25" w:name="_Hlk102574541"/>
    </w:p>
    <w:tbl>
      <w:tblPr>
        <w:tblStyle w:val="TableGrid"/>
        <w:tblW w:w="8801" w:type="dxa"/>
        <w:tblLook w:val="04A0" w:firstRow="1" w:lastRow="0" w:firstColumn="1" w:lastColumn="0" w:noHBand="0" w:noVBand="1"/>
      </w:tblPr>
      <w:tblGrid>
        <w:gridCol w:w="2660"/>
        <w:gridCol w:w="1417"/>
        <w:gridCol w:w="2552"/>
        <w:gridCol w:w="2172"/>
      </w:tblGrid>
      <w:tr w:rsidR="00F23C2C" w:rsidRPr="00700241" w14:paraId="0E25E977" w14:textId="77777777" w:rsidTr="00F23C2C">
        <w:trPr>
          <w:cnfStyle w:val="100000000000" w:firstRow="1" w:lastRow="0" w:firstColumn="0" w:lastColumn="0" w:oddVBand="0" w:evenVBand="0" w:oddHBand="0" w:evenHBand="0" w:firstRowFirstColumn="0" w:firstRowLastColumn="0" w:lastRowFirstColumn="0" w:lastRowLastColumn="0"/>
        </w:trPr>
        <w:tc>
          <w:tcPr>
            <w:tcW w:w="2660" w:type="dxa"/>
          </w:tcPr>
          <w:p w14:paraId="7A14698C" w14:textId="77777777" w:rsidR="00AE2042" w:rsidRPr="00700241" w:rsidRDefault="00AE2042" w:rsidP="00A41311">
            <w:pPr>
              <w:rPr>
                <w:bCs/>
                <w:lang w:val="en-AU"/>
              </w:rPr>
            </w:pPr>
            <w:r w:rsidRPr="00700241">
              <w:rPr>
                <w:bCs/>
                <w:lang w:val="en-AU"/>
              </w:rPr>
              <w:t>Data point</w:t>
            </w:r>
          </w:p>
        </w:tc>
        <w:tc>
          <w:tcPr>
            <w:tcW w:w="1417" w:type="dxa"/>
          </w:tcPr>
          <w:p w14:paraId="7C2217E4" w14:textId="77777777" w:rsidR="00AE2042" w:rsidRPr="00700241" w:rsidRDefault="00AE2042" w:rsidP="00A41311">
            <w:pPr>
              <w:rPr>
                <w:bCs/>
                <w:lang w:val="en-AU"/>
              </w:rPr>
            </w:pPr>
            <w:r w:rsidRPr="00700241">
              <w:rPr>
                <w:bCs/>
                <w:lang w:val="en-AU"/>
              </w:rPr>
              <w:t>Metric</w:t>
            </w:r>
          </w:p>
        </w:tc>
        <w:tc>
          <w:tcPr>
            <w:tcW w:w="2552" w:type="dxa"/>
          </w:tcPr>
          <w:p w14:paraId="42FB85BB" w14:textId="77777777" w:rsidR="00AE2042" w:rsidRPr="00700241" w:rsidRDefault="00AE2042" w:rsidP="00A41311">
            <w:pPr>
              <w:rPr>
                <w:bCs/>
                <w:lang w:val="en-AU"/>
              </w:rPr>
            </w:pPr>
            <w:r w:rsidRPr="00700241">
              <w:rPr>
                <w:bCs/>
                <w:lang w:val="en-AU"/>
              </w:rPr>
              <w:t>Data source</w:t>
            </w:r>
          </w:p>
        </w:tc>
        <w:tc>
          <w:tcPr>
            <w:tcW w:w="2172" w:type="dxa"/>
          </w:tcPr>
          <w:p w14:paraId="4646332C" w14:textId="77777777" w:rsidR="00AE2042" w:rsidRPr="00700241" w:rsidRDefault="00AE2042" w:rsidP="00A41311">
            <w:pPr>
              <w:rPr>
                <w:bCs/>
                <w:lang w:val="en-AU"/>
              </w:rPr>
            </w:pPr>
            <w:r w:rsidRPr="00700241">
              <w:rPr>
                <w:bCs/>
                <w:lang w:val="en-AU"/>
              </w:rPr>
              <w:t>Owner</w:t>
            </w:r>
          </w:p>
        </w:tc>
      </w:tr>
      <w:tr w:rsidR="00F23C2C" w:rsidRPr="00700241" w14:paraId="11C79066" w14:textId="77777777" w:rsidTr="00F23C2C">
        <w:tc>
          <w:tcPr>
            <w:tcW w:w="2660" w:type="dxa"/>
          </w:tcPr>
          <w:p w14:paraId="1091AB89" w14:textId="77777777" w:rsidR="00AE2042" w:rsidRPr="00700241" w:rsidRDefault="00AE2042" w:rsidP="00A41311">
            <w:pPr>
              <w:rPr>
                <w:lang w:val="en-GB"/>
              </w:rPr>
            </w:pPr>
            <w:r w:rsidRPr="00700241">
              <w:rPr>
                <w:lang w:val="en-GB"/>
              </w:rPr>
              <w:t>Productivity metrics</w:t>
            </w:r>
            <w:r w:rsidR="0012517D" w:rsidRPr="00700241">
              <w:rPr>
                <w:lang w:val="en-GB"/>
              </w:rPr>
              <w:t xml:space="preserve"> from OPI4.1a and 4.1b</w:t>
            </w:r>
          </w:p>
          <w:p w14:paraId="5F7A42D6" w14:textId="111BBE4A" w:rsidR="00286050" w:rsidRPr="00700241" w:rsidRDefault="00286050" w:rsidP="00A41311">
            <w:pPr>
              <w:rPr>
                <w:lang w:val="en-GB"/>
              </w:rPr>
            </w:pPr>
            <w:r w:rsidRPr="00700241">
              <w:rPr>
                <w:lang w:val="en-GB"/>
              </w:rPr>
              <w:t xml:space="preserve">National </w:t>
            </w:r>
            <w:r w:rsidR="0050079A" w:rsidRPr="00700241">
              <w:rPr>
                <w:lang w:val="en-GB"/>
              </w:rPr>
              <w:t xml:space="preserve">and supply shed </w:t>
            </w:r>
            <w:r w:rsidRPr="00700241">
              <w:rPr>
                <w:lang w:val="en-GB"/>
              </w:rPr>
              <w:t xml:space="preserve">deforestation </w:t>
            </w:r>
            <w:r w:rsidR="00195908" w:rsidRPr="00700241">
              <w:rPr>
                <w:lang w:val="en-GB"/>
              </w:rPr>
              <w:t>rates and attribution of drivers</w:t>
            </w:r>
            <w:r w:rsidR="00946469" w:rsidRPr="00700241">
              <w:rPr>
                <w:lang w:val="en-GB"/>
              </w:rPr>
              <w:t xml:space="preserve"> of deforestation</w:t>
            </w:r>
          </w:p>
        </w:tc>
        <w:tc>
          <w:tcPr>
            <w:tcW w:w="1417" w:type="dxa"/>
          </w:tcPr>
          <w:p w14:paraId="7062E5F4" w14:textId="77777777" w:rsidR="00AE2042" w:rsidRPr="00700241" w:rsidRDefault="00AE2042" w:rsidP="00A05B8E">
            <w:pPr>
              <w:jc w:val="center"/>
              <w:rPr>
                <w:lang w:val="en-AU"/>
              </w:rPr>
            </w:pPr>
            <w:r w:rsidRPr="00700241">
              <w:rPr>
                <w:lang w:val="en-AU"/>
              </w:rPr>
              <w:t>Hectares</w:t>
            </w:r>
          </w:p>
        </w:tc>
        <w:tc>
          <w:tcPr>
            <w:tcW w:w="2552" w:type="dxa"/>
          </w:tcPr>
          <w:p w14:paraId="1D1CB628" w14:textId="6CF7F548" w:rsidR="00AE2042" w:rsidRPr="00700241" w:rsidRDefault="00AE2042" w:rsidP="00A41311">
            <w:pPr>
              <w:rPr>
                <w:lang w:val="en-AU"/>
              </w:rPr>
            </w:pPr>
            <w:r w:rsidRPr="00700241">
              <w:rPr>
                <w:lang w:val="en-AU"/>
              </w:rPr>
              <w:t xml:space="preserve">Client productivity records </w:t>
            </w:r>
            <w:r w:rsidR="0050079A" w:rsidRPr="00700241">
              <w:rPr>
                <w:lang w:val="en-AU"/>
              </w:rPr>
              <w:t xml:space="preserve">(OPI4.1) </w:t>
            </w:r>
            <w:r w:rsidR="003D4D23" w:rsidRPr="00700241">
              <w:rPr>
                <w:lang w:val="en-AU"/>
              </w:rPr>
              <w:t xml:space="preserve">National statistics, UNFCCC submissions, independent </w:t>
            </w:r>
            <w:r w:rsidR="00F23C2C" w:rsidRPr="00700241">
              <w:rPr>
                <w:lang w:val="en-AU"/>
              </w:rPr>
              <w:t xml:space="preserve">organisations </w:t>
            </w:r>
          </w:p>
        </w:tc>
        <w:tc>
          <w:tcPr>
            <w:tcW w:w="2172" w:type="dxa"/>
          </w:tcPr>
          <w:p w14:paraId="7184E163" w14:textId="4F0DC23E" w:rsidR="00AE2042" w:rsidRPr="00700241" w:rsidRDefault="00AE2042" w:rsidP="00A41311">
            <w:pPr>
              <w:rPr>
                <w:lang w:val="en-AU"/>
              </w:rPr>
            </w:pPr>
            <w:r w:rsidRPr="00700241">
              <w:rPr>
                <w:lang w:val="en-AU"/>
              </w:rPr>
              <w:t xml:space="preserve">Client, sectoral organizations, government, </w:t>
            </w:r>
            <w:r w:rsidR="00F23C2C" w:rsidRPr="00700241">
              <w:rPr>
                <w:lang w:val="en-AU"/>
              </w:rPr>
              <w:t xml:space="preserve">Global Forest Watch, </w:t>
            </w:r>
            <w:r w:rsidRPr="00700241">
              <w:rPr>
                <w:lang w:val="en-AU"/>
              </w:rPr>
              <w:t>etc.</w:t>
            </w:r>
          </w:p>
        </w:tc>
      </w:tr>
      <w:bookmarkEnd w:id="25"/>
    </w:tbl>
    <w:p w14:paraId="56F89BC7" w14:textId="77777777" w:rsidR="00AE2042" w:rsidRPr="00700241" w:rsidRDefault="00AE2042" w:rsidP="3780A7E6">
      <w:pPr>
        <w:rPr>
          <w:lang w:val="en-AU"/>
        </w:rPr>
      </w:pPr>
    </w:p>
    <w:p w14:paraId="0BE6945A" w14:textId="77777777" w:rsidR="009202D1" w:rsidRPr="00700241" w:rsidRDefault="009202D1" w:rsidP="00C576D1">
      <w:pPr>
        <w:pStyle w:val="Heading2simple"/>
      </w:pPr>
      <w:bookmarkStart w:id="26" w:name="_Toc103271295"/>
      <w:r w:rsidRPr="00700241">
        <w:t>OPI 4.3 Avoided emissions</w:t>
      </w:r>
      <w:bookmarkEnd w:id="26"/>
      <w:r w:rsidRPr="00700241">
        <w:t xml:space="preserve"> </w:t>
      </w:r>
    </w:p>
    <w:p w14:paraId="27D6051B" w14:textId="7A2AF1F7" w:rsidR="009202D1" w:rsidRPr="00700241" w:rsidRDefault="0066223D" w:rsidP="009202D1">
      <w:pPr>
        <w:rPr>
          <w:bCs/>
          <w:lang w:val="en-IE"/>
        </w:rPr>
      </w:pPr>
      <w:r w:rsidRPr="00700241">
        <w:rPr>
          <w:bCs/>
          <w:lang w:val="en-IE"/>
        </w:rPr>
        <w:t>#</w:t>
      </w:r>
      <w:r w:rsidR="009202D1" w:rsidRPr="00700241">
        <w:rPr>
          <w:bCs/>
          <w:lang w:val="en-IE"/>
        </w:rPr>
        <w:t>tCO</w:t>
      </w:r>
      <w:r w:rsidR="009202D1" w:rsidRPr="00700241">
        <w:rPr>
          <w:bCs/>
          <w:vertAlign w:val="subscript"/>
          <w:lang w:val="en-IE"/>
        </w:rPr>
        <w:t>2</w:t>
      </w:r>
      <w:r w:rsidR="009202D1" w:rsidRPr="00700241">
        <w:rPr>
          <w:bCs/>
          <w:lang w:val="en-IE"/>
        </w:rPr>
        <w:t xml:space="preserve">e avoided emissions from avoided deforestation </w:t>
      </w:r>
      <w:r w:rsidR="0031151C" w:rsidRPr="00700241">
        <w:rPr>
          <w:bCs/>
          <w:lang w:val="en-IE"/>
        </w:rPr>
        <w:t>in supply sheds.</w:t>
      </w:r>
    </w:p>
    <w:p w14:paraId="18EE01CA" w14:textId="77777777" w:rsidR="00F06DF3" w:rsidRPr="00700241" w:rsidRDefault="00556EA7" w:rsidP="009841E6">
      <w:pPr>
        <w:rPr>
          <w:bCs/>
          <w:lang w:val="en-IE"/>
        </w:rPr>
      </w:pPr>
      <w:r w:rsidRPr="00700241">
        <w:rPr>
          <w:bCs/>
          <w:lang w:val="en-IE"/>
        </w:rPr>
        <w:t>OPI4</w:t>
      </w:r>
      <w:r w:rsidR="00E00733" w:rsidRPr="00700241">
        <w:rPr>
          <w:bCs/>
          <w:lang w:val="en-IE"/>
        </w:rPr>
        <w:t>.3 quantifies the a</w:t>
      </w:r>
      <w:r w:rsidR="009202D1" w:rsidRPr="00700241">
        <w:rPr>
          <w:bCs/>
          <w:lang w:val="en-IE"/>
        </w:rPr>
        <w:t xml:space="preserve">voided emissions from </w:t>
      </w:r>
      <w:r w:rsidR="00E00733" w:rsidRPr="00700241">
        <w:rPr>
          <w:bCs/>
          <w:lang w:val="en-IE"/>
        </w:rPr>
        <w:t xml:space="preserve">avoided deforestation estimated by </w:t>
      </w:r>
      <w:r w:rsidR="009202D1" w:rsidRPr="00700241">
        <w:rPr>
          <w:bCs/>
          <w:lang w:val="en-IE"/>
        </w:rPr>
        <w:t>OPI 4.2</w:t>
      </w:r>
      <w:r w:rsidR="00E00733" w:rsidRPr="00700241">
        <w:rPr>
          <w:bCs/>
          <w:lang w:val="en-IE"/>
        </w:rPr>
        <w:t>.</w:t>
      </w:r>
      <w:r w:rsidR="009202D1" w:rsidRPr="00700241">
        <w:rPr>
          <w:bCs/>
          <w:lang w:val="en-IE"/>
        </w:rPr>
        <w:t xml:space="preserve"> </w:t>
      </w:r>
    </w:p>
    <w:p w14:paraId="19A1D5A3" w14:textId="55AE4085" w:rsidR="009841E6" w:rsidRPr="00700241" w:rsidRDefault="009841E6" w:rsidP="009841E6">
      <w:pPr>
        <w:rPr>
          <w:bCs/>
          <w:lang w:val="en-IE"/>
        </w:rPr>
      </w:pPr>
      <w:r w:rsidRPr="00700241">
        <w:rPr>
          <w:bCs/>
          <w:lang w:val="en-IE"/>
        </w:rPr>
        <w:t xml:space="preserve">As with </w:t>
      </w:r>
      <w:r w:rsidR="0099729D" w:rsidRPr="00700241">
        <w:rPr>
          <w:bCs/>
          <w:lang w:val="en-IE"/>
        </w:rPr>
        <w:t xml:space="preserve">OPI4.2, </w:t>
      </w:r>
      <w:r w:rsidRPr="00700241">
        <w:rPr>
          <w:bCs/>
          <w:lang w:val="en-IE"/>
        </w:rPr>
        <w:t>OPI4.3 has a qualitatively different (lower) Level of Assurance and can</w:t>
      </w:r>
      <w:r w:rsidR="00F06DF3" w:rsidRPr="00700241">
        <w:rPr>
          <w:bCs/>
          <w:lang w:val="en-IE"/>
        </w:rPr>
        <w:t xml:space="preserve"> NOT</w:t>
      </w:r>
      <w:r w:rsidRPr="00700241">
        <w:rPr>
          <w:bCs/>
          <w:lang w:val="en-IE"/>
        </w:rPr>
        <w:t xml:space="preserve"> be summed with other OPIs.</w:t>
      </w:r>
      <w:r w:rsidR="0099729D" w:rsidRPr="00700241">
        <w:rPr>
          <w:bCs/>
          <w:lang w:val="en-IE"/>
        </w:rPr>
        <w:t xml:space="preserve"> It is used to convey market </w:t>
      </w:r>
      <w:proofErr w:type="gramStart"/>
      <w:r w:rsidR="0099729D" w:rsidRPr="00700241">
        <w:rPr>
          <w:bCs/>
          <w:lang w:val="en-IE"/>
        </w:rPr>
        <w:t>impact, and</w:t>
      </w:r>
      <w:proofErr w:type="gramEnd"/>
      <w:r w:rsidR="0099729D" w:rsidRPr="00700241">
        <w:rPr>
          <w:bCs/>
          <w:lang w:val="en-IE"/>
        </w:rPr>
        <w:t xml:space="preserve"> is not attributed </w:t>
      </w:r>
      <w:r w:rsidR="00534B48" w:rsidRPr="00700241">
        <w:rPr>
          <w:bCs/>
          <w:lang w:val="en-IE"/>
        </w:rPr>
        <w:t>to &amp;Green.</w:t>
      </w:r>
    </w:p>
    <w:p w14:paraId="53D6A29E" w14:textId="0AC466B2" w:rsidR="00A52747" w:rsidRPr="00700241" w:rsidRDefault="009202D1" w:rsidP="00121A63">
      <w:pPr>
        <w:rPr>
          <w:bCs/>
          <w:lang w:val="en-IE"/>
        </w:rPr>
      </w:pPr>
      <w:r w:rsidRPr="00700241">
        <w:rPr>
          <w:bCs/>
          <w:lang w:val="en-IE"/>
        </w:rPr>
        <w:t xml:space="preserve">OPI 4.3 is </w:t>
      </w:r>
      <w:r w:rsidR="00043CA9" w:rsidRPr="00700241">
        <w:rPr>
          <w:bCs/>
          <w:lang w:val="en-IE"/>
        </w:rPr>
        <w:t xml:space="preserve">calculated </w:t>
      </w:r>
      <w:r w:rsidR="00741D1C" w:rsidRPr="00700241">
        <w:rPr>
          <w:bCs/>
          <w:lang w:val="en-IE"/>
        </w:rPr>
        <w:t xml:space="preserve">using the avoided deforestation area (from OPI4.2) multiplied by a relevant </w:t>
      </w:r>
      <w:r w:rsidR="00921537" w:rsidRPr="00700241">
        <w:rPr>
          <w:bCs/>
          <w:lang w:val="en-IE"/>
        </w:rPr>
        <w:t xml:space="preserve">emissions factor for carbon emitted </w:t>
      </w:r>
      <w:r w:rsidR="007F39B0" w:rsidRPr="00700241">
        <w:rPr>
          <w:bCs/>
          <w:lang w:val="en-IE"/>
        </w:rPr>
        <w:t>due to</w:t>
      </w:r>
      <w:r w:rsidR="00921537" w:rsidRPr="00700241">
        <w:rPr>
          <w:bCs/>
          <w:lang w:val="en-IE"/>
        </w:rPr>
        <w:t xml:space="preserve"> the Land Use Change</w:t>
      </w:r>
      <w:r w:rsidR="00483ED2" w:rsidRPr="00700241">
        <w:rPr>
          <w:bCs/>
          <w:lang w:val="en-IE"/>
        </w:rPr>
        <w:t xml:space="preserve"> (LUC)</w:t>
      </w:r>
      <w:r w:rsidR="00921537" w:rsidRPr="00700241">
        <w:rPr>
          <w:bCs/>
          <w:lang w:val="en-IE"/>
        </w:rPr>
        <w:t xml:space="preserve">. </w:t>
      </w:r>
      <w:r w:rsidR="00C354AB" w:rsidRPr="00700241">
        <w:rPr>
          <w:bCs/>
          <w:lang w:val="en-IE"/>
        </w:rPr>
        <w:t xml:space="preserve">Emissions factors </w:t>
      </w:r>
      <w:r w:rsidR="00121A63" w:rsidRPr="00700241">
        <w:rPr>
          <w:bCs/>
          <w:lang w:val="en-IE"/>
        </w:rPr>
        <w:t xml:space="preserve">are </w:t>
      </w:r>
      <w:r w:rsidR="007A7438" w:rsidRPr="00700241">
        <w:rPr>
          <w:bCs/>
          <w:lang w:val="en-IE"/>
        </w:rPr>
        <w:t xml:space="preserve">derived from </w:t>
      </w:r>
      <w:r w:rsidR="0050663F" w:rsidRPr="00700241">
        <w:rPr>
          <w:bCs/>
          <w:lang w:val="en-IE"/>
        </w:rPr>
        <w:t xml:space="preserve">IPCC </w:t>
      </w:r>
      <w:r w:rsidR="007A7438" w:rsidRPr="00700241">
        <w:rPr>
          <w:bCs/>
          <w:lang w:val="en-IE"/>
        </w:rPr>
        <w:t xml:space="preserve">carbon stock </w:t>
      </w:r>
      <w:r w:rsidR="0050663F" w:rsidRPr="00700241">
        <w:rPr>
          <w:bCs/>
          <w:lang w:val="en-IE"/>
        </w:rPr>
        <w:t>factors</w:t>
      </w:r>
      <w:r w:rsidR="007C6A29" w:rsidRPr="00700241">
        <w:rPr>
          <w:rStyle w:val="FootnoteReference"/>
          <w:bCs/>
          <w:lang w:val="en-IE"/>
        </w:rPr>
        <w:footnoteReference w:id="18"/>
      </w:r>
      <w:r w:rsidR="0050663F" w:rsidRPr="00700241">
        <w:rPr>
          <w:bCs/>
          <w:lang w:val="en-IE"/>
        </w:rPr>
        <w:t xml:space="preserve"> </w:t>
      </w:r>
      <w:r w:rsidR="007A7438" w:rsidRPr="00700241">
        <w:rPr>
          <w:bCs/>
          <w:lang w:val="en-IE"/>
        </w:rPr>
        <w:t xml:space="preserve">in the forest Land Use </w:t>
      </w:r>
      <w:r w:rsidR="007D3374" w:rsidRPr="00700241">
        <w:rPr>
          <w:bCs/>
          <w:lang w:val="en-IE"/>
        </w:rPr>
        <w:t xml:space="preserve">(defining forest type and degree of degradation) </w:t>
      </w:r>
      <w:r w:rsidR="007A7438" w:rsidRPr="00700241">
        <w:rPr>
          <w:bCs/>
          <w:lang w:val="en-IE"/>
        </w:rPr>
        <w:t xml:space="preserve">to the carbon stock in the agriculture Land Use. For example, </w:t>
      </w:r>
      <w:r w:rsidR="00483ED2" w:rsidRPr="00700241">
        <w:rPr>
          <w:bCs/>
          <w:lang w:val="en-IE"/>
        </w:rPr>
        <w:t xml:space="preserve">LUC from moderately degraded dry </w:t>
      </w:r>
      <w:proofErr w:type="spellStart"/>
      <w:r w:rsidR="00483ED2" w:rsidRPr="00700241">
        <w:rPr>
          <w:bCs/>
          <w:lang w:val="en-IE"/>
        </w:rPr>
        <w:t>montagne</w:t>
      </w:r>
      <w:proofErr w:type="spellEnd"/>
      <w:r w:rsidR="00483ED2" w:rsidRPr="00700241">
        <w:rPr>
          <w:bCs/>
          <w:lang w:val="en-IE"/>
        </w:rPr>
        <w:t xml:space="preserve"> forest to </w:t>
      </w:r>
      <w:proofErr w:type="gramStart"/>
      <w:r w:rsidR="0050663F" w:rsidRPr="00700241">
        <w:rPr>
          <w:bCs/>
          <w:lang w:val="en-IE"/>
        </w:rPr>
        <w:t>pasture land</w:t>
      </w:r>
      <w:proofErr w:type="gramEnd"/>
      <w:r w:rsidR="0050663F" w:rsidRPr="00700241">
        <w:rPr>
          <w:bCs/>
          <w:lang w:val="en-IE"/>
        </w:rPr>
        <w:t xml:space="preserve"> for cattle raising. </w:t>
      </w:r>
      <w:r w:rsidR="00D3189E" w:rsidRPr="00700241">
        <w:rPr>
          <w:bCs/>
          <w:lang w:val="en-IE"/>
        </w:rPr>
        <w:t xml:space="preserve">These values are compared to </w:t>
      </w:r>
      <w:r w:rsidR="00013523" w:rsidRPr="00700241">
        <w:rPr>
          <w:bCs/>
          <w:lang w:val="en-IE"/>
        </w:rPr>
        <w:t xml:space="preserve">LUC values </w:t>
      </w:r>
      <w:r w:rsidR="00121A63" w:rsidRPr="00700241">
        <w:rPr>
          <w:bCs/>
          <w:lang w:val="en-IE"/>
        </w:rPr>
        <w:t xml:space="preserve">directly drawn from </w:t>
      </w:r>
      <w:r w:rsidR="00541B77" w:rsidRPr="00700241">
        <w:rPr>
          <w:bCs/>
          <w:lang w:val="en-IE"/>
        </w:rPr>
        <w:t>credible public information sources</w:t>
      </w:r>
      <w:r w:rsidR="00F06DF3" w:rsidRPr="00700241">
        <w:rPr>
          <w:bCs/>
          <w:lang w:val="en-IE"/>
        </w:rPr>
        <w:t xml:space="preserve"> and national or sub-national specific </w:t>
      </w:r>
      <w:r w:rsidR="00843903" w:rsidRPr="00700241">
        <w:rPr>
          <w:bCs/>
          <w:lang w:val="en-IE"/>
        </w:rPr>
        <w:t>published studies</w:t>
      </w:r>
      <w:r w:rsidR="00541B77" w:rsidRPr="00700241">
        <w:rPr>
          <w:bCs/>
          <w:lang w:val="en-IE"/>
        </w:rPr>
        <w:t xml:space="preserve"> on </w:t>
      </w:r>
      <w:r w:rsidR="00A52747" w:rsidRPr="00700241">
        <w:rPr>
          <w:bCs/>
          <w:lang w:val="en-IE"/>
        </w:rPr>
        <w:t xml:space="preserve">carbon stocks and </w:t>
      </w:r>
      <w:r w:rsidR="00541B77" w:rsidRPr="00700241">
        <w:rPr>
          <w:bCs/>
          <w:lang w:val="en-IE"/>
        </w:rPr>
        <w:t xml:space="preserve">emissions per hectare of deforestation. There are multiple sources of data for deforestation emissions, several are assessed, and the more conservative values are used. </w:t>
      </w:r>
    </w:p>
    <w:p w14:paraId="5E9481B2" w14:textId="1F35ACFA" w:rsidR="00541B77" w:rsidRPr="00700241" w:rsidRDefault="00541B77" w:rsidP="00121A63">
      <w:pPr>
        <w:rPr>
          <w:bCs/>
          <w:lang w:val="en-IE"/>
        </w:rPr>
      </w:pPr>
      <w:r w:rsidRPr="00700241">
        <w:rPr>
          <w:bCs/>
          <w:lang w:val="en-IE"/>
        </w:rPr>
        <w:t>Estimated avoided emissions are lower (i.e., more conservative) when correlating with assessed carbon stock per ha (</w:t>
      </w:r>
      <w:r w:rsidR="00654BA4" w:rsidRPr="00700241">
        <w:rPr>
          <w:bCs/>
          <w:lang w:val="en-IE"/>
        </w:rPr>
        <w:t xml:space="preserve">OPI3.3 </w:t>
      </w:r>
      <w:r w:rsidRPr="00700241">
        <w:rPr>
          <w:bCs/>
          <w:lang w:val="en-IE"/>
        </w:rPr>
        <w:t>C</w:t>
      </w:r>
      <w:r w:rsidR="00654BA4" w:rsidRPr="00700241">
        <w:rPr>
          <w:bCs/>
          <w:lang w:val="en-IE"/>
        </w:rPr>
        <w:t xml:space="preserve">arbon </w:t>
      </w:r>
      <w:r w:rsidRPr="00700241">
        <w:rPr>
          <w:bCs/>
          <w:lang w:val="en-IE"/>
        </w:rPr>
        <w:t xml:space="preserve">Storage) and with estimated emissions from a hectare of deforestation in comparable REDD+ project calculations. </w:t>
      </w:r>
    </w:p>
    <w:p w14:paraId="67701A8E" w14:textId="77777777" w:rsidR="00541B77" w:rsidRPr="00700241" w:rsidRDefault="00541B77" w:rsidP="009202D1">
      <w:pPr>
        <w:rPr>
          <w:bCs/>
          <w:lang w:val="en-IE"/>
        </w:rPr>
      </w:pPr>
    </w:p>
    <w:tbl>
      <w:tblPr>
        <w:tblStyle w:val="TableGrid"/>
        <w:tblW w:w="8801" w:type="dxa"/>
        <w:tblLook w:val="04A0" w:firstRow="1" w:lastRow="0" w:firstColumn="1" w:lastColumn="0" w:noHBand="0" w:noVBand="1"/>
      </w:tblPr>
      <w:tblGrid>
        <w:gridCol w:w="2590"/>
        <w:gridCol w:w="1771"/>
        <w:gridCol w:w="2155"/>
        <w:gridCol w:w="2285"/>
      </w:tblGrid>
      <w:tr w:rsidR="009202D1" w:rsidRPr="00700241" w14:paraId="4B7B5159" w14:textId="77777777" w:rsidTr="002D44EB">
        <w:trPr>
          <w:cnfStyle w:val="100000000000" w:firstRow="1" w:lastRow="0" w:firstColumn="0" w:lastColumn="0" w:oddVBand="0" w:evenVBand="0" w:oddHBand="0" w:evenHBand="0" w:firstRowFirstColumn="0" w:firstRowLastColumn="0" w:lastRowFirstColumn="0" w:lastRowLastColumn="0"/>
        </w:trPr>
        <w:tc>
          <w:tcPr>
            <w:tcW w:w="2590" w:type="dxa"/>
          </w:tcPr>
          <w:p w14:paraId="50BC7C29" w14:textId="77777777" w:rsidR="009202D1" w:rsidRPr="00700241" w:rsidRDefault="009202D1" w:rsidP="009202D1">
            <w:pPr>
              <w:rPr>
                <w:bCs/>
                <w:lang w:val="en-AU"/>
              </w:rPr>
            </w:pPr>
            <w:r w:rsidRPr="00700241">
              <w:rPr>
                <w:bCs/>
                <w:lang w:val="en-AU"/>
              </w:rPr>
              <w:t>Data point</w:t>
            </w:r>
          </w:p>
        </w:tc>
        <w:tc>
          <w:tcPr>
            <w:tcW w:w="1771" w:type="dxa"/>
          </w:tcPr>
          <w:p w14:paraId="69F42269" w14:textId="77777777" w:rsidR="009202D1" w:rsidRPr="00700241" w:rsidRDefault="009202D1" w:rsidP="009202D1">
            <w:pPr>
              <w:rPr>
                <w:bCs/>
                <w:lang w:val="en-AU"/>
              </w:rPr>
            </w:pPr>
            <w:r w:rsidRPr="00700241">
              <w:rPr>
                <w:bCs/>
                <w:lang w:val="en-AU"/>
              </w:rPr>
              <w:t>Metric</w:t>
            </w:r>
          </w:p>
        </w:tc>
        <w:tc>
          <w:tcPr>
            <w:tcW w:w="2155" w:type="dxa"/>
          </w:tcPr>
          <w:p w14:paraId="55D8F71A" w14:textId="77777777" w:rsidR="009202D1" w:rsidRPr="00700241" w:rsidRDefault="009202D1" w:rsidP="009202D1">
            <w:pPr>
              <w:rPr>
                <w:bCs/>
                <w:lang w:val="en-AU"/>
              </w:rPr>
            </w:pPr>
            <w:r w:rsidRPr="00700241">
              <w:rPr>
                <w:bCs/>
                <w:lang w:val="en-AU"/>
              </w:rPr>
              <w:t>Data source</w:t>
            </w:r>
          </w:p>
        </w:tc>
        <w:tc>
          <w:tcPr>
            <w:tcW w:w="2285" w:type="dxa"/>
          </w:tcPr>
          <w:p w14:paraId="7F8C7BEE" w14:textId="77777777" w:rsidR="009202D1" w:rsidRPr="00700241" w:rsidRDefault="009202D1" w:rsidP="009202D1">
            <w:pPr>
              <w:rPr>
                <w:bCs/>
                <w:lang w:val="en-AU"/>
              </w:rPr>
            </w:pPr>
            <w:r w:rsidRPr="00700241">
              <w:rPr>
                <w:bCs/>
                <w:lang w:val="en-AU"/>
              </w:rPr>
              <w:t>Owner</w:t>
            </w:r>
          </w:p>
        </w:tc>
      </w:tr>
      <w:tr w:rsidR="009202D1" w:rsidRPr="00700241" w14:paraId="0B9BCCC7" w14:textId="77777777" w:rsidTr="002D44EB">
        <w:tc>
          <w:tcPr>
            <w:tcW w:w="2590" w:type="dxa"/>
          </w:tcPr>
          <w:p w14:paraId="41015125" w14:textId="3E2248B4" w:rsidR="00843903" w:rsidRPr="00700241" w:rsidRDefault="00843903" w:rsidP="00843903">
            <w:pPr>
              <w:rPr>
                <w:lang w:val="en-GB"/>
              </w:rPr>
            </w:pPr>
            <w:r w:rsidRPr="00700241">
              <w:rPr>
                <w:lang w:val="en-GB"/>
              </w:rPr>
              <w:t>Avoided deforestation area from OPI4.2</w:t>
            </w:r>
          </w:p>
          <w:p w14:paraId="54EC8EC9" w14:textId="57F1B6CD" w:rsidR="009202D1" w:rsidRPr="00700241" w:rsidRDefault="00843903" w:rsidP="00843903">
            <w:pPr>
              <w:rPr>
                <w:lang w:val="en-GB"/>
              </w:rPr>
            </w:pPr>
            <w:r w:rsidRPr="00700241">
              <w:rPr>
                <w:lang w:val="en-GB"/>
              </w:rPr>
              <w:t xml:space="preserve">National and supply shed </w:t>
            </w:r>
            <w:r w:rsidR="00575A55" w:rsidRPr="00700241">
              <w:rPr>
                <w:lang w:val="en-GB"/>
              </w:rPr>
              <w:t>factors for change in carbon storage with LUC</w:t>
            </w:r>
          </w:p>
        </w:tc>
        <w:tc>
          <w:tcPr>
            <w:tcW w:w="1771" w:type="dxa"/>
          </w:tcPr>
          <w:p w14:paraId="122E8B7D" w14:textId="77777777" w:rsidR="009202D1" w:rsidRPr="00700241" w:rsidRDefault="009202D1" w:rsidP="00575A55">
            <w:pPr>
              <w:jc w:val="center"/>
              <w:rPr>
                <w:lang w:val="en-AU"/>
              </w:rPr>
            </w:pPr>
            <w:r w:rsidRPr="00700241">
              <w:t>tCO</w:t>
            </w:r>
            <w:r w:rsidRPr="00700241">
              <w:rPr>
                <w:vertAlign w:val="subscript"/>
              </w:rPr>
              <w:t>2</w:t>
            </w:r>
            <w:r w:rsidRPr="00700241">
              <w:t>e</w:t>
            </w:r>
          </w:p>
        </w:tc>
        <w:tc>
          <w:tcPr>
            <w:tcW w:w="2155" w:type="dxa"/>
          </w:tcPr>
          <w:p w14:paraId="288BFE6A" w14:textId="77777777" w:rsidR="00EB4C1E" w:rsidRPr="00700241" w:rsidRDefault="00EB4C1E" w:rsidP="009202D1">
            <w:pPr>
              <w:rPr>
                <w:lang w:val="en-AU"/>
              </w:rPr>
            </w:pPr>
            <w:r w:rsidRPr="00700241">
              <w:rPr>
                <w:lang w:val="en-AU"/>
              </w:rPr>
              <w:t>&amp;Green derived</w:t>
            </w:r>
            <w:r w:rsidR="009202D1" w:rsidRPr="00700241">
              <w:rPr>
                <w:lang w:val="en-AU"/>
              </w:rPr>
              <w:t xml:space="preserve"> and </w:t>
            </w:r>
          </w:p>
          <w:p w14:paraId="1EAA056A" w14:textId="2BD1E070" w:rsidR="009202D1" w:rsidRPr="00700241" w:rsidRDefault="002D44EB" w:rsidP="009202D1">
            <w:pPr>
              <w:rPr>
                <w:lang w:val="en-AU"/>
              </w:rPr>
            </w:pPr>
            <w:r w:rsidRPr="00700241">
              <w:rPr>
                <w:lang w:val="en-AU"/>
              </w:rPr>
              <w:t xml:space="preserve">Supply shed specific </w:t>
            </w:r>
            <w:r w:rsidR="009202D1" w:rsidRPr="00700241">
              <w:rPr>
                <w:lang w:val="en-AU"/>
              </w:rPr>
              <w:t xml:space="preserve">sectoral </w:t>
            </w:r>
            <w:r w:rsidRPr="00700241">
              <w:rPr>
                <w:lang w:val="en-AU"/>
              </w:rPr>
              <w:t xml:space="preserve">and land use </w:t>
            </w:r>
            <w:r w:rsidR="009202D1" w:rsidRPr="00700241">
              <w:rPr>
                <w:lang w:val="en-AU"/>
              </w:rPr>
              <w:t>data</w:t>
            </w:r>
          </w:p>
        </w:tc>
        <w:tc>
          <w:tcPr>
            <w:tcW w:w="2285" w:type="dxa"/>
          </w:tcPr>
          <w:p w14:paraId="7B9E8686" w14:textId="0651DA0C" w:rsidR="009202D1" w:rsidRPr="00700241" w:rsidRDefault="002D44EB" w:rsidP="009202D1">
            <w:pPr>
              <w:rPr>
                <w:lang w:val="en-AU"/>
              </w:rPr>
            </w:pPr>
            <w:r w:rsidRPr="00700241">
              <w:rPr>
                <w:lang w:val="en-AU"/>
              </w:rPr>
              <w:t>&amp;Green</w:t>
            </w:r>
            <w:r w:rsidR="009202D1" w:rsidRPr="00700241">
              <w:rPr>
                <w:lang w:val="en-AU"/>
              </w:rPr>
              <w:t>, sectoral organizations, government, etc.</w:t>
            </w:r>
          </w:p>
        </w:tc>
      </w:tr>
    </w:tbl>
    <w:p w14:paraId="03B900AF" w14:textId="77777777" w:rsidR="00843903" w:rsidRPr="00700241" w:rsidRDefault="00843903" w:rsidP="009202D1">
      <w:pPr>
        <w:rPr>
          <w:bCs/>
        </w:rPr>
      </w:pPr>
    </w:p>
    <w:p w14:paraId="4C00D590" w14:textId="77777777" w:rsidR="00E554CF" w:rsidRPr="00700241" w:rsidRDefault="00E554CF" w:rsidP="3780A7E6">
      <w:pPr>
        <w:rPr>
          <w:lang w:val="en-IE"/>
        </w:rPr>
      </w:pPr>
    </w:p>
    <w:p w14:paraId="316873DC" w14:textId="77777777" w:rsidR="009202D1" w:rsidRPr="00700241" w:rsidRDefault="009202D1" w:rsidP="00C576D1">
      <w:pPr>
        <w:pStyle w:val="Heading2simple"/>
      </w:pPr>
      <w:bookmarkStart w:id="27" w:name="_Toc103271296"/>
      <w:r w:rsidRPr="00700241">
        <w:t>OPI 4.4 Agricultural land under cultivation</w:t>
      </w:r>
      <w:bookmarkEnd w:id="27"/>
    </w:p>
    <w:p w14:paraId="0F318309" w14:textId="3E664F97" w:rsidR="009202D1" w:rsidRPr="00700241" w:rsidRDefault="00DF4871" w:rsidP="009202D1">
      <w:r w:rsidRPr="00700241">
        <w:t>#</w:t>
      </w:r>
      <w:proofErr w:type="gramStart"/>
      <w:r w:rsidRPr="00700241">
        <w:t>ha</w:t>
      </w:r>
      <w:proofErr w:type="gramEnd"/>
      <w:r w:rsidRPr="00700241">
        <w:t xml:space="preserve"> of a</w:t>
      </w:r>
      <w:r w:rsidR="009202D1" w:rsidRPr="00700241">
        <w:t xml:space="preserve">gricultural land under cultivation by </w:t>
      </w:r>
      <w:r w:rsidR="00517309" w:rsidRPr="00700241">
        <w:t xml:space="preserve">the </w:t>
      </w:r>
      <w:r w:rsidR="0020198E" w:rsidRPr="00700241">
        <w:t xml:space="preserve">Client </w:t>
      </w:r>
      <w:r w:rsidR="009202D1" w:rsidRPr="00700241">
        <w:t xml:space="preserve">and </w:t>
      </w:r>
      <w:r w:rsidR="0020198E" w:rsidRPr="00700241">
        <w:t xml:space="preserve">their </w:t>
      </w:r>
      <w:r w:rsidR="009202D1" w:rsidRPr="00700241">
        <w:t>suppliers</w:t>
      </w:r>
      <w:r w:rsidR="0020198E" w:rsidRPr="00700241">
        <w:t>.</w:t>
      </w:r>
    </w:p>
    <w:p w14:paraId="797CA803" w14:textId="22BD4352" w:rsidR="009202D1" w:rsidRPr="00700241" w:rsidRDefault="0020198E" w:rsidP="009202D1">
      <w:r w:rsidRPr="00700241">
        <w:t xml:space="preserve">OPI4.4 is </w:t>
      </w:r>
      <w:r w:rsidR="00EE3758" w:rsidRPr="00700241">
        <w:t xml:space="preserve">used to understand the scale of &amp;Green </w:t>
      </w:r>
      <w:r w:rsidR="00BB5EF0" w:rsidRPr="00700241">
        <w:t>transaction</w:t>
      </w:r>
      <w:r w:rsidR="00EE3758" w:rsidRPr="00700241">
        <w:t xml:space="preserve">s, and as relevant cross-check data against </w:t>
      </w:r>
      <w:r w:rsidR="00FD1AF4" w:rsidRPr="00700241">
        <w:t>OPI4.1a and b</w:t>
      </w:r>
      <w:r w:rsidR="008B7E2C" w:rsidRPr="00700241">
        <w:t>, 4.5 and 4.6. Client should provide clear records or GIS datasets that show total area under cultivation.</w:t>
      </w:r>
    </w:p>
    <w:tbl>
      <w:tblPr>
        <w:tblStyle w:val="TableGrid"/>
        <w:tblW w:w="8801" w:type="dxa"/>
        <w:tblLook w:val="04A0" w:firstRow="1" w:lastRow="0" w:firstColumn="1" w:lastColumn="0" w:noHBand="0" w:noVBand="1"/>
      </w:tblPr>
      <w:tblGrid>
        <w:gridCol w:w="2376"/>
        <w:gridCol w:w="1134"/>
        <w:gridCol w:w="3969"/>
        <w:gridCol w:w="1322"/>
      </w:tblGrid>
      <w:tr w:rsidR="009202D1" w:rsidRPr="00700241" w14:paraId="4AE306B3" w14:textId="77777777" w:rsidTr="008B7E2C">
        <w:trPr>
          <w:cnfStyle w:val="100000000000" w:firstRow="1" w:lastRow="0" w:firstColumn="0" w:lastColumn="0" w:oddVBand="0" w:evenVBand="0" w:oddHBand="0" w:evenHBand="0" w:firstRowFirstColumn="0" w:firstRowLastColumn="0" w:lastRowFirstColumn="0" w:lastRowLastColumn="0"/>
        </w:trPr>
        <w:tc>
          <w:tcPr>
            <w:tcW w:w="2376" w:type="dxa"/>
          </w:tcPr>
          <w:p w14:paraId="3E4680B0" w14:textId="77777777" w:rsidR="009202D1" w:rsidRPr="00700241" w:rsidRDefault="009202D1" w:rsidP="009202D1">
            <w:pPr>
              <w:rPr>
                <w:bCs/>
                <w:lang w:val="en-AU"/>
              </w:rPr>
            </w:pPr>
            <w:r w:rsidRPr="00700241">
              <w:rPr>
                <w:bCs/>
                <w:lang w:val="en-AU"/>
              </w:rPr>
              <w:t>Data point</w:t>
            </w:r>
          </w:p>
        </w:tc>
        <w:tc>
          <w:tcPr>
            <w:tcW w:w="1134" w:type="dxa"/>
          </w:tcPr>
          <w:p w14:paraId="31C3B4AF" w14:textId="77777777" w:rsidR="009202D1" w:rsidRPr="00700241" w:rsidRDefault="009202D1" w:rsidP="009202D1">
            <w:pPr>
              <w:rPr>
                <w:bCs/>
                <w:lang w:val="en-AU"/>
              </w:rPr>
            </w:pPr>
            <w:r w:rsidRPr="00700241">
              <w:rPr>
                <w:bCs/>
                <w:lang w:val="en-AU"/>
              </w:rPr>
              <w:t>Metric</w:t>
            </w:r>
          </w:p>
        </w:tc>
        <w:tc>
          <w:tcPr>
            <w:tcW w:w="3969" w:type="dxa"/>
          </w:tcPr>
          <w:p w14:paraId="3BF761C2" w14:textId="77777777" w:rsidR="009202D1" w:rsidRPr="00700241" w:rsidRDefault="009202D1" w:rsidP="009202D1">
            <w:pPr>
              <w:rPr>
                <w:bCs/>
                <w:lang w:val="en-AU"/>
              </w:rPr>
            </w:pPr>
            <w:r w:rsidRPr="00700241">
              <w:rPr>
                <w:bCs/>
                <w:lang w:val="en-AU"/>
              </w:rPr>
              <w:t>Data source</w:t>
            </w:r>
          </w:p>
        </w:tc>
        <w:tc>
          <w:tcPr>
            <w:tcW w:w="1322" w:type="dxa"/>
          </w:tcPr>
          <w:p w14:paraId="1C6E348F" w14:textId="77777777" w:rsidR="009202D1" w:rsidRPr="00700241" w:rsidRDefault="009202D1" w:rsidP="009202D1">
            <w:pPr>
              <w:rPr>
                <w:bCs/>
                <w:lang w:val="en-AU"/>
              </w:rPr>
            </w:pPr>
            <w:r w:rsidRPr="00700241">
              <w:rPr>
                <w:bCs/>
                <w:lang w:val="en-AU"/>
              </w:rPr>
              <w:t>Owner</w:t>
            </w:r>
          </w:p>
        </w:tc>
      </w:tr>
      <w:tr w:rsidR="009202D1" w:rsidRPr="00700241" w14:paraId="18D6F0B3" w14:textId="77777777" w:rsidTr="008B7E2C">
        <w:tc>
          <w:tcPr>
            <w:tcW w:w="2376" w:type="dxa"/>
          </w:tcPr>
          <w:p w14:paraId="0284D613" w14:textId="77777777" w:rsidR="009202D1" w:rsidRPr="00700241" w:rsidRDefault="009202D1" w:rsidP="009202D1">
            <w:pPr>
              <w:rPr>
                <w:lang w:val="en-GB"/>
              </w:rPr>
            </w:pPr>
            <w:r w:rsidRPr="00700241">
              <w:rPr>
                <w:lang w:val="en-GB"/>
              </w:rPr>
              <w:t>Area under cultivation</w:t>
            </w:r>
          </w:p>
        </w:tc>
        <w:tc>
          <w:tcPr>
            <w:tcW w:w="1134" w:type="dxa"/>
          </w:tcPr>
          <w:p w14:paraId="3D155099" w14:textId="7CD40960" w:rsidR="009202D1" w:rsidRPr="00700241" w:rsidRDefault="009202D1" w:rsidP="008B7E2C">
            <w:pPr>
              <w:jc w:val="center"/>
              <w:rPr>
                <w:lang w:val="en-AU"/>
              </w:rPr>
            </w:pPr>
            <w:r w:rsidRPr="00700241">
              <w:rPr>
                <w:lang w:val="en-AU"/>
              </w:rPr>
              <w:t>Hectares</w:t>
            </w:r>
          </w:p>
        </w:tc>
        <w:tc>
          <w:tcPr>
            <w:tcW w:w="3969" w:type="dxa"/>
          </w:tcPr>
          <w:p w14:paraId="75C1D22D" w14:textId="77777777" w:rsidR="009202D1" w:rsidRPr="00700241" w:rsidRDefault="009202D1" w:rsidP="009202D1">
            <w:pPr>
              <w:rPr>
                <w:lang w:val="en-AU"/>
              </w:rPr>
            </w:pPr>
            <w:r w:rsidRPr="00700241">
              <w:rPr>
                <w:lang w:val="en-AU"/>
              </w:rPr>
              <w:t>GIS dataset or records of area cultivated</w:t>
            </w:r>
          </w:p>
        </w:tc>
        <w:tc>
          <w:tcPr>
            <w:tcW w:w="1322" w:type="dxa"/>
          </w:tcPr>
          <w:p w14:paraId="27A8FBF7" w14:textId="77777777" w:rsidR="009202D1" w:rsidRPr="00700241" w:rsidRDefault="009202D1" w:rsidP="009202D1">
            <w:pPr>
              <w:rPr>
                <w:lang w:val="en-AU"/>
              </w:rPr>
            </w:pPr>
            <w:r w:rsidRPr="00700241">
              <w:rPr>
                <w:lang w:val="en-AU"/>
              </w:rPr>
              <w:t>Client</w:t>
            </w:r>
          </w:p>
        </w:tc>
      </w:tr>
    </w:tbl>
    <w:p w14:paraId="577B5AA0" w14:textId="3BF3D4CF" w:rsidR="009202D1" w:rsidRPr="00700241" w:rsidRDefault="009202D1" w:rsidP="009202D1">
      <w:pPr>
        <w:rPr>
          <w:b/>
          <w:bCs/>
          <w:lang w:val="en-AU"/>
        </w:rPr>
      </w:pPr>
    </w:p>
    <w:p w14:paraId="325096F9" w14:textId="7BCCE43F" w:rsidR="009202D1" w:rsidRPr="00700241" w:rsidRDefault="009202D1" w:rsidP="00C576D1">
      <w:pPr>
        <w:pStyle w:val="Heading2simple"/>
      </w:pPr>
      <w:bookmarkStart w:id="28" w:name="_Toc103271297"/>
      <w:r w:rsidRPr="007758FA">
        <w:t>OPI 4.5</w:t>
      </w:r>
      <w:r w:rsidR="003B1BD2" w:rsidRPr="007758FA">
        <w:t>a</w:t>
      </w:r>
      <w:r w:rsidRPr="007758FA">
        <w:t xml:space="preserve"> Land</w:t>
      </w:r>
      <w:r w:rsidRPr="00700241">
        <w:t xml:space="preserve"> Sustainably Intensified</w:t>
      </w:r>
      <w:bookmarkEnd w:id="28"/>
      <w:r w:rsidRPr="00700241">
        <w:t xml:space="preserve"> </w:t>
      </w:r>
    </w:p>
    <w:p w14:paraId="65DAAF56" w14:textId="6632CE62" w:rsidR="000760B4" w:rsidRPr="00700241" w:rsidRDefault="000760B4" w:rsidP="000760B4">
      <w:r w:rsidRPr="00700241">
        <w:t>#</w:t>
      </w:r>
      <w:proofErr w:type="gramStart"/>
      <w:r w:rsidRPr="00700241">
        <w:t>ha</w:t>
      </w:r>
      <w:proofErr w:type="gramEnd"/>
      <w:r w:rsidRPr="00700241">
        <w:t xml:space="preserve"> of agricultural land under </w:t>
      </w:r>
      <w:r w:rsidR="00CD1A13" w:rsidRPr="00700241">
        <w:t xml:space="preserve">cultivation that has increased production/yield compared to </w:t>
      </w:r>
      <w:proofErr w:type="spellStart"/>
      <w:r w:rsidR="00ED2BB0" w:rsidRPr="00700241">
        <w:t>BaU</w:t>
      </w:r>
      <w:proofErr w:type="spellEnd"/>
      <w:r w:rsidRPr="00700241">
        <w:t>.</w:t>
      </w:r>
    </w:p>
    <w:p w14:paraId="58ADFBFD" w14:textId="0B276D34" w:rsidR="009202D1" w:rsidRPr="00700241" w:rsidRDefault="00ED2BB0" w:rsidP="009202D1">
      <w:pPr>
        <w:rPr>
          <w:lang w:val="en-IE"/>
        </w:rPr>
      </w:pPr>
      <w:r w:rsidRPr="00700241">
        <w:rPr>
          <w:lang w:val="en-IE"/>
        </w:rPr>
        <w:t>OPI4.5a is d</w:t>
      </w:r>
      <w:r w:rsidR="009202D1" w:rsidRPr="00700241">
        <w:rPr>
          <w:lang w:val="en-IE"/>
        </w:rPr>
        <w:t>erived from 4.1a, 4.1b</w:t>
      </w:r>
      <w:r w:rsidR="007D3B67" w:rsidRPr="00700241">
        <w:rPr>
          <w:lang w:val="en-IE"/>
        </w:rPr>
        <w:t xml:space="preserve"> </w:t>
      </w:r>
      <w:r w:rsidR="009202D1" w:rsidRPr="00700241">
        <w:rPr>
          <w:lang w:val="en-IE"/>
        </w:rPr>
        <w:t>and/or 4.</w:t>
      </w:r>
      <w:r w:rsidR="00AA69D1" w:rsidRPr="00700241">
        <w:rPr>
          <w:lang w:val="en-IE"/>
        </w:rPr>
        <w:t>5b</w:t>
      </w:r>
      <w:r w:rsidR="007D3B67" w:rsidRPr="00700241">
        <w:rPr>
          <w:lang w:val="en-IE"/>
        </w:rPr>
        <w:t>, cross-checked with OPI4.4</w:t>
      </w:r>
      <w:r w:rsidR="009639D3" w:rsidRPr="00700241">
        <w:rPr>
          <w:lang w:val="en-IE"/>
        </w:rPr>
        <w:t xml:space="preserve"> to reflect a</w:t>
      </w:r>
      <w:r w:rsidR="00A5582B" w:rsidRPr="00700241">
        <w:rPr>
          <w:lang w:val="en-IE"/>
        </w:rPr>
        <w:t>rea in hectares under cultivation that has an increase in yield.</w:t>
      </w:r>
      <w:r w:rsidR="0075130A" w:rsidRPr="00700241">
        <w:rPr>
          <w:lang w:val="en-IE"/>
        </w:rPr>
        <w:t xml:space="preserve"> </w:t>
      </w:r>
      <w:r w:rsidR="00530F51" w:rsidRPr="00700241">
        <w:rPr>
          <w:lang w:val="en-IE"/>
        </w:rPr>
        <w:t>The sustainability of intensification is assured through compliance with IFC PS</w:t>
      </w:r>
      <w:r w:rsidR="00A5582B" w:rsidRPr="00700241">
        <w:rPr>
          <w:lang w:val="en-IE"/>
        </w:rPr>
        <w:t xml:space="preserve">. </w:t>
      </w:r>
    </w:p>
    <w:tbl>
      <w:tblPr>
        <w:tblStyle w:val="TableGrid"/>
        <w:tblW w:w="8801" w:type="dxa"/>
        <w:tblLook w:val="04A0" w:firstRow="1" w:lastRow="0" w:firstColumn="1" w:lastColumn="0" w:noHBand="0" w:noVBand="1"/>
      </w:tblPr>
      <w:tblGrid>
        <w:gridCol w:w="2590"/>
        <w:gridCol w:w="1346"/>
        <w:gridCol w:w="3402"/>
        <w:gridCol w:w="1463"/>
      </w:tblGrid>
      <w:tr w:rsidR="009202D1" w:rsidRPr="00700241" w14:paraId="6D48B936" w14:textId="77777777" w:rsidTr="00A5582B">
        <w:trPr>
          <w:cnfStyle w:val="100000000000" w:firstRow="1" w:lastRow="0" w:firstColumn="0" w:lastColumn="0" w:oddVBand="0" w:evenVBand="0" w:oddHBand="0" w:evenHBand="0" w:firstRowFirstColumn="0" w:firstRowLastColumn="0" w:lastRowFirstColumn="0" w:lastRowLastColumn="0"/>
        </w:trPr>
        <w:tc>
          <w:tcPr>
            <w:tcW w:w="2590" w:type="dxa"/>
          </w:tcPr>
          <w:p w14:paraId="25A8EF74" w14:textId="77777777" w:rsidR="009202D1" w:rsidRPr="00700241" w:rsidRDefault="009202D1" w:rsidP="009202D1">
            <w:pPr>
              <w:rPr>
                <w:bCs/>
                <w:lang w:val="en-AU"/>
              </w:rPr>
            </w:pPr>
            <w:r w:rsidRPr="00700241">
              <w:rPr>
                <w:bCs/>
                <w:lang w:val="en-AU"/>
              </w:rPr>
              <w:t>Data point</w:t>
            </w:r>
          </w:p>
        </w:tc>
        <w:tc>
          <w:tcPr>
            <w:tcW w:w="1346" w:type="dxa"/>
          </w:tcPr>
          <w:p w14:paraId="5CF7071C" w14:textId="77777777" w:rsidR="009202D1" w:rsidRPr="00700241" w:rsidRDefault="009202D1" w:rsidP="009202D1">
            <w:pPr>
              <w:rPr>
                <w:bCs/>
                <w:lang w:val="en-AU"/>
              </w:rPr>
            </w:pPr>
            <w:r w:rsidRPr="00700241">
              <w:rPr>
                <w:bCs/>
                <w:lang w:val="en-AU"/>
              </w:rPr>
              <w:t>Metric</w:t>
            </w:r>
          </w:p>
        </w:tc>
        <w:tc>
          <w:tcPr>
            <w:tcW w:w="3402" w:type="dxa"/>
          </w:tcPr>
          <w:p w14:paraId="0BD8B270" w14:textId="77777777" w:rsidR="009202D1" w:rsidRPr="00700241" w:rsidRDefault="009202D1" w:rsidP="009202D1">
            <w:pPr>
              <w:rPr>
                <w:bCs/>
                <w:lang w:val="en-AU"/>
              </w:rPr>
            </w:pPr>
            <w:r w:rsidRPr="00700241">
              <w:rPr>
                <w:bCs/>
                <w:lang w:val="en-AU"/>
              </w:rPr>
              <w:t>Data source</w:t>
            </w:r>
          </w:p>
        </w:tc>
        <w:tc>
          <w:tcPr>
            <w:tcW w:w="1463" w:type="dxa"/>
          </w:tcPr>
          <w:p w14:paraId="1342306E" w14:textId="77777777" w:rsidR="009202D1" w:rsidRPr="00700241" w:rsidRDefault="009202D1" w:rsidP="009202D1">
            <w:pPr>
              <w:rPr>
                <w:bCs/>
                <w:lang w:val="en-AU"/>
              </w:rPr>
            </w:pPr>
            <w:r w:rsidRPr="00700241">
              <w:rPr>
                <w:bCs/>
                <w:lang w:val="en-AU"/>
              </w:rPr>
              <w:t>Owner</w:t>
            </w:r>
          </w:p>
        </w:tc>
      </w:tr>
      <w:tr w:rsidR="009202D1" w:rsidRPr="00700241" w14:paraId="7CD057E9" w14:textId="77777777" w:rsidTr="00A5582B">
        <w:tc>
          <w:tcPr>
            <w:tcW w:w="2590" w:type="dxa"/>
          </w:tcPr>
          <w:p w14:paraId="19F630E0" w14:textId="62A502E9" w:rsidR="009202D1" w:rsidRPr="00700241" w:rsidRDefault="009202D1" w:rsidP="009202D1">
            <w:pPr>
              <w:rPr>
                <w:lang w:val="en-GB"/>
              </w:rPr>
            </w:pPr>
            <w:r w:rsidRPr="00700241">
              <w:rPr>
                <w:lang w:val="en-GB"/>
              </w:rPr>
              <w:t>4.1a, 4.1b</w:t>
            </w:r>
            <w:r w:rsidR="00AA69D1" w:rsidRPr="00700241">
              <w:rPr>
                <w:lang w:val="en-GB"/>
              </w:rPr>
              <w:t>, 4.4</w:t>
            </w:r>
            <w:r w:rsidRPr="00700241">
              <w:rPr>
                <w:lang w:val="en-GB"/>
              </w:rPr>
              <w:t xml:space="preserve"> </w:t>
            </w:r>
            <w:r w:rsidR="003C5F8E" w:rsidRPr="00700241">
              <w:rPr>
                <w:lang w:val="en-GB"/>
              </w:rPr>
              <w:t>&amp;</w:t>
            </w:r>
            <w:r w:rsidRPr="00700241">
              <w:rPr>
                <w:lang w:val="en-GB"/>
              </w:rPr>
              <w:t>/or 4.5</w:t>
            </w:r>
            <w:r w:rsidR="003C5F8E" w:rsidRPr="00700241">
              <w:rPr>
                <w:lang w:val="en-GB"/>
              </w:rPr>
              <w:t>b</w:t>
            </w:r>
          </w:p>
        </w:tc>
        <w:tc>
          <w:tcPr>
            <w:tcW w:w="1346" w:type="dxa"/>
          </w:tcPr>
          <w:p w14:paraId="14BDB65A" w14:textId="5302FB43" w:rsidR="009202D1" w:rsidRPr="00700241" w:rsidRDefault="009202D1" w:rsidP="00A5582B">
            <w:pPr>
              <w:jc w:val="center"/>
              <w:rPr>
                <w:lang w:val="en-AU"/>
              </w:rPr>
            </w:pPr>
            <w:r w:rsidRPr="00700241">
              <w:rPr>
                <w:lang w:val="en-AU"/>
              </w:rPr>
              <w:t>Hectares</w:t>
            </w:r>
          </w:p>
        </w:tc>
        <w:tc>
          <w:tcPr>
            <w:tcW w:w="3402" w:type="dxa"/>
          </w:tcPr>
          <w:p w14:paraId="4D095E48" w14:textId="77777777" w:rsidR="009202D1" w:rsidRPr="00700241" w:rsidRDefault="009202D1" w:rsidP="009202D1">
            <w:pPr>
              <w:rPr>
                <w:lang w:val="en-AU"/>
              </w:rPr>
            </w:pPr>
            <w:r w:rsidRPr="00700241">
              <w:rPr>
                <w:lang w:val="en-AU"/>
              </w:rPr>
              <w:t>GIS dataset or records of area cultivated plus yield records</w:t>
            </w:r>
          </w:p>
        </w:tc>
        <w:tc>
          <w:tcPr>
            <w:tcW w:w="1463" w:type="dxa"/>
          </w:tcPr>
          <w:p w14:paraId="7B72C3D9" w14:textId="77777777" w:rsidR="009202D1" w:rsidRPr="00700241" w:rsidRDefault="009202D1" w:rsidP="009202D1">
            <w:pPr>
              <w:rPr>
                <w:lang w:val="en-AU"/>
              </w:rPr>
            </w:pPr>
            <w:r w:rsidRPr="00700241">
              <w:rPr>
                <w:lang w:val="en-AU"/>
              </w:rPr>
              <w:t>Client</w:t>
            </w:r>
          </w:p>
        </w:tc>
      </w:tr>
    </w:tbl>
    <w:p w14:paraId="202EB47F" w14:textId="77777777" w:rsidR="009202D1" w:rsidRPr="00700241" w:rsidRDefault="009202D1" w:rsidP="009202D1">
      <w:pPr>
        <w:rPr>
          <w:lang w:val="en-IE"/>
        </w:rPr>
      </w:pPr>
    </w:p>
    <w:p w14:paraId="3ACF35A4" w14:textId="5AE87869" w:rsidR="009202D1" w:rsidRPr="00700241" w:rsidRDefault="009202D1" w:rsidP="00C576D1">
      <w:pPr>
        <w:pStyle w:val="Heading2simple"/>
      </w:pPr>
      <w:bookmarkStart w:id="29" w:name="_Toc103271298"/>
      <w:r w:rsidRPr="00700241">
        <w:t>OPI 4.</w:t>
      </w:r>
      <w:r w:rsidRPr="00A74DAE">
        <w:t>5</w:t>
      </w:r>
      <w:r w:rsidR="003B1BD2" w:rsidRPr="00A74DAE">
        <w:t>b</w:t>
      </w:r>
      <w:r w:rsidRPr="00A74DAE">
        <w:t xml:space="preserve"> Land</w:t>
      </w:r>
      <w:r w:rsidRPr="00700241">
        <w:t xml:space="preserve"> restored to productive</w:t>
      </w:r>
      <w:bookmarkEnd w:id="29"/>
    </w:p>
    <w:p w14:paraId="5E1ECD4D" w14:textId="7DFD7018" w:rsidR="00857B7D" w:rsidRPr="00700241" w:rsidRDefault="00857B7D" w:rsidP="00857B7D">
      <w:r w:rsidRPr="00700241">
        <w:t>#</w:t>
      </w:r>
      <w:proofErr w:type="gramStart"/>
      <w:r w:rsidRPr="00700241">
        <w:t>ha</w:t>
      </w:r>
      <w:proofErr w:type="gramEnd"/>
      <w:r w:rsidRPr="00700241">
        <w:t xml:space="preserve"> of land</w:t>
      </w:r>
      <w:r w:rsidR="00A05F38" w:rsidRPr="00700241">
        <w:t xml:space="preserve"> previously degraded or non-productive returned to</w:t>
      </w:r>
      <w:r w:rsidRPr="00700241">
        <w:t xml:space="preserve"> </w:t>
      </w:r>
      <w:r w:rsidR="009D476E" w:rsidRPr="00700241">
        <w:t xml:space="preserve">agricultural </w:t>
      </w:r>
      <w:r w:rsidRPr="00700241">
        <w:t>cultivation.</w:t>
      </w:r>
    </w:p>
    <w:p w14:paraId="43B08289" w14:textId="55D6E7CC" w:rsidR="007D734E" w:rsidRPr="00700241" w:rsidRDefault="007D734E" w:rsidP="007D734E">
      <w:r w:rsidRPr="00700241">
        <w:t xml:space="preserve">OPI4.5b is </w:t>
      </w:r>
      <w:proofErr w:type="gramStart"/>
      <w:r w:rsidRPr="00700241">
        <w:t>similar to</w:t>
      </w:r>
      <w:proofErr w:type="gramEnd"/>
      <w:r w:rsidRPr="00700241">
        <w:t xml:space="preserve"> OPI4.5a, but to be </w:t>
      </w:r>
      <w:r w:rsidR="00530DFD" w:rsidRPr="00700241">
        <w:t xml:space="preserve">included under </w:t>
      </w:r>
      <w:r w:rsidRPr="00700241">
        <w:t xml:space="preserve">this </w:t>
      </w:r>
      <w:r w:rsidR="00530DFD" w:rsidRPr="00700241">
        <w:t>indicator</w:t>
      </w:r>
      <w:r w:rsidRPr="00700241">
        <w:t xml:space="preserve">, </w:t>
      </w:r>
      <w:r w:rsidR="00530DFD" w:rsidRPr="00700241">
        <w:t xml:space="preserve">the </w:t>
      </w:r>
      <w:r w:rsidRPr="00700241">
        <w:t xml:space="preserve">previous land use </w:t>
      </w:r>
      <w:r w:rsidR="00530DFD" w:rsidRPr="00700241">
        <w:t xml:space="preserve">was </w:t>
      </w:r>
      <w:r w:rsidRPr="00700241">
        <w:t>non-productive, such as bare</w:t>
      </w:r>
      <w:r w:rsidR="00530DFD" w:rsidRPr="00700241">
        <w:t xml:space="preserve"> or</w:t>
      </w:r>
      <w:r w:rsidRPr="00700241">
        <w:t xml:space="preserve"> degraded </w:t>
      </w:r>
      <w:r w:rsidR="00530DFD" w:rsidRPr="00700241">
        <w:t>land</w:t>
      </w:r>
      <w:r w:rsidRPr="00700241">
        <w:t>.</w:t>
      </w:r>
      <w:r w:rsidR="00530DFD" w:rsidRPr="00700241">
        <w:t xml:space="preserve"> </w:t>
      </w:r>
      <w:r w:rsidR="00DF7144" w:rsidRPr="00700241">
        <w:t>Productivity of a</w:t>
      </w:r>
      <w:r w:rsidR="00D014F4" w:rsidRPr="00700241">
        <w:t>rea</w:t>
      </w:r>
      <w:r w:rsidR="00DF7144" w:rsidRPr="00700241">
        <w:t>s</w:t>
      </w:r>
      <w:r w:rsidR="00D014F4" w:rsidRPr="00700241">
        <w:t xml:space="preserve"> under OPI4.5b </w:t>
      </w:r>
      <w:r w:rsidR="00D972E2" w:rsidRPr="00700241">
        <w:t xml:space="preserve">do </w:t>
      </w:r>
      <w:r w:rsidR="00DF7144" w:rsidRPr="00700241">
        <w:t xml:space="preserve">not report against </w:t>
      </w:r>
      <w:r w:rsidR="00D972E2" w:rsidRPr="00700241">
        <w:t>4.1a</w:t>
      </w:r>
      <w:r w:rsidR="00D972E2" w:rsidRPr="00700241">
        <w:rPr>
          <w:rStyle w:val="FootnoteReference"/>
        </w:rPr>
        <w:footnoteReference w:id="19"/>
      </w:r>
      <w:r w:rsidR="00D972E2" w:rsidRPr="00700241">
        <w:t xml:space="preserve">, and may </w:t>
      </w:r>
      <w:r w:rsidR="00D014F4" w:rsidRPr="00700241">
        <w:t>be less than industry averages (a negative result for 4.1</w:t>
      </w:r>
      <w:r w:rsidR="00ED037B" w:rsidRPr="00700241">
        <w:t>b)</w:t>
      </w:r>
      <w:r w:rsidR="00D972E2" w:rsidRPr="00700241">
        <w:t>.</w:t>
      </w:r>
      <w:r w:rsidR="00202461" w:rsidRPr="00700241">
        <w:t xml:space="preserve"> </w:t>
      </w:r>
    </w:p>
    <w:p w14:paraId="5EB6FBD5" w14:textId="28E0CCDE" w:rsidR="00857B7D" w:rsidRPr="00700241" w:rsidRDefault="00857B7D" w:rsidP="00857B7D">
      <w:pPr>
        <w:rPr>
          <w:lang w:val="en-IE"/>
        </w:rPr>
      </w:pPr>
      <w:r w:rsidRPr="00700241">
        <w:rPr>
          <w:lang w:val="en-IE"/>
        </w:rPr>
        <w:t>OPI4.5</w:t>
      </w:r>
      <w:r w:rsidR="00624B26" w:rsidRPr="00700241">
        <w:rPr>
          <w:lang w:val="en-IE"/>
        </w:rPr>
        <w:t>b</w:t>
      </w:r>
      <w:r w:rsidRPr="00700241">
        <w:rPr>
          <w:lang w:val="en-IE"/>
        </w:rPr>
        <w:t xml:space="preserve"> is derived from 4.1b </w:t>
      </w:r>
      <w:r w:rsidR="004C552D" w:rsidRPr="00700241">
        <w:rPr>
          <w:lang w:val="en-IE"/>
        </w:rPr>
        <w:t>with additional evidence of the prior or baseline condition of the land, which may be</w:t>
      </w:r>
      <w:r w:rsidRPr="00700241">
        <w:rPr>
          <w:lang w:val="en-IE"/>
        </w:rPr>
        <w:t xml:space="preserve"> cross-checked with </w:t>
      </w:r>
      <w:r w:rsidR="004C552D" w:rsidRPr="00700241">
        <w:rPr>
          <w:lang w:val="en-IE"/>
        </w:rPr>
        <w:t xml:space="preserve">satellite data. </w:t>
      </w:r>
    </w:p>
    <w:p w14:paraId="683DB2C6" w14:textId="1FA7D8D0" w:rsidR="00F54E6B" w:rsidRPr="00700241" w:rsidRDefault="000111EC" w:rsidP="00857B7D">
      <w:pPr>
        <w:rPr>
          <w:lang w:val="en-IE"/>
        </w:rPr>
      </w:pPr>
      <w:r w:rsidRPr="00700241">
        <w:rPr>
          <w:lang w:val="en-AU"/>
        </w:rPr>
        <w:t xml:space="preserve">The OPI4.5b land may be restored through regenerative agriculture, </w:t>
      </w:r>
      <w:proofErr w:type="spellStart"/>
      <w:r w:rsidRPr="00700241">
        <w:rPr>
          <w:lang w:val="en-AU"/>
        </w:rPr>
        <w:t>silvo</w:t>
      </w:r>
      <w:proofErr w:type="spellEnd"/>
      <w:r w:rsidRPr="00700241">
        <w:rPr>
          <w:lang w:val="en-AU"/>
        </w:rPr>
        <w:t xml:space="preserve">-pastoral agriculture, </w:t>
      </w:r>
      <w:proofErr w:type="gramStart"/>
      <w:r w:rsidRPr="00700241">
        <w:rPr>
          <w:lang w:val="en-AU"/>
        </w:rPr>
        <w:t>agroforestry</w:t>
      </w:r>
      <w:proofErr w:type="gramEnd"/>
      <w:r w:rsidRPr="00700241">
        <w:rPr>
          <w:lang w:val="en-AU"/>
        </w:rPr>
        <w:t xml:space="preserve"> or other relevant processes.</w:t>
      </w:r>
    </w:p>
    <w:tbl>
      <w:tblPr>
        <w:tblStyle w:val="TableGrid"/>
        <w:tblW w:w="8801" w:type="dxa"/>
        <w:tblLook w:val="04A0" w:firstRow="1" w:lastRow="0" w:firstColumn="1" w:lastColumn="0" w:noHBand="0" w:noVBand="1"/>
      </w:tblPr>
      <w:tblGrid>
        <w:gridCol w:w="2590"/>
        <w:gridCol w:w="1346"/>
        <w:gridCol w:w="3402"/>
        <w:gridCol w:w="1463"/>
      </w:tblGrid>
      <w:tr w:rsidR="00857B7D" w:rsidRPr="00700241" w14:paraId="518F54D5" w14:textId="77777777" w:rsidTr="00A41311">
        <w:trPr>
          <w:cnfStyle w:val="100000000000" w:firstRow="1" w:lastRow="0" w:firstColumn="0" w:lastColumn="0" w:oddVBand="0" w:evenVBand="0" w:oddHBand="0" w:evenHBand="0" w:firstRowFirstColumn="0" w:firstRowLastColumn="0" w:lastRowFirstColumn="0" w:lastRowLastColumn="0"/>
        </w:trPr>
        <w:tc>
          <w:tcPr>
            <w:tcW w:w="2590" w:type="dxa"/>
          </w:tcPr>
          <w:p w14:paraId="2CE7F3B2" w14:textId="77777777" w:rsidR="00857B7D" w:rsidRPr="00700241" w:rsidRDefault="00857B7D" w:rsidP="00A41311">
            <w:pPr>
              <w:rPr>
                <w:bCs/>
                <w:lang w:val="en-AU"/>
              </w:rPr>
            </w:pPr>
            <w:r w:rsidRPr="00700241">
              <w:rPr>
                <w:bCs/>
                <w:lang w:val="en-AU"/>
              </w:rPr>
              <w:t>Data point</w:t>
            </w:r>
          </w:p>
        </w:tc>
        <w:tc>
          <w:tcPr>
            <w:tcW w:w="1346" w:type="dxa"/>
          </w:tcPr>
          <w:p w14:paraId="597CBAEB" w14:textId="77777777" w:rsidR="00857B7D" w:rsidRPr="00700241" w:rsidRDefault="00857B7D" w:rsidP="00A41311">
            <w:pPr>
              <w:rPr>
                <w:bCs/>
                <w:lang w:val="en-AU"/>
              </w:rPr>
            </w:pPr>
            <w:r w:rsidRPr="00700241">
              <w:rPr>
                <w:bCs/>
                <w:lang w:val="en-AU"/>
              </w:rPr>
              <w:t>Metric</w:t>
            </w:r>
          </w:p>
        </w:tc>
        <w:tc>
          <w:tcPr>
            <w:tcW w:w="3402" w:type="dxa"/>
          </w:tcPr>
          <w:p w14:paraId="211BBF9C" w14:textId="77777777" w:rsidR="00857B7D" w:rsidRPr="00700241" w:rsidRDefault="00857B7D" w:rsidP="00A41311">
            <w:pPr>
              <w:rPr>
                <w:bCs/>
                <w:lang w:val="en-AU"/>
              </w:rPr>
            </w:pPr>
            <w:r w:rsidRPr="00700241">
              <w:rPr>
                <w:bCs/>
                <w:lang w:val="en-AU"/>
              </w:rPr>
              <w:t>Data source</w:t>
            </w:r>
          </w:p>
        </w:tc>
        <w:tc>
          <w:tcPr>
            <w:tcW w:w="1463" w:type="dxa"/>
          </w:tcPr>
          <w:p w14:paraId="40928F46" w14:textId="77777777" w:rsidR="00857B7D" w:rsidRPr="00700241" w:rsidRDefault="00857B7D" w:rsidP="00A41311">
            <w:pPr>
              <w:rPr>
                <w:bCs/>
                <w:lang w:val="en-AU"/>
              </w:rPr>
            </w:pPr>
            <w:r w:rsidRPr="00700241">
              <w:rPr>
                <w:bCs/>
                <w:lang w:val="en-AU"/>
              </w:rPr>
              <w:t>Owner</w:t>
            </w:r>
          </w:p>
        </w:tc>
      </w:tr>
      <w:tr w:rsidR="00857B7D" w:rsidRPr="00700241" w14:paraId="7D39B4FC" w14:textId="77777777" w:rsidTr="00A41311">
        <w:tc>
          <w:tcPr>
            <w:tcW w:w="2590" w:type="dxa"/>
          </w:tcPr>
          <w:p w14:paraId="02B65882" w14:textId="6405AC54" w:rsidR="00857B7D" w:rsidRPr="00700241" w:rsidRDefault="00857B7D" w:rsidP="00A41311">
            <w:pPr>
              <w:rPr>
                <w:lang w:val="en-GB"/>
              </w:rPr>
            </w:pPr>
            <w:r w:rsidRPr="00700241">
              <w:rPr>
                <w:lang w:val="en-GB"/>
              </w:rPr>
              <w:t>4.1b &amp;/or 4.</w:t>
            </w:r>
            <w:r w:rsidR="00C97727" w:rsidRPr="00700241">
              <w:rPr>
                <w:lang w:val="en-GB"/>
              </w:rPr>
              <w:t>4</w:t>
            </w:r>
          </w:p>
        </w:tc>
        <w:tc>
          <w:tcPr>
            <w:tcW w:w="1346" w:type="dxa"/>
          </w:tcPr>
          <w:p w14:paraId="286E20A3" w14:textId="77777777" w:rsidR="00857B7D" w:rsidRPr="00700241" w:rsidRDefault="00857B7D" w:rsidP="00A41311">
            <w:pPr>
              <w:jc w:val="center"/>
              <w:rPr>
                <w:lang w:val="en-AU"/>
              </w:rPr>
            </w:pPr>
            <w:r w:rsidRPr="00700241">
              <w:rPr>
                <w:lang w:val="en-AU"/>
              </w:rPr>
              <w:t>Hectares</w:t>
            </w:r>
          </w:p>
        </w:tc>
        <w:tc>
          <w:tcPr>
            <w:tcW w:w="3402" w:type="dxa"/>
          </w:tcPr>
          <w:p w14:paraId="23E6C38B" w14:textId="77777777" w:rsidR="00857B7D" w:rsidRPr="00700241" w:rsidRDefault="00857B7D" w:rsidP="00A41311">
            <w:pPr>
              <w:rPr>
                <w:lang w:val="en-AU"/>
              </w:rPr>
            </w:pPr>
            <w:r w:rsidRPr="00700241">
              <w:rPr>
                <w:lang w:val="en-AU"/>
              </w:rPr>
              <w:t>GIS dataset or records of area cultivated plus yield records</w:t>
            </w:r>
          </w:p>
        </w:tc>
        <w:tc>
          <w:tcPr>
            <w:tcW w:w="1463" w:type="dxa"/>
          </w:tcPr>
          <w:p w14:paraId="66E86A0F" w14:textId="77777777" w:rsidR="00857B7D" w:rsidRPr="00700241" w:rsidRDefault="00857B7D" w:rsidP="00A41311">
            <w:pPr>
              <w:rPr>
                <w:lang w:val="en-AU"/>
              </w:rPr>
            </w:pPr>
            <w:r w:rsidRPr="00700241">
              <w:rPr>
                <w:lang w:val="en-AU"/>
              </w:rPr>
              <w:t>Client</w:t>
            </w:r>
          </w:p>
        </w:tc>
      </w:tr>
    </w:tbl>
    <w:p w14:paraId="223AF47F" w14:textId="0040F7C6" w:rsidR="0024605B" w:rsidRPr="00700241" w:rsidRDefault="003A3B5C" w:rsidP="001E7602">
      <w:pPr>
        <w:rPr>
          <w:rFonts w:eastAsiaTheme="minorEastAsia"/>
          <w:b/>
          <w:bCs/>
          <w:color w:val="034427"/>
          <w:spacing w:val="15"/>
          <w:sz w:val="24"/>
          <w:szCs w:val="28"/>
          <w:lang w:val="en-IE"/>
        </w:rPr>
      </w:pPr>
      <w:r w:rsidRPr="00700241">
        <w:rPr>
          <w:lang w:val="en-IE"/>
        </w:rPr>
        <w:t>Note that the sum of OPI4.5a and 4.5b c</w:t>
      </w:r>
      <w:r w:rsidR="004C552D" w:rsidRPr="00700241">
        <w:rPr>
          <w:lang w:val="en-IE"/>
        </w:rPr>
        <w:t xml:space="preserve">annot exceed </w:t>
      </w:r>
      <w:r w:rsidRPr="00700241">
        <w:rPr>
          <w:lang w:val="en-IE"/>
        </w:rPr>
        <w:t>that reported for OPI</w:t>
      </w:r>
      <w:r w:rsidR="000D2FE2" w:rsidRPr="00700241">
        <w:rPr>
          <w:lang w:val="en-IE"/>
        </w:rPr>
        <w:t>4.4</w:t>
      </w:r>
      <w:r w:rsidRPr="00700241">
        <w:rPr>
          <w:lang w:val="en-IE"/>
        </w:rPr>
        <w:t xml:space="preserve"> in any given year. </w:t>
      </w:r>
      <w:r w:rsidR="0024605B" w:rsidRPr="00700241">
        <w:br w:type="page"/>
      </w:r>
    </w:p>
    <w:p w14:paraId="39592B2C" w14:textId="45D046BB" w:rsidR="009202D1" w:rsidRPr="00700241" w:rsidRDefault="00705A33" w:rsidP="000A0F4A">
      <w:pPr>
        <w:pStyle w:val="GreenHeading1"/>
      </w:pPr>
      <w:bookmarkStart w:id="30" w:name="_Toc103271299"/>
      <w:r w:rsidRPr="00700241">
        <w:t>PEOPLE</w:t>
      </w:r>
      <w:r w:rsidRPr="00430FD3">
        <w:t>:</w:t>
      </w:r>
      <w:r w:rsidR="004E4B37" w:rsidRPr="00430FD3">
        <w:t xml:space="preserve"> </w:t>
      </w:r>
      <w:r w:rsidR="00C576D1" w:rsidRPr="00430FD3">
        <w:t xml:space="preserve">KPI 5 </w:t>
      </w:r>
      <w:r w:rsidR="003C6D90" w:rsidRPr="00430FD3">
        <w:t xml:space="preserve">- </w:t>
      </w:r>
      <w:r w:rsidR="00C576D1" w:rsidRPr="00430FD3">
        <w:t>PEOPLE</w:t>
      </w:r>
      <w:r w:rsidR="00C576D1" w:rsidRPr="00700241">
        <w:t xml:space="preserve"> WITH INCREASED RESILIENCE</w:t>
      </w:r>
      <w:bookmarkEnd w:id="30"/>
    </w:p>
    <w:p w14:paraId="6B861133" w14:textId="13C5B931" w:rsidR="0017546D" w:rsidRPr="009D0440" w:rsidRDefault="0017546D" w:rsidP="0017546D">
      <w:pPr>
        <w:rPr>
          <w:b/>
          <w:bCs/>
          <w:lang w:val="en-IE"/>
        </w:rPr>
      </w:pPr>
      <w:r w:rsidRPr="00700241">
        <w:rPr>
          <w:b/>
          <w:bCs/>
          <w:lang w:val="en-AU"/>
        </w:rPr>
        <w:t>KPI5: # people with increased resilience</w:t>
      </w:r>
      <w:r w:rsidRPr="00700241">
        <w:rPr>
          <w:b/>
          <w:bCs/>
          <w:lang w:val="en-IE"/>
        </w:rPr>
        <w:t xml:space="preserve"> </w:t>
      </w:r>
      <w:r w:rsidR="00C268CD" w:rsidRPr="00700241">
        <w:rPr>
          <w:bCs/>
          <w:lang w:val="en-IE"/>
        </w:rPr>
        <w:t>m</w:t>
      </w:r>
      <w:r w:rsidRPr="00700241">
        <w:rPr>
          <w:bCs/>
          <w:lang w:val="en-IE"/>
        </w:rPr>
        <w:t xml:space="preserve">onitors and conservatively assesses the number of </w:t>
      </w:r>
      <w:r w:rsidR="00006837">
        <w:rPr>
          <w:bCs/>
          <w:lang w:val="en-IE"/>
        </w:rPr>
        <w:t>people</w:t>
      </w:r>
      <w:r w:rsidRPr="00700241">
        <w:rPr>
          <w:bCs/>
          <w:lang w:val="en-IE"/>
        </w:rPr>
        <w:t xml:space="preserve"> where a benefit or service is provided or made possible to improve the resilience of livelihoods.</w:t>
      </w:r>
    </w:p>
    <w:p w14:paraId="29C9370D" w14:textId="323B3247" w:rsidR="008A104E" w:rsidRPr="00700241" w:rsidRDefault="005A7C86" w:rsidP="008A104E">
      <w:pPr>
        <w:rPr>
          <w:bCs/>
          <w:noProof/>
          <w:lang w:val="en-AU"/>
        </w:rPr>
      </w:pPr>
      <w:r w:rsidRPr="00700241">
        <w:rPr>
          <w:noProof/>
          <w:lang w:val="en-AU"/>
        </w:rPr>
        <w:t xml:space="preserve">The KPI is used </w:t>
      </w:r>
      <w:r w:rsidR="001E0DD2" w:rsidRPr="00700241">
        <w:rPr>
          <w:noProof/>
          <w:lang w:val="en-AU"/>
        </w:rPr>
        <w:t xml:space="preserve">to match best practice approaches, notably the Green Climate Fund </w:t>
      </w:r>
      <w:r w:rsidR="001E0DD2" w:rsidRPr="00700241">
        <w:rPr>
          <w:bCs/>
          <w:noProof/>
          <w:lang w:val="en-AU"/>
        </w:rPr>
        <w:t>Integrated Results Management Framework</w:t>
      </w:r>
      <w:r w:rsidR="008A104E" w:rsidRPr="00700241">
        <w:rPr>
          <w:bCs/>
          <w:noProof/>
          <w:lang w:val="en-AU"/>
        </w:rPr>
        <w:t xml:space="preserve">, and will be used </w:t>
      </w:r>
      <w:r w:rsidR="005D3BB0" w:rsidRPr="00700241">
        <w:rPr>
          <w:bCs/>
          <w:noProof/>
          <w:lang w:val="en-AU"/>
        </w:rPr>
        <w:t xml:space="preserve">for </w:t>
      </w:r>
      <w:r w:rsidR="008A104E" w:rsidRPr="00700241">
        <w:rPr>
          <w:bCs/>
          <w:i/>
          <w:iCs/>
          <w:noProof/>
          <w:lang w:val="en-AU"/>
        </w:rPr>
        <w:t>Core Indicator 2: Direct and indirect beneficiaries reached</w:t>
      </w:r>
      <w:r w:rsidR="005D3BB0" w:rsidRPr="00700241">
        <w:rPr>
          <w:bCs/>
          <w:noProof/>
          <w:lang w:val="en-AU"/>
        </w:rPr>
        <w:t xml:space="preserve">, where a beneficiary is a person whose climate resilience has increased. </w:t>
      </w:r>
      <w:r w:rsidR="004949B0" w:rsidRPr="00700241">
        <w:rPr>
          <w:bCs/>
          <w:noProof/>
          <w:lang w:val="en-AU"/>
        </w:rPr>
        <w:t xml:space="preserve">This </w:t>
      </w:r>
      <w:r w:rsidR="00B92A47" w:rsidRPr="00700241">
        <w:rPr>
          <w:bCs/>
          <w:noProof/>
          <w:lang w:val="en-AU"/>
        </w:rPr>
        <w:t>GCF Framework</w:t>
      </w:r>
      <w:r w:rsidR="004949B0" w:rsidRPr="00700241">
        <w:rPr>
          <w:bCs/>
          <w:noProof/>
          <w:lang w:val="en-AU"/>
        </w:rPr>
        <w:t xml:space="preserve">, and the </w:t>
      </w:r>
      <w:r w:rsidR="007006A5" w:rsidRPr="00700241">
        <w:rPr>
          <w:bCs/>
          <w:noProof/>
          <w:lang w:val="en-AU"/>
        </w:rPr>
        <w:t>related GCF Progam Manual</w:t>
      </w:r>
      <w:r w:rsidR="004022B9" w:rsidRPr="00700241">
        <w:rPr>
          <w:rStyle w:val="FootnoteReference"/>
          <w:bCs/>
          <w:noProof/>
          <w:lang w:val="en-AU"/>
        </w:rPr>
        <w:footnoteReference w:id="20"/>
      </w:r>
      <w:r w:rsidR="007006A5" w:rsidRPr="00700241">
        <w:rPr>
          <w:bCs/>
          <w:noProof/>
          <w:lang w:val="en-AU"/>
        </w:rPr>
        <w:t xml:space="preserve"> provide context </w:t>
      </w:r>
      <w:r w:rsidR="0092070F" w:rsidRPr="00700241">
        <w:rPr>
          <w:bCs/>
          <w:noProof/>
          <w:lang w:val="en-AU"/>
        </w:rPr>
        <w:t xml:space="preserve">and guidance for the selection </w:t>
      </w:r>
      <w:r w:rsidR="007A3DF1" w:rsidRPr="00700241">
        <w:rPr>
          <w:bCs/>
          <w:noProof/>
          <w:lang w:val="en-AU"/>
        </w:rPr>
        <w:t xml:space="preserve">of </w:t>
      </w:r>
      <w:r w:rsidR="004022B9" w:rsidRPr="00700241">
        <w:rPr>
          <w:bCs/>
          <w:noProof/>
          <w:lang w:val="en-AU"/>
        </w:rPr>
        <w:t xml:space="preserve">beneficiaries to include </w:t>
      </w:r>
      <w:r w:rsidR="00B1519F" w:rsidRPr="00700241">
        <w:rPr>
          <w:bCs/>
          <w:noProof/>
          <w:lang w:val="en-AU"/>
        </w:rPr>
        <w:t xml:space="preserve">in </w:t>
      </w:r>
      <w:r w:rsidR="004022B9" w:rsidRPr="00700241">
        <w:rPr>
          <w:bCs/>
          <w:noProof/>
          <w:lang w:val="en-AU"/>
        </w:rPr>
        <w:t>KPI</w:t>
      </w:r>
      <w:r w:rsidR="00B1519F" w:rsidRPr="00700241">
        <w:rPr>
          <w:bCs/>
          <w:noProof/>
          <w:lang w:val="en-AU"/>
        </w:rPr>
        <w:t>5</w:t>
      </w:r>
      <w:r w:rsidR="004022B9" w:rsidRPr="00700241">
        <w:rPr>
          <w:bCs/>
          <w:noProof/>
          <w:lang w:val="en-AU"/>
        </w:rPr>
        <w:t xml:space="preserve">. </w:t>
      </w:r>
      <w:r w:rsidR="008A104E" w:rsidRPr="00700241">
        <w:rPr>
          <w:bCs/>
          <w:noProof/>
          <w:lang w:val="en-AU"/>
        </w:rPr>
        <w:t xml:space="preserve"> </w:t>
      </w:r>
    </w:p>
    <w:p w14:paraId="1B0299FF" w14:textId="00A3B7DF" w:rsidR="00EC55F9" w:rsidRPr="009447F3" w:rsidRDefault="00EC55F9" w:rsidP="00EC55F9">
      <w:pPr>
        <w:rPr>
          <w:bCs/>
          <w:noProof/>
          <w:lang w:val="en-AU"/>
        </w:rPr>
      </w:pPr>
      <w:r w:rsidRPr="00700241">
        <w:rPr>
          <w:bCs/>
          <w:noProof/>
          <w:lang w:val="en-AU"/>
        </w:rPr>
        <w:t xml:space="preserve">For each transaction, a subset of KPI 6 is defined for inclusion in KPI 5, selecting those </w:t>
      </w:r>
      <w:r w:rsidR="00FA67B7">
        <w:rPr>
          <w:bCs/>
          <w:noProof/>
          <w:lang w:val="en-AU"/>
        </w:rPr>
        <w:t xml:space="preserve">benefits that are ongoing </w:t>
      </w:r>
      <w:r w:rsidR="00563875">
        <w:rPr>
          <w:bCs/>
          <w:noProof/>
          <w:lang w:val="en-AU"/>
        </w:rPr>
        <w:t xml:space="preserve">or permanent and </w:t>
      </w:r>
      <w:r w:rsidRPr="00700241">
        <w:rPr>
          <w:bCs/>
          <w:noProof/>
          <w:lang w:val="en-AU"/>
        </w:rPr>
        <w:t>that impact the climate resilience of livelihoods</w:t>
      </w:r>
      <w:r w:rsidRPr="00700241">
        <w:rPr>
          <w:bCs/>
          <w:noProof/>
          <w:vertAlign w:val="superscript"/>
          <w:lang w:val="en-AU"/>
        </w:rPr>
        <w:footnoteReference w:id="21"/>
      </w:r>
      <w:r w:rsidRPr="00700241">
        <w:rPr>
          <w:bCs/>
          <w:noProof/>
          <w:lang w:val="en-AU"/>
        </w:rPr>
        <w:t xml:space="preserve">. This may include services that enhance agricultural outputs, local micro-climates, water and food supply, financial stability, education </w:t>
      </w:r>
      <w:r w:rsidRPr="009447F3">
        <w:rPr>
          <w:bCs/>
          <w:noProof/>
          <w:lang w:val="en-AU"/>
        </w:rPr>
        <w:t xml:space="preserve">and job security. </w:t>
      </w:r>
    </w:p>
    <w:p w14:paraId="39DFAD0B" w14:textId="0A58C991" w:rsidR="008463ED" w:rsidRPr="009447F3" w:rsidRDefault="008463ED" w:rsidP="00EC55F9">
      <w:pPr>
        <w:rPr>
          <w:bCs/>
          <w:noProof/>
          <w:lang w:val="en-AU"/>
        </w:rPr>
      </w:pPr>
      <w:r w:rsidRPr="009447F3">
        <w:rPr>
          <w:bCs/>
          <w:noProof/>
          <w:lang w:val="en-AU"/>
        </w:rPr>
        <w:t>KPI5 = OPI6.</w:t>
      </w:r>
      <w:r w:rsidR="00A55AD0" w:rsidRPr="009447F3">
        <w:rPr>
          <w:bCs/>
          <w:noProof/>
          <w:lang w:val="en-AU"/>
        </w:rPr>
        <w:t>4</w:t>
      </w:r>
      <w:r w:rsidRPr="009447F3">
        <w:rPr>
          <w:bCs/>
          <w:noProof/>
          <w:lang w:val="en-AU"/>
        </w:rPr>
        <w:t xml:space="preserve"> + </w:t>
      </w:r>
      <w:r w:rsidR="000445C7" w:rsidRPr="009447F3">
        <w:rPr>
          <w:bCs/>
          <w:noProof/>
          <w:lang w:val="en-AU"/>
        </w:rPr>
        <w:t>OPI6.5</w:t>
      </w:r>
      <w:r w:rsidR="00F31DB1" w:rsidRPr="009447F3">
        <w:rPr>
          <w:bCs/>
          <w:noProof/>
          <w:lang w:val="en-AU"/>
        </w:rPr>
        <w:t xml:space="preserve"> +</w:t>
      </w:r>
      <w:r w:rsidR="000445C7" w:rsidRPr="009447F3">
        <w:rPr>
          <w:bCs/>
          <w:noProof/>
          <w:lang w:val="en-AU"/>
        </w:rPr>
        <w:t xml:space="preserve"> </w:t>
      </w:r>
      <w:r w:rsidR="00D06AB2" w:rsidRPr="009447F3">
        <w:rPr>
          <w:bCs/>
          <w:noProof/>
          <w:lang w:val="en-AU"/>
        </w:rPr>
        <w:t>selection from OPI6.</w:t>
      </w:r>
      <w:r w:rsidR="00D338A4" w:rsidRPr="009447F3">
        <w:rPr>
          <w:bCs/>
          <w:noProof/>
          <w:lang w:val="en-AU"/>
        </w:rPr>
        <w:t>1</w:t>
      </w:r>
      <w:r w:rsidR="00D06AB2" w:rsidRPr="009447F3">
        <w:rPr>
          <w:bCs/>
          <w:noProof/>
          <w:lang w:val="en-AU"/>
        </w:rPr>
        <w:t xml:space="preserve"> + </w:t>
      </w:r>
      <w:r w:rsidR="00867A17" w:rsidRPr="009447F3">
        <w:rPr>
          <w:bCs/>
          <w:noProof/>
          <w:lang w:val="en-AU"/>
        </w:rPr>
        <w:t>selection from OPI6.</w:t>
      </w:r>
      <w:r w:rsidR="00D665B4" w:rsidRPr="009447F3">
        <w:rPr>
          <w:bCs/>
          <w:noProof/>
          <w:lang w:val="en-AU"/>
        </w:rPr>
        <w:t>2a</w:t>
      </w:r>
      <w:r w:rsidR="00867A17" w:rsidRPr="009447F3">
        <w:rPr>
          <w:bCs/>
          <w:noProof/>
          <w:lang w:val="en-AU"/>
        </w:rPr>
        <w:t xml:space="preserve"> + transaction</w:t>
      </w:r>
      <w:r w:rsidR="00D665B4" w:rsidRPr="009447F3">
        <w:rPr>
          <w:bCs/>
          <w:noProof/>
          <w:lang w:val="en-AU"/>
        </w:rPr>
        <w:t>-</w:t>
      </w:r>
      <w:r w:rsidR="00867A17" w:rsidRPr="009447F3">
        <w:rPr>
          <w:bCs/>
          <w:noProof/>
          <w:lang w:val="en-AU"/>
        </w:rPr>
        <w:t xml:space="preserve">defined where not included under other OPIs. </w:t>
      </w:r>
    </w:p>
    <w:p w14:paraId="1F32E0B7" w14:textId="692CAF52" w:rsidR="00EC55F9" w:rsidRPr="009447F3" w:rsidRDefault="001E4007" w:rsidP="008A104E">
      <w:pPr>
        <w:rPr>
          <w:bCs/>
          <w:noProof/>
          <w:lang w:val="en-AU"/>
        </w:rPr>
      </w:pPr>
      <w:r w:rsidRPr="009447F3">
        <w:rPr>
          <w:bCs/>
          <w:noProof/>
          <w:lang w:val="en-AU"/>
        </w:rPr>
        <w:t>Each transaction has it’s own actions relating to social inclusion and resilience building</w:t>
      </w:r>
      <w:r w:rsidR="002900A4" w:rsidRPr="009447F3">
        <w:rPr>
          <w:bCs/>
          <w:noProof/>
          <w:lang w:val="en-AU"/>
        </w:rPr>
        <w:t>. S</w:t>
      </w:r>
      <w:r w:rsidR="004A0BD2" w:rsidRPr="009447F3">
        <w:rPr>
          <w:bCs/>
          <w:noProof/>
          <w:lang w:val="en-AU"/>
        </w:rPr>
        <w:t xml:space="preserve">ome </w:t>
      </w:r>
      <w:r w:rsidR="002900A4" w:rsidRPr="009447F3">
        <w:rPr>
          <w:bCs/>
          <w:noProof/>
          <w:lang w:val="en-AU"/>
        </w:rPr>
        <w:t xml:space="preserve">guidance on selection of data </w:t>
      </w:r>
      <w:r w:rsidR="00D320D6" w:rsidRPr="009447F3">
        <w:rPr>
          <w:bCs/>
          <w:noProof/>
          <w:lang w:val="en-AU"/>
        </w:rPr>
        <w:t xml:space="preserve">from </w:t>
      </w:r>
      <w:r w:rsidR="004A0BD2" w:rsidRPr="009447F3">
        <w:rPr>
          <w:bCs/>
          <w:noProof/>
          <w:lang w:val="en-AU"/>
        </w:rPr>
        <w:t xml:space="preserve">OPIs under KPI6 </w:t>
      </w:r>
      <w:r w:rsidR="00D320D6" w:rsidRPr="009447F3">
        <w:rPr>
          <w:bCs/>
          <w:noProof/>
          <w:lang w:val="en-AU"/>
        </w:rPr>
        <w:t xml:space="preserve">is </w:t>
      </w:r>
      <w:r w:rsidR="00905DE0" w:rsidRPr="009447F3">
        <w:rPr>
          <w:bCs/>
          <w:noProof/>
          <w:lang w:val="en-AU"/>
        </w:rPr>
        <w:t>provided</w:t>
      </w:r>
      <w:r w:rsidR="00D320D6" w:rsidRPr="009447F3">
        <w:rPr>
          <w:bCs/>
          <w:noProof/>
          <w:lang w:val="en-AU"/>
        </w:rPr>
        <w:t xml:space="preserve"> here.</w:t>
      </w:r>
      <w:r w:rsidR="00EC55F9" w:rsidRPr="009447F3">
        <w:rPr>
          <w:bCs/>
          <w:noProof/>
          <w:lang w:val="en-AU"/>
        </w:rPr>
        <w:t xml:space="preserve"> </w:t>
      </w:r>
    </w:p>
    <w:p w14:paraId="1C0AEAE6" w14:textId="67F13FE6" w:rsidR="00233EB5" w:rsidRPr="00700241" w:rsidRDefault="00D320D6" w:rsidP="002659CF">
      <w:pPr>
        <w:rPr>
          <w:bCs/>
          <w:noProof/>
          <w:lang w:val="en-AU"/>
        </w:rPr>
      </w:pPr>
      <w:r w:rsidRPr="00D338A4">
        <w:rPr>
          <w:noProof/>
          <w:lang w:val="en-AU"/>
        </w:rPr>
        <w:t>OPI</w:t>
      </w:r>
      <w:r w:rsidR="00E16E2D" w:rsidRPr="00D338A4">
        <w:rPr>
          <w:noProof/>
          <w:lang w:val="en-AU"/>
        </w:rPr>
        <w:t>6.</w:t>
      </w:r>
      <w:r w:rsidR="0081361F" w:rsidRPr="00D338A4">
        <w:rPr>
          <w:noProof/>
          <w:lang w:val="en-AU"/>
        </w:rPr>
        <w:t>4</w:t>
      </w:r>
      <w:r w:rsidR="00E16E2D" w:rsidRPr="00D338A4">
        <w:rPr>
          <w:noProof/>
          <w:lang w:val="en-AU"/>
        </w:rPr>
        <w:t xml:space="preserve"> – </w:t>
      </w:r>
      <w:r w:rsidRPr="00D338A4">
        <w:rPr>
          <w:noProof/>
          <w:lang w:val="en-AU"/>
        </w:rPr>
        <w:t>Producers</w:t>
      </w:r>
      <w:r w:rsidRPr="00700241">
        <w:rPr>
          <w:noProof/>
          <w:lang w:val="en-AU"/>
        </w:rPr>
        <w:t xml:space="preserve"> reached</w:t>
      </w:r>
      <w:r w:rsidR="0072774E" w:rsidRPr="00700241">
        <w:rPr>
          <w:noProof/>
          <w:lang w:val="en-AU"/>
        </w:rPr>
        <w:t xml:space="preserve"> – monitors </w:t>
      </w:r>
      <w:r w:rsidR="002659CF" w:rsidRPr="00700241">
        <w:rPr>
          <w:bCs/>
          <w:noProof/>
          <w:lang w:val="en-AU"/>
        </w:rPr>
        <w:t>direct and indirect suppliers compliant with NDPE and sustainability commitments</w:t>
      </w:r>
      <w:r w:rsidR="00A65983" w:rsidRPr="00700241">
        <w:rPr>
          <w:bCs/>
          <w:noProof/>
          <w:lang w:val="en-AU"/>
        </w:rPr>
        <w:t xml:space="preserve">. A producer that reaches this compliance meets </w:t>
      </w:r>
      <w:r w:rsidR="00BF7A8D" w:rsidRPr="00700241">
        <w:rPr>
          <w:bCs/>
          <w:noProof/>
          <w:lang w:val="en-AU"/>
        </w:rPr>
        <w:t xml:space="preserve">important </w:t>
      </w:r>
      <w:r w:rsidR="00A65983" w:rsidRPr="00700241">
        <w:rPr>
          <w:bCs/>
          <w:noProof/>
          <w:lang w:val="en-AU"/>
        </w:rPr>
        <w:t xml:space="preserve">sustainability </w:t>
      </w:r>
      <w:r w:rsidR="00BF7A8D" w:rsidRPr="00700241">
        <w:rPr>
          <w:bCs/>
          <w:noProof/>
          <w:lang w:val="en-AU"/>
        </w:rPr>
        <w:t>values</w:t>
      </w:r>
      <w:r w:rsidR="00A65983" w:rsidRPr="00700241">
        <w:rPr>
          <w:bCs/>
          <w:noProof/>
          <w:lang w:val="en-AU"/>
        </w:rPr>
        <w:t xml:space="preserve"> (including IFC</w:t>
      </w:r>
      <w:r w:rsidR="00391200" w:rsidRPr="00700241">
        <w:rPr>
          <w:bCs/>
          <w:noProof/>
          <w:lang w:val="en-AU"/>
        </w:rPr>
        <w:t xml:space="preserve"> </w:t>
      </w:r>
      <w:r w:rsidR="00A65983" w:rsidRPr="00700241">
        <w:rPr>
          <w:bCs/>
          <w:noProof/>
          <w:lang w:val="en-AU"/>
        </w:rPr>
        <w:t>PS</w:t>
      </w:r>
      <w:r w:rsidR="00391200" w:rsidRPr="00700241">
        <w:rPr>
          <w:bCs/>
          <w:noProof/>
          <w:lang w:val="en-AU"/>
        </w:rPr>
        <w:t xml:space="preserve">) that </w:t>
      </w:r>
      <w:r w:rsidR="007B5838" w:rsidRPr="00700241">
        <w:rPr>
          <w:bCs/>
          <w:noProof/>
          <w:lang w:val="en-AU"/>
        </w:rPr>
        <w:t xml:space="preserve">protect ecosystems, </w:t>
      </w:r>
      <w:r w:rsidR="00391200" w:rsidRPr="00700241">
        <w:rPr>
          <w:bCs/>
          <w:noProof/>
          <w:lang w:val="en-AU"/>
        </w:rPr>
        <w:t xml:space="preserve">drive </w:t>
      </w:r>
      <w:r w:rsidR="007B5838" w:rsidRPr="00700241">
        <w:rPr>
          <w:bCs/>
          <w:noProof/>
          <w:lang w:val="en-AU"/>
        </w:rPr>
        <w:t>greater diversity (human and biological) resulting in higher</w:t>
      </w:r>
      <w:r w:rsidR="00391200" w:rsidRPr="00700241">
        <w:rPr>
          <w:bCs/>
          <w:noProof/>
          <w:lang w:val="en-AU"/>
        </w:rPr>
        <w:t xml:space="preserve"> resilien</w:t>
      </w:r>
      <w:r w:rsidR="007B5838" w:rsidRPr="00700241">
        <w:rPr>
          <w:bCs/>
          <w:noProof/>
          <w:lang w:val="en-AU"/>
        </w:rPr>
        <w:t xml:space="preserve">ce. </w:t>
      </w:r>
      <w:r w:rsidR="00A54AA6" w:rsidRPr="00700241">
        <w:rPr>
          <w:bCs/>
          <w:noProof/>
          <w:lang w:val="en-AU"/>
        </w:rPr>
        <w:t>OPI6.</w:t>
      </w:r>
      <w:r w:rsidR="00A55AD0">
        <w:rPr>
          <w:bCs/>
          <w:noProof/>
          <w:lang w:val="en-AU"/>
        </w:rPr>
        <w:t>4</w:t>
      </w:r>
      <w:r w:rsidR="00A54AA6" w:rsidRPr="00700241">
        <w:rPr>
          <w:bCs/>
          <w:noProof/>
          <w:lang w:val="en-AU"/>
        </w:rPr>
        <w:t xml:space="preserve"> is directly included, and may be considered equivalent to GCF’s</w:t>
      </w:r>
      <w:r w:rsidR="00991403" w:rsidRPr="00700241">
        <w:rPr>
          <w:bCs/>
          <w:noProof/>
          <w:lang w:val="en-AU"/>
        </w:rPr>
        <w:t>:</w:t>
      </w:r>
      <w:r w:rsidR="00A54AA6" w:rsidRPr="00700241">
        <w:rPr>
          <w:bCs/>
          <w:noProof/>
          <w:lang w:val="en-AU"/>
        </w:rPr>
        <w:t xml:space="preserve"> </w:t>
      </w:r>
    </w:p>
    <w:p w14:paraId="7B332144" w14:textId="77777777" w:rsidR="00C523F7" w:rsidRPr="00700241" w:rsidRDefault="00C523F7" w:rsidP="009447F3">
      <w:pPr>
        <w:ind w:left="720"/>
        <w:rPr>
          <w:bCs/>
          <w:i/>
          <w:iCs/>
          <w:noProof/>
        </w:rPr>
      </w:pPr>
      <w:r w:rsidRPr="00700241">
        <w:rPr>
          <w:bCs/>
          <w:i/>
          <w:iCs/>
          <w:noProof/>
        </w:rPr>
        <w:t>Supplementary indicator 2.1: # Beneficiaries (female/male) adopting improved and/or new climate-resilient livelihood options</w:t>
      </w:r>
    </w:p>
    <w:p w14:paraId="6DCF6E9F" w14:textId="793EE8D5" w:rsidR="00E176B5" w:rsidRPr="00700241" w:rsidRDefault="00991403" w:rsidP="00E176B5">
      <w:pPr>
        <w:rPr>
          <w:noProof/>
          <w:lang w:val="en-AU"/>
        </w:rPr>
      </w:pPr>
      <w:r w:rsidRPr="00700241">
        <w:rPr>
          <w:noProof/>
          <w:lang w:val="en-AU"/>
        </w:rPr>
        <w:t xml:space="preserve">Where the </w:t>
      </w:r>
      <w:r w:rsidR="00C523F7" w:rsidRPr="00700241">
        <w:rPr>
          <w:noProof/>
          <w:lang w:val="en-AU"/>
        </w:rPr>
        <w:t>adopted livelihood is one of higher agricultural productivity and zero deforestation</w:t>
      </w:r>
      <w:r w:rsidR="00E176B5" w:rsidRPr="00700241">
        <w:rPr>
          <w:noProof/>
          <w:lang w:val="en-AU"/>
        </w:rPr>
        <w:t>,</w:t>
      </w:r>
      <w:r w:rsidR="00A55AD0">
        <w:rPr>
          <w:noProof/>
          <w:lang w:val="en-AU"/>
        </w:rPr>
        <w:t xml:space="preserve"> </w:t>
      </w:r>
      <w:r w:rsidR="008463ED" w:rsidRPr="00700241">
        <w:rPr>
          <w:noProof/>
          <w:lang w:val="en-AU"/>
        </w:rPr>
        <w:t>connected to global supply chains.</w:t>
      </w:r>
    </w:p>
    <w:p w14:paraId="2BAF155B" w14:textId="77777777" w:rsidR="004D6A00" w:rsidRPr="004D6A00" w:rsidRDefault="004D6A00" w:rsidP="004D6A00">
      <w:pPr>
        <w:rPr>
          <w:noProof/>
          <w:lang w:val="en-AU"/>
        </w:rPr>
      </w:pPr>
      <w:r w:rsidRPr="004D6A00">
        <w:rPr>
          <w:noProof/>
          <w:lang w:val="en-AU"/>
        </w:rPr>
        <w:t xml:space="preserve">OPI6.5 – People with improved land tenure security. Securing land tenure reduces uncertainty for the future, enabling adoption of longer term planning and investment, adopting new techniques and innovations that are essential for building resilience, including social resilence through stable networks and social support structures. </w:t>
      </w:r>
    </w:p>
    <w:p w14:paraId="5B9FF1E8" w14:textId="6B408F26" w:rsidR="00C268CD" w:rsidRPr="00700241" w:rsidRDefault="00E94C77" w:rsidP="00E176B5">
      <w:pPr>
        <w:rPr>
          <w:noProof/>
          <w:lang w:val="en-AU"/>
        </w:rPr>
      </w:pPr>
      <w:r w:rsidRPr="00700241">
        <w:rPr>
          <w:noProof/>
          <w:lang w:val="en-AU"/>
        </w:rPr>
        <w:t>OPI</w:t>
      </w:r>
      <w:r w:rsidR="00D84FD0" w:rsidRPr="00700241">
        <w:rPr>
          <w:noProof/>
          <w:lang w:val="en-AU"/>
        </w:rPr>
        <w:t>6.</w:t>
      </w:r>
      <w:r w:rsidR="00421923">
        <w:rPr>
          <w:noProof/>
          <w:lang w:val="en-AU"/>
        </w:rPr>
        <w:t>1</w:t>
      </w:r>
      <w:r w:rsidR="00D84FD0" w:rsidRPr="00700241">
        <w:rPr>
          <w:noProof/>
          <w:lang w:val="en-AU"/>
        </w:rPr>
        <w:t xml:space="preserve"> – </w:t>
      </w:r>
      <w:r w:rsidR="00525804" w:rsidRPr="00700241">
        <w:rPr>
          <w:noProof/>
          <w:lang w:val="en-AU"/>
        </w:rPr>
        <w:t>people rec</w:t>
      </w:r>
      <w:r w:rsidR="004D03E8" w:rsidRPr="00700241">
        <w:rPr>
          <w:noProof/>
          <w:lang w:val="en-AU"/>
        </w:rPr>
        <w:t xml:space="preserve">eiving community services. </w:t>
      </w:r>
      <w:r w:rsidRPr="00700241">
        <w:rPr>
          <w:noProof/>
          <w:lang w:val="en-AU"/>
        </w:rPr>
        <w:t>Results from t</w:t>
      </w:r>
      <w:r w:rsidR="004D03E8" w:rsidRPr="00700241">
        <w:rPr>
          <w:noProof/>
          <w:lang w:val="en-AU"/>
        </w:rPr>
        <w:t xml:space="preserve">his </w:t>
      </w:r>
      <w:r w:rsidRPr="00700241">
        <w:rPr>
          <w:noProof/>
          <w:lang w:val="en-AU"/>
        </w:rPr>
        <w:t xml:space="preserve">OPI are included when </w:t>
      </w:r>
      <w:r w:rsidR="00D84FD0" w:rsidRPr="00700241">
        <w:rPr>
          <w:noProof/>
          <w:lang w:val="en-AU"/>
        </w:rPr>
        <w:t xml:space="preserve">it is an ongoing, or stable service </w:t>
      </w:r>
      <w:r w:rsidR="004A364C" w:rsidRPr="00700241">
        <w:rPr>
          <w:noProof/>
          <w:lang w:val="en-AU"/>
        </w:rPr>
        <w:t>that can reasonably show a</w:t>
      </w:r>
      <w:r w:rsidR="00753290" w:rsidRPr="00700241">
        <w:rPr>
          <w:noProof/>
          <w:lang w:val="en-AU"/>
        </w:rPr>
        <w:t xml:space="preserve"> stable</w:t>
      </w:r>
      <w:r w:rsidR="004A364C" w:rsidRPr="00700241">
        <w:rPr>
          <w:noProof/>
          <w:lang w:val="en-AU"/>
        </w:rPr>
        <w:t xml:space="preserve"> i</w:t>
      </w:r>
      <w:r w:rsidR="00753290" w:rsidRPr="00700241">
        <w:rPr>
          <w:noProof/>
          <w:lang w:val="en-AU"/>
        </w:rPr>
        <w:t>mprovement</w:t>
      </w:r>
      <w:r w:rsidR="004A364C" w:rsidRPr="00700241">
        <w:rPr>
          <w:noProof/>
          <w:lang w:val="en-AU"/>
        </w:rPr>
        <w:t xml:space="preserve"> in livelihood</w:t>
      </w:r>
      <w:r w:rsidR="00753290" w:rsidRPr="00700241">
        <w:rPr>
          <w:noProof/>
          <w:lang w:val="en-AU"/>
        </w:rPr>
        <w:t>s</w:t>
      </w:r>
      <w:r w:rsidR="004A364C" w:rsidRPr="00700241">
        <w:rPr>
          <w:noProof/>
          <w:lang w:val="en-AU"/>
        </w:rPr>
        <w:t xml:space="preserve">. For example, </w:t>
      </w:r>
      <w:r w:rsidR="00345DBB" w:rsidRPr="00700241">
        <w:rPr>
          <w:noProof/>
          <w:lang w:val="en-AU"/>
        </w:rPr>
        <w:t>access to ongoing education and/or health services increase</w:t>
      </w:r>
      <w:r w:rsidR="003F0536" w:rsidRPr="00700241">
        <w:rPr>
          <w:noProof/>
          <w:lang w:val="en-AU"/>
        </w:rPr>
        <w:t>s</w:t>
      </w:r>
      <w:r w:rsidR="00345DBB" w:rsidRPr="00700241">
        <w:rPr>
          <w:noProof/>
          <w:lang w:val="en-AU"/>
        </w:rPr>
        <w:t xml:space="preserve"> resilience, while a single health clinic visit or once-only training course may not. </w:t>
      </w:r>
    </w:p>
    <w:p w14:paraId="696A7AD0" w14:textId="44A99D25" w:rsidR="003E1DC7" w:rsidRPr="00700241" w:rsidRDefault="009C4D65" w:rsidP="00704407">
      <w:pPr>
        <w:rPr>
          <w:rStyle w:val="Wordboldgreen"/>
          <w:b w:val="0"/>
          <w:bCs/>
          <w:color w:val="auto"/>
        </w:rPr>
      </w:pPr>
      <w:r w:rsidRPr="00700241">
        <w:rPr>
          <w:rStyle w:val="Wordboldgreen"/>
          <w:b w:val="0"/>
          <w:bCs/>
          <w:color w:val="auto"/>
        </w:rPr>
        <w:t>OPI</w:t>
      </w:r>
      <w:r w:rsidR="001923D9" w:rsidRPr="00700241">
        <w:rPr>
          <w:rStyle w:val="Wordboldgreen"/>
          <w:b w:val="0"/>
          <w:bCs/>
          <w:color w:val="auto"/>
        </w:rPr>
        <w:t>6.</w:t>
      </w:r>
      <w:r w:rsidR="002137D7">
        <w:rPr>
          <w:rStyle w:val="Wordboldgreen"/>
          <w:b w:val="0"/>
          <w:bCs/>
          <w:color w:val="auto"/>
        </w:rPr>
        <w:t>2</w:t>
      </w:r>
      <w:r w:rsidR="00867A17" w:rsidRPr="00700241">
        <w:rPr>
          <w:rStyle w:val="Wordboldgreen"/>
          <w:b w:val="0"/>
          <w:bCs/>
          <w:color w:val="auto"/>
        </w:rPr>
        <w:t>a</w:t>
      </w:r>
      <w:r w:rsidR="001923D9" w:rsidRPr="00700241">
        <w:rPr>
          <w:rStyle w:val="Wordboldgreen"/>
          <w:b w:val="0"/>
          <w:bCs/>
          <w:color w:val="auto"/>
        </w:rPr>
        <w:t xml:space="preserve"> – </w:t>
      </w:r>
      <w:r w:rsidR="00423A63" w:rsidRPr="00700241">
        <w:rPr>
          <w:rStyle w:val="Wordboldgreen"/>
          <w:b w:val="0"/>
          <w:bCs/>
          <w:color w:val="auto"/>
        </w:rPr>
        <w:t>J</w:t>
      </w:r>
      <w:r w:rsidR="001923D9" w:rsidRPr="00700241">
        <w:rPr>
          <w:rStyle w:val="Wordboldgreen"/>
          <w:b w:val="0"/>
          <w:bCs/>
          <w:color w:val="auto"/>
        </w:rPr>
        <w:t xml:space="preserve">obs supported </w:t>
      </w:r>
      <w:r w:rsidR="00423A63" w:rsidRPr="00700241">
        <w:rPr>
          <w:rStyle w:val="Wordboldgreen"/>
          <w:b w:val="0"/>
          <w:bCs/>
          <w:color w:val="auto"/>
        </w:rPr>
        <w:t>(direct)</w:t>
      </w:r>
    </w:p>
    <w:p w14:paraId="17E7C3A6" w14:textId="586A38AE" w:rsidR="0017546D" w:rsidRPr="00700241" w:rsidRDefault="00C20F3E" w:rsidP="00704407">
      <w:pPr>
        <w:rPr>
          <w:rStyle w:val="Wordboldgreen"/>
          <w:color w:val="auto"/>
        </w:rPr>
      </w:pPr>
      <w:r w:rsidRPr="00700241">
        <w:rPr>
          <w:rStyle w:val="Wordboldgreen"/>
          <w:b w:val="0"/>
          <w:bCs/>
          <w:color w:val="auto"/>
        </w:rPr>
        <w:t xml:space="preserve">FTEs from seasonal work or intermittent contract labour benefit people </w:t>
      </w:r>
      <w:r w:rsidR="00870DF6" w:rsidRPr="00700241">
        <w:rPr>
          <w:rStyle w:val="Wordboldgreen"/>
          <w:b w:val="0"/>
          <w:bCs/>
          <w:color w:val="auto"/>
        </w:rPr>
        <w:t>financially</w:t>
      </w:r>
      <w:r w:rsidRPr="00700241">
        <w:rPr>
          <w:rStyle w:val="Wordboldgreen"/>
          <w:b w:val="0"/>
          <w:bCs/>
          <w:color w:val="auto"/>
        </w:rPr>
        <w:t xml:space="preserve">, but if wages are not predictable, </w:t>
      </w:r>
      <w:r w:rsidR="00870DF6" w:rsidRPr="00700241">
        <w:rPr>
          <w:rStyle w:val="Wordboldgreen"/>
          <w:b w:val="0"/>
          <w:bCs/>
          <w:color w:val="auto"/>
        </w:rPr>
        <w:t xml:space="preserve">individuals </w:t>
      </w:r>
      <w:r w:rsidR="003A5ADF" w:rsidRPr="00700241">
        <w:rPr>
          <w:rStyle w:val="Wordboldgreen"/>
          <w:b w:val="0"/>
          <w:bCs/>
          <w:color w:val="auto"/>
        </w:rPr>
        <w:t xml:space="preserve">are less able to take risks on innovative approaches and </w:t>
      </w:r>
      <w:r w:rsidR="00870DF6" w:rsidRPr="00700241">
        <w:rPr>
          <w:rStyle w:val="Wordboldgreen"/>
          <w:b w:val="0"/>
          <w:bCs/>
          <w:color w:val="auto"/>
        </w:rPr>
        <w:t xml:space="preserve">may not </w:t>
      </w:r>
      <w:r w:rsidR="0010720D" w:rsidRPr="00700241">
        <w:rPr>
          <w:rStyle w:val="Wordboldgreen"/>
          <w:b w:val="0"/>
          <w:bCs/>
          <w:color w:val="auto"/>
        </w:rPr>
        <w:t xml:space="preserve">make </w:t>
      </w:r>
      <w:r w:rsidR="00870DF6" w:rsidRPr="00700241">
        <w:rPr>
          <w:rStyle w:val="Wordboldgreen"/>
          <w:b w:val="0"/>
          <w:bCs/>
          <w:color w:val="auto"/>
        </w:rPr>
        <w:t xml:space="preserve">longer term </w:t>
      </w:r>
      <w:r w:rsidR="0010720D" w:rsidRPr="00700241">
        <w:rPr>
          <w:rStyle w:val="Wordboldgreen"/>
          <w:b w:val="0"/>
          <w:bCs/>
          <w:color w:val="auto"/>
        </w:rPr>
        <w:t>investments</w:t>
      </w:r>
      <w:r w:rsidR="00014D4A" w:rsidRPr="00700241">
        <w:rPr>
          <w:rStyle w:val="Wordboldgreen"/>
          <w:b w:val="0"/>
          <w:bCs/>
          <w:color w:val="auto"/>
        </w:rPr>
        <w:t xml:space="preserve"> that will imrove their resilience, such as education, savings,</w:t>
      </w:r>
      <w:r w:rsidR="003A5ADF" w:rsidRPr="00700241">
        <w:rPr>
          <w:rStyle w:val="Wordboldgreen"/>
          <w:b w:val="0"/>
          <w:bCs/>
          <w:color w:val="auto"/>
        </w:rPr>
        <w:t xml:space="preserve"> </w:t>
      </w:r>
      <w:r w:rsidR="003E1DC7" w:rsidRPr="00700241">
        <w:rPr>
          <w:rStyle w:val="Wordboldgreen"/>
          <w:b w:val="0"/>
          <w:bCs/>
          <w:color w:val="auto"/>
        </w:rPr>
        <w:t xml:space="preserve">or </w:t>
      </w:r>
      <w:r w:rsidR="003A5ADF" w:rsidRPr="00700241">
        <w:rPr>
          <w:rStyle w:val="Wordboldgreen"/>
          <w:b w:val="0"/>
          <w:bCs/>
          <w:color w:val="auto"/>
        </w:rPr>
        <w:t xml:space="preserve">crop diversification. </w:t>
      </w:r>
      <w:r w:rsidR="003E1DC7" w:rsidRPr="00700241">
        <w:rPr>
          <w:rStyle w:val="Wordboldgreen"/>
          <w:b w:val="0"/>
          <w:bCs/>
          <w:color w:val="auto"/>
        </w:rPr>
        <w:t xml:space="preserve">Accordingly, </w:t>
      </w:r>
      <w:r w:rsidR="001C657C" w:rsidRPr="00700241">
        <w:rPr>
          <w:rStyle w:val="Wordboldgreen"/>
          <w:b w:val="0"/>
          <w:bCs/>
          <w:color w:val="auto"/>
        </w:rPr>
        <w:t xml:space="preserve">the </w:t>
      </w:r>
      <w:r w:rsidR="003E1DC7" w:rsidRPr="00700241">
        <w:rPr>
          <w:rStyle w:val="Wordboldgreen"/>
          <w:b w:val="0"/>
          <w:bCs/>
          <w:color w:val="auto"/>
        </w:rPr>
        <w:t>subset of OPI6.5</w:t>
      </w:r>
      <w:r w:rsidR="001C657C" w:rsidRPr="00700241">
        <w:rPr>
          <w:rStyle w:val="Wordboldgreen"/>
          <w:b w:val="0"/>
          <w:bCs/>
          <w:color w:val="auto"/>
        </w:rPr>
        <w:t>a</w:t>
      </w:r>
      <w:r w:rsidR="003E1DC7" w:rsidRPr="00700241">
        <w:rPr>
          <w:rStyle w:val="Wordboldgreen"/>
          <w:b w:val="0"/>
          <w:bCs/>
          <w:color w:val="auto"/>
        </w:rPr>
        <w:t xml:space="preserve"> </w:t>
      </w:r>
      <w:r w:rsidR="001C657C" w:rsidRPr="00700241">
        <w:rPr>
          <w:rStyle w:val="Wordboldgreen"/>
          <w:b w:val="0"/>
          <w:bCs/>
          <w:color w:val="auto"/>
        </w:rPr>
        <w:t xml:space="preserve">to be included </w:t>
      </w:r>
      <w:r w:rsidR="006F2981" w:rsidRPr="00700241">
        <w:rPr>
          <w:rStyle w:val="Wordboldgreen"/>
          <w:b w:val="0"/>
          <w:bCs/>
          <w:color w:val="auto"/>
        </w:rPr>
        <w:t xml:space="preserve">is </w:t>
      </w:r>
      <w:r w:rsidR="007001F8" w:rsidRPr="00700241">
        <w:rPr>
          <w:noProof/>
        </w:rPr>
        <w:t xml:space="preserve">only those jobs </w:t>
      </w:r>
      <w:r w:rsidR="006F2981" w:rsidRPr="00700241">
        <w:rPr>
          <w:noProof/>
        </w:rPr>
        <w:t xml:space="preserve">(and people) </w:t>
      </w:r>
      <w:r w:rsidR="007001F8" w:rsidRPr="00700241">
        <w:rPr>
          <w:noProof/>
        </w:rPr>
        <w:t>that are ongoing and stable (‘permanent employment’)</w:t>
      </w:r>
      <w:r w:rsidR="00EE5F39">
        <w:rPr>
          <w:rStyle w:val="FootnoteReference"/>
          <w:noProof/>
        </w:rPr>
        <w:footnoteReference w:id="22"/>
      </w:r>
      <w:r w:rsidR="007001F8" w:rsidRPr="00700241">
        <w:rPr>
          <w:noProof/>
        </w:rPr>
        <w:t>.</w:t>
      </w:r>
    </w:p>
    <w:p w14:paraId="7042294B" w14:textId="2F3E9706" w:rsidR="00E40A59" w:rsidRPr="00700241" w:rsidRDefault="00B418B7" w:rsidP="009B66E8">
      <w:pPr>
        <w:rPr>
          <w:rStyle w:val="Wordboldgreen"/>
          <w:color w:val="auto"/>
        </w:rPr>
      </w:pPr>
      <w:r w:rsidRPr="00700241">
        <w:rPr>
          <w:noProof/>
          <w:lang w:val="en-AU"/>
        </w:rPr>
        <w:t>T</w:t>
      </w:r>
      <w:r w:rsidR="00E40A59" w:rsidRPr="00700241">
        <w:rPr>
          <w:noProof/>
          <w:lang w:val="en-AU"/>
        </w:rPr>
        <w:t>ransaction</w:t>
      </w:r>
      <w:r w:rsidR="00E176B5" w:rsidRPr="00700241">
        <w:rPr>
          <w:noProof/>
          <w:lang w:val="en-AU"/>
        </w:rPr>
        <w:t xml:space="preserve">-specific </w:t>
      </w:r>
      <w:r w:rsidR="001512A8" w:rsidRPr="00700241">
        <w:rPr>
          <w:noProof/>
          <w:lang w:val="en-AU"/>
        </w:rPr>
        <w:t xml:space="preserve">benefits that may </w:t>
      </w:r>
      <w:r w:rsidR="00E40A59" w:rsidRPr="00700241">
        <w:rPr>
          <w:noProof/>
          <w:lang w:val="en-AU"/>
        </w:rPr>
        <w:t xml:space="preserve">not </w:t>
      </w:r>
      <w:r w:rsidR="001512A8" w:rsidRPr="00700241">
        <w:rPr>
          <w:noProof/>
          <w:lang w:val="en-AU"/>
        </w:rPr>
        <w:t xml:space="preserve">be </w:t>
      </w:r>
      <w:r w:rsidR="00E40A59" w:rsidRPr="00700241">
        <w:rPr>
          <w:noProof/>
          <w:lang w:val="en-AU"/>
        </w:rPr>
        <w:t>included under other OPIs</w:t>
      </w:r>
      <w:r w:rsidR="004B3B9F" w:rsidRPr="00700241">
        <w:rPr>
          <w:noProof/>
          <w:lang w:val="en-AU"/>
        </w:rPr>
        <w:t xml:space="preserve"> can be included. The GCF set of supplementary indicators</w:t>
      </w:r>
      <w:r w:rsidR="007A2ADB" w:rsidRPr="00700241">
        <w:rPr>
          <w:noProof/>
          <w:lang w:val="en-AU"/>
        </w:rPr>
        <w:t>, with &amp;Green existing or possible future transaction examples</w:t>
      </w:r>
      <w:r w:rsidR="00F05C3A">
        <w:rPr>
          <w:noProof/>
          <w:lang w:val="en-AU"/>
        </w:rPr>
        <w:t>, include</w:t>
      </w:r>
      <w:r w:rsidR="001512A8" w:rsidRPr="00700241">
        <w:rPr>
          <w:noProof/>
          <w:lang w:val="en-AU"/>
        </w:rPr>
        <w:t>:</w:t>
      </w:r>
    </w:p>
    <w:p w14:paraId="7B8C7CA0" w14:textId="5EC8B5D6" w:rsidR="005324D4" w:rsidRPr="00700241" w:rsidRDefault="005324D4" w:rsidP="002137D7">
      <w:pPr>
        <w:ind w:firstLine="720"/>
        <w:rPr>
          <w:bCs/>
          <w:i/>
          <w:iCs/>
        </w:rPr>
      </w:pPr>
      <w:r w:rsidRPr="00700241">
        <w:rPr>
          <w:bCs/>
          <w:i/>
          <w:iCs/>
        </w:rPr>
        <w:t xml:space="preserve">Supplementary indicator </w:t>
      </w:r>
      <w:proofErr w:type="gramStart"/>
      <w:r w:rsidRPr="00700241">
        <w:rPr>
          <w:bCs/>
          <w:i/>
          <w:iCs/>
        </w:rPr>
        <w:t>2.2  Beneficiaries</w:t>
      </w:r>
      <w:proofErr w:type="gramEnd"/>
      <w:r w:rsidRPr="00700241">
        <w:rPr>
          <w:bCs/>
          <w:i/>
          <w:iCs/>
        </w:rPr>
        <w:t xml:space="preserve"> (female/male) with improved food security</w:t>
      </w:r>
    </w:p>
    <w:p w14:paraId="4B1CE5F7" w14:textId="64B8E626" w:rsidR="00A67AEE" w:rsidRPr="00700241" w:rsidRDefault="00A67AEE" w:rsidP="005324D4">
      <w:pPr>
        <w:rPr>
          <w:bCs/>
        </w:rPr>
      </w:pPr>
      <w:r w:rsidRPr="00700241">
        <w:rPr>
          <w:bCs/>
        </w:rPr>
        <w:t xml:space="preserve">Transactions may include </w:t>
      </w:r>
      <w:r w:rsidR="00983CC6" w:rsidRPr="00700241">
        <w:rPr>
          <w:bCs/>
        </w:rPr>
        <w:t xml:space="preserve">explicit outreach programs </w:t>
      </w:r>
      <w:r w:rsidR="007A0528" w:rsidRPr="00700241">
        <w:rPr>
          <w:bCs/>
        </w:rPr>
        <w:t xml:space="preserve">to supply-chain farmers </w:t>
      </w:r>
      <w:r w:rsidR="0070124E" w:rsidRPr="00700241">
        <w:rPr>
          <w:bCs/>
        </w:rPr>
        <w:t xml:space="preserve">supplying seeds, </w:t>
      </w:r>
      <w:proofErr w:type="gramStart"/>
      <w:r w:rsidR="007C102A" w:rsidRPr="00700241">
        <w:rPr>
          <w:bCs/>
        </w:rPr>
        <w:t>seedlings</w:t>
      </w:r>
      <w:proofErr w:type="gramEnd"/>
      <w:r w:rsidR="007C102A" w:rsidRPr="00700241">
        <w:rPr>
          <w:bCs/>
        </w:rPr>
        <w:t xml:space="preserve"> and training to </w:t>
      </w:r>
      <w:r w:rsidR="00983CC6" w:rsidRPr="00700241">
        <w:rPr>
          <w:bCs/>
        </w:rPr>
        <w:t>promot</w:t>
      </w:r>
      <w:r w:rsidR="007C102A" w:rsidRPr="00700241">
        <w:rPr>
          <w:bCs/>
        </w:rPr>
        <w:t>e</w:t>
      </w:r>
      <w:r w:rsidR="00983CC6" w:rsidRPr="00700241">
        <w:rPr>
          <w:bCs/>
        </w:rPr>
        <w:t xml:space="preserve"> </w:t>
      </w:r>
      <w:r w:rsidR="007A0528" w:rsidRPr="00700241">
        <w:rPr>
          <w:bCs/>
        </w:rPr>
        <w:t xml:space="preserve">diversification from cash crops only, to include </w:t>
      </w:r>
      <w:r w:rsidR="00983CC6" w:rsidRPr="00700241">
        <w:rPr>
          <w:bCs/>
        </w:rPr>
        <w:t xml:space="preserve">supplementary consumption crops </w:t>
      </w:r>
      <w:r w:rsidR="00EA277A" w:rsidRPr="00700241">
        <w:rPr>
          <w:bCs/>
        </w:rPr>
        <w:t xml:space="preserve">(such as tapioca) </w:t>
      </w:r>
      <w:r w:rsidR="00983CC6" w:rsidRPr="00700241">
        <w:rPr>
          <w:bCs/>
        </w:rPr>
        <w:t xml:space="preserve">and </w:t>
      </w:r>
      <w:r w:rsidR="00EA277A" w:rsidRPr="00700241">
        <w:rPr>
          <w:bCs/>
        </w:rPr>
        <w:t xml:space="preserve">co-planting </w:t>
      </w:r>
      <w:r w:rsidR="00983CC6" w:rsidRPr="00700241">
        <w:rPr>
          <w:bCs/>
        </w:rPr>
        <w:t>fruit</w:t>
      </w:r>
      <w:r w:rsidR="00156886" w:rsidRPr="00700241">
        <w:rPr>
          <w:bCs/>
        </w:rPr>
        <w:t>,</w:t>
      </w:r>
      <w:r w:rsidR="00983CC6" w:rsidRPr="00700241">
        <w:rPr>
          <w:bCs/>
        </w:rPr>
        <w:t xml:space="preserve"> nut </w:t>
      </w:r>
      <w:r w:rsidR="00156886" w:rsidRPr="00700241">
        <w:rPr>
          <w:bCs/>
        </w:rPr>
        <w:t xml:space="preserve">or fuelwood </w:t>
      </w:r>
      <w:r w:rsidR="00983CC6" w:rsidRPr="00700241">
        <w:rPr>
          <w:bCs/>
        </w:rPr>
        <w:t xml:space="preserve">trees on farms </w:t>
      </w:r>
      <w:r w:rsidR="007A0528" w:rsidRPr="00700241">
        <w:rPr>
          <w:bCs/>
        </w:rPr>
        <w:t>to improve individual household reliance on purchased foodstuffs</w:t>
      </w:r>
      <w:r w:rsidR="0070124E" w:rsidRPr="00700241">
        <w:rPr>
          <w:bCs/>
        </w:rPr>
        <w:t xml:space="preserve">. </w:t>
      </w:r>
      <w:r w:rsidR="007A0528" w:rsidRPr="00700241">
        <w:rPr>
          <w:bCs/>
        </w:rPr>
        <w:t xml:space="preserve"> </w:t>
      </w:r>
      <w:r w:rsidR="00983CC6" w:rsidRPr="00700241">
        <w:rPr>
          <w:bCs/>
        </w:rPr>
        <w:t xml:space="preserve"> </w:t>
      </w:r>
    </w:p>
    <w:p w14:paraId="0C6A9CA6" w14:textId="3FF9CBD4" w:rsidR="005324D4" w:rsidRPr="00700241" w:rsidRDefault="005324D4" w:rsidP="002137D7">
      <w:pPr>
        <w:ind w:left="720"/>
        <w:rPr>
          <w:bCs/>
          <w:i/>
          <w:iCs/>
        </w:rPr>
      </w:pPr>
      <w:r w:rsidRPr="00700241">
        <w:rPr>
          <w:bCs/>
          <w:i/>
          <w:iCs/>
        </w:rPr>
        <w:t>Supplementary</w:t>
      </w:r>
      <w:r w:rsidR="00D01CBF" w:rsidRPr="00700241">
        <w:rPr>
          <w:bCs/>
          <w:i/>
          <w:iCs/>
        </w:rPr>
        <w:t xml:space="preserve"> </w:t>
      </w:r>
      <w:r w:rsidRPr="00700241">
        <w:rPr>
          <w:bCs/>
          <w:i/>
          <w:iCs/>
        </w:rPr>
        <w:t>indicator 2.3</w:t>
      </w:r>
      <w:r w:rsidR="00D01CBF" w:rsidRPr="00700241">
        <w:rPr>
          <w:bCs/>
          <w:i/>
          <w:iCs/>
        </w:rPr>
        <w:t xml:space="preserve"> </w:t>
      </w:r>
      <w:r w:rsidRPr="00700241">
        <w:rPr>
          <w:bCs/>
          <w:i/>
          <w:iCs/>
        </w:rPr>
        <w:t>Beneficiaries (female/male) with more climate-resilient water security</w:t>
      </w:r>
    </w:p>
    <w:p w14:paraId="1B331708" w14:textId="1F34A178" w:rsidR="006B0864" w:rsidRPr="00700241" w:rsidRDefault="006B0864" w:rsidP="005324D4">
      <w:pPr>
        <w:rPr>
          <w:bCs/>
        </w:rPr>
      </w:pPr>
      <w:r w:rsidRPr="00700241">
        <w:rPr>
          <w:bCs/>
        </w:rPr>
        <w:t xml:space="preserve">Transactions may include improved water </w:t>
      </w:r>
      <w:r w:rsidR="00B84317" w:rsidRPr="00700241">
        <w:rPr>
          <w:bCs/>
        </w:rPr>
        <w:t xml:space="preserve">supply or </w:t>
      </w:r>
      <w:r w:rsidRPr="00700241">
        <w:rPr>
          <w:bCs/>
        </w:rPr>
        <w:t>treatment services (boreholes, chlorine tablets)</w:t>
      </w:r>
      <w:r w:rsidR="00B84317" w:rsidRPr="00700241">
        <w:rPr>
          <w:bCs/>
        </w:rPr>
        <w:t>.</w:t>
      </w:r>
    </w:p>
    <w:p w14:paraId="6FAB6DCE" w14:textId="2E3180C3" w:rsidR="005324D4" w:rsidRPr="00700241" w:rsidRDefault="005324D4" w:rsidP="002137D7">
      <w:pPr>
        <w:ind w:left="720"/>
        <w:rPr>
          <w:bCs/>
          <w:i/>
          <w:iCs/>
        </w:rPr>
      </w:pPr>
      <w:r w:rsidRPr="00700241">
        <w:rPr>
          <w:bCs/>
          <w:i/>
          <w:iCs/>
        </w:rPr>
        <w:t>Supplementary</w:t>
      </w:r>
      <w:r w:rsidR="00D01CBF" w:rsidRPr="00700241">
        <w:rPr>
          <w:bCs/>
          <w:i/>
          <w:iCs/>
        </w:rPr>
        <w:t xml:space="preserve"> </w:t>
      </w:r>
      <w:r w:rsidRPr="00700241">
        <w:rPr>
          <w:bCs/>
          <w:i/>
          <w:iCs/>
        </w:rPr>
        <w:t>indicator 2.4</w:t>
      </w:r>
      <w:r w:rsidR="00D01CBF" w:rsidRPr="00700241">
        <w:rPr>
          <w:bCs/>
          <w:i/>
          <w:iCs/>
        </w:rPr>
        <w:t xml:space="preserve"> </w:t>
      </w:r>
      <w:r w:rsidRPr="00700241">
        <w:rPr>
          <w:bCs/>
          <w:i/>
          <w:iCs/>
        </w:rPr>
        <w:t>Beneficiaries (female/male) covered by new or improved early warning systems</w:t>
      </w:r>
    </w:p>
    <w:p w14:paraId="7F1EEC08" w14:textId="68DB1F91" w:rsidR="00B84317" w:rsidRPr="00700241" w:rsidRDefault="00B84317" w:rsidP="00D01CBF">
      <w:pPr>
        <w:rPr>
          <w:bCs/>
        </w:rPr>
      </w:pPr>
      <w:r w:rsidRPr="00700241">
        <w:rPr>
          <w:bCs/>
        </w:rPr>
        <w:t xml:space="preserve">Agronomic outreach services </w:t>
      </w:r>
      <w:r w:rsidR="00FF1A77" w:rsidRPr="00700241">
        <w:rPr>
          <w:bCs/>
        </w:rPr>
        <w:t xml:space="preserve">include weather notifications by text to supply chain farmers, that may include </w:t>
      </w:r>
      <w:r w:rsidR="00A410E5" w:rsidRPr="00700241">
        <w:rPr>
          <w:bCs/>
        </w:rPr>
        <w:t xml:space="preserve">early </w:t>
      </w:r>
      <w:r w:rsidR="00FF1A77" w:rsidRPr="00700241">
        <w:rPr>
          <w:bCs/>
        </w:rPr>
        <w:t xml:space="preserve">warnings </w:t>
      </w:r>
      <w:r w:rsidR="00A410E5" w:rsidRPr="00700241">
        <w:rPr>
          <w:bCs/>
        </w:rPr>
        <w:t xml:space="preserve">against extreme weather events. </w:t>
      </w:r>
    </w:p>
    <w:p w14:paraId="582B7FDC" w14:textId="77777777" w:rsidR="00A410E5" w:rsidRPr="00700241" w:rsidRDefault="00D01CBF" w:rsidP="002137D7">
      <w:pPr>
        <w:ind w:left="720"/>
        <w:rPr>
          <w:bCs/>
          <w:i/>
          <w:iCs/>
        </w:rPr>
      </w:pPr>
      <w:r w:rsidRPr="00700241">
        <w:rPr>
          <w:bCs/>
          <w:i/>
          <w:iCs/>
        </w:rPr>
        <w:t>Supplementary indicator 2.5: # Beneficiaries (female/male) adopting innovations that strengthen climate change resilience</w:t>
      </w:r>
    </w:p>
    <w:p w14:paraId="008E7326" w14:textId="68E59783" w:rsidR="00D01CBF" w:rsidRPr="00700241" w:rsidRDefault="00A410E5" w:rsidP="00D01CBF">
      <w:pPr>
        <w:rPr>
          <w:bCs/>
          <w:i/>
          <w:iCs/>
        </w:rPr>
      </w:pPr>
      <w:r w:rsidRPr="00700241">
        <w:rPr>
          <w:bCs/>
        </w:rPr>
        <w:t>Clients make available new genomes</w:t>
      </w:r>
      <w:r w:rsidR="000152F4" w:rsidRPr="00700241">
        <w:rPr>
          <w:bCs/>
        </w:rPr>
        <w:t xml:space="preserve">, such as heat tolerant cattle, to supply chain farmers. </w:t>
      </w:r>
      <w:r w:rsidR="00D01CBF" w:rsidRPr="00700241">
        <w:rPr>
          <w:bCs/>
          <w:i/>
          <w:iCs/>
        </w:rPr>
        <w:t xml:space="preserve"> </w:t>
      </w:r>
    </w:p>
    <w:p w14:paraId="46BABB99" w14:textId="560914F4" w:rsidR="005324D4" w:rsidRPr="00700241" w:rsidRDefault="005324D4" w:rsidP="002137D7">
      <w:pPr>
        <w:ind w:left="720"/>
        <w:rPr>
          <w:bCs/>
          <w:i/>
          <w:iCs/>
        </w:rPr>
      </w:pPr>
      <w:r w:rsidRPr="00700241">
        <w:rPr>
          <w:bCs/>
          <w:i/>
          <w:iCs/>
        </w:rPr>
        <w:t>Supplementary</w:t>
      </w:r>
      <w:r w:rsidR="00D01CBF" w:rsidRPr="00700241">
        <w:rPr>
          <w:bCs/>
          <w:i/>
          <w:iCs/>
        </w:rPr>
        <w:t xml:space="preserve"> </w:t>
      </w:r>
      <w:r w:rsidRPr="00700241">
        <w:rPr>
          <w:bCs/>
          <w:i/>
          <w:iCs/>
        </w:rPr>
        <w:t>indicator 2.6</w:t>
      </w:r>
      <w:r w:rsidR="00D01CBF" w:rsidRPr="00700241">
        <w:rPr>
          <w:bCs/>
          <w:i/>
          <w:iCs/>
        </w:rPr>
        <w:t xml:space="preserve"> </w:t>
      </w:r>
      <w:r w:rsidRPr="00700241">
        <w:rPr>
          <w:bCs/>
          <w:i/>
          <w:iCs/>
        </w:rPr>
        <w:t>Beneficiaries (female/male) living in buildings that have increased resilience against climate hazards</w:t>
      </w:r>
    </w:p>
    <w:p w14:paraId="597F1319" w14:textId="26859804" w:rsidR="00E61ED7" w:rsidRPr="00700241" w:rsidRDefault="00E61ED7" w:rsidP="00D01CBF">
      <w:pPr>
        <w:rPr>
          <w:bCs/>
        </w:rPr>
      </w:pPr>
      <w:r w:rsidRPr="00700241">
        <w:rPr>
          <w:bCs/>
        </w:rPr>
        <w:t>Where workers are housed on concessions or farms, improved building</w:t>
      </w:r>
      <w:r w:rsidR="00B33DBE" w:rsidRPr="00700241">
        <w:rPr>
          <w:bCs/>
        </w:rPr>
        <w:t xml:space="preserve"> stock provide resilience against climate hazards. </w:t>
      </w:r>
    </w:p>
    <w:p w14:paraId="2EF08ED1" w14:textId="353E7730" w:rsidR="005324D4" w:rsidRPr="00700241" w:rsidRDefault="005324D4" w:rsidP="002137D7">
      <w:pPr>
        <w:ind w:left="720"/>
        <w:rPr>
          <w:bCs/>
          <w:i/>
          <w:iCs/>
        </w:rPr>
      </w:pPr>
      <w:r w:rsidRPr="00700241">
        <w:rPr>
          <w:bCs/>
          <w:i/>
          <w:iCs/>
        </w:rPr>
        <w:t>Supplementary indicator 2.7</w:t>
      </w:r>
      <w:r w:rsidR="00D01CBF" w:rsidRPr="00700241">
        <w:rPr>
          <w:bCs/>
          <w:i/>
          <w:iCs/>
        </w:rPr>
        <w:t xml:space="preserve"> </w:t>
      </w:r>
      <w:r w:rsidRPr="00700241">
        <w:rPr>
          <w:bCs/>
          <w:i/>
          <w:iCs/>
        </w:rPr>
        <w:t>Change in expected losses of lives due to the impact of extreme climate-related disasters in the geographic area of the GCF intervention</w:t>
      </w:r>
    </w:p>
    <w:p w14:paraId="67D4ECAF" w14:textId="2F4DA40A" w:rsidR="00A51E77" w:rsidRPr="00700241" w:rsidRDefault="00C217B6" w:rsidP="00704407">
      <w:pPr>
        <w:rPr>
          <w:lang w:val="en-AU"/>
        </w:rPr>
      </w:pPr>
      <w:r w:rsidRPr="00700241">
        <w:rPr>
          <w:lang w:val="en-AU"/>
        </w:rPr>
        <w:t>Improved flood management systems</w:t>
      </w:r>
      <w:r w:rsidR="00B418B7" w:rsidRPr="00700241">
        <w:rPr>
          <w:lang w:val="en-AU"/>
        </w:rPr>
        <w:t xml:space="preserve"> and</w:t>
      </w:r>
      <w:r w:rsidRPr="00700241">
        <w:rPr>
          <w:lang w:val="en-AU"/>
        </w:rPr>
        <w:t xml:space="preserve"> drainage </w:t>
      </w:r>
      <w:r w:rsidR="00B418B7" w:rsidRPr="00700241">
        <w:rPr>
          <w:lang w:val="en-AU"/>
        </w:rPr>
        <w:t>(combined with warning systems), as well as prohibition of cultivation of steep slopes (to reduce landslides)</w:t>
      </w:r>
      <w:r w:rsidRPr="00700241">
        <w:rPr>
          <w:lang w:val="en-AU"/>
        </w:rPr>
        <w:t xml:space="preserve"> may reduce loss of life </w:t>
      </w:r>
      <w:r w:rsidR="00B418B7" w:rsidRPr="00700241">
        <w:rPr>
          <w:lang w:val="en-AU"/>
        </w:rPr>
        <w:t xml:space="preserve">in extreme rainfall events exacerbated by climate change. </w:t>
      </w:r>
    </w:p>
    <w:p w14:paraId="2C4F8671" w14:textId="5D14AF05" w:rsidR="00704407" w:rsidRPr="00700241" w:rsidRDefault="00704407" w:rsidP="00704407">
      <w:pPr>
        <w:rPr>
          <w:b/>
          <w:bCs/>
          <w:lang w:val="en-IE"/>
        </w:rPr>
      </w:pPr>
      <w:r w:rsidRPr="00700241">
        <w:br w:type="page"/>
      </w:r>
    </w:p>
    <w:p w14:paraId="01E55840" w14:textId="6F41BFB3" w:rsidR="00704407" w:rsidRPr="00700241" w:rsidRDefault="004E4B37" w:rsidP="000A0F4A">
      <w:pPr>
        <w:pStyle w:val="GreenHeading1"/>
      </w:pPr>
      <w:bookmarkStart w:id="31" w:name="_Toc103271300"/>
      <w:r w:rsidRPr="00700241">
        <w:t xml:space="preserve">PEOPLE: </w:t>
      </w:r>
      <w:r w:rsidR="00704407" w:rsidRPr="00700241">
        <w:t xml:space="preserve">KPI 6 </w:t>
      </w:r>
      <w:r w:rsidR="00501223">
        <w:t>–</w:t>
      </w:r>
      <w:r w:rsidR="003C6D90" w:rsidRPr="00700241">
        <w:t xml:space="preserve"> </w:t>
      </w:r>
      <w:r w:rsidR="00704407" w:rsidRPr="00700241">
        <w:t>PEOPLE BENEFITTING</w:t>
      </w:r>
      <w:bookmarkEnd w:id="31"/>
    </w:p>
    <w:p w14:paraId="0649D75D" w14:textId="0F2B3EB0" w:rsidR="00BD04B6" w:rsidRPr="006720EE" w:rsidRDefault="00BD04B6" w:rsidP="00BD04B6">
      <w:pPr>
        <w:spacing w:before="0" w:after="0"/>
        <w:rPr>
          <w:b/>
          <w:bCs/>
          <w:szCs w:val="20"/>
          <w:lang w:val="en-AU"/>
        </w:rPr>
      </w:pPr>
      <w:r w:rsidRPr="008A2575">
        <w:rPr>
          <w:b/>
          <w:bCs/>
          <w:szCs w:val="20"/>
          <w:lang w:val="en-AU"/>
        </w:rPr>
        <w:t>KPI6: # of People Benefiting</w:t>
      </w:r>
      <w:r w:rsidR="006720EE">
        <w:rPr>
          <w:b/>
          <w:bCs/>
          <w:szCs w:val="20"/>
          <w:lang w:val="en-AU"/>
        </w:rPr>
        <w:t xml:space="preserve"> </w:t>
      </w:r>
      <w:r w:rsidR="006720EE">
        <w:rPr>
          <w:szCs w:val="20"/>
          <w:lang w:val="en-AU"/>
        </w:rPr>
        <w:t>m</w:t>
      </w:r>
      <w:r w:rsidRPr="008A2575">
        <w:rPr>
          <w:szCs w:val="20"/>
          <w:lang w:val="en-AU"/>
        </w:rPr>
        <w:t xml:space="preserve">onitors the number of </w:t>
      </w:r>
      <w:r w:rsidR="003D394C">
        <w:rPr>
          <w:szCs w:val="20"/>
          <w:lang w:val="en-AU"/>
        </w:rPr>
        <w:t>people</w:t>
      </w:r>
      <w:r w:rsidR="00D414F7">
        <w:rPr>
          <w:szCs w:val="20"/>
          <w:lang w:val="en-AU"/>
        </w:rPr>
        <w:t xml:space="preserve"> annually</w:t>
      </w:r>
      <w:r w:rsidR="003D394C" w:rsidRPr="008A2575">
        <w:rPr>
          <w:szCs w:val="20"/>
          <w:lang w:val="en-AU"/>
        </w:rPr>
        <w:t xml:space="preserve"> </w:t>
      </w:r>
      <w:r w:rsidRPr="008A2575">
        <w:rPr>
          <w:szCs w:val="20"/>
          <w:lang w:val="en-AU"/>
        </w:rPr>
        <w:t xml:space="preserve">benefitting from &amp;Green </w:t>
      </w:r>
      <w:proofErr w:type="gramStart"/>
      <w:r w:rsidR="00BB5EF0" w:rsidRPr="008A2575">
        <w:rPr>
          <w:szCs w:val="20"/>
          <w:lang w:val="en-AU"/>
        </w:rPr>
        <w:t>transaction</w:t>
      </w:r>
      <w:r w:rsidRPr="008A2575">
        <w:rPr>
          <w:szCs w:val="20"/>
          <w:lang w:val="en-AU"/>
        </w:rPr>
        <w:t>s, and</w:t>
      </w:r>
      <w:proofErr w:type="gramEnd"/>
      <w:r w:rsidRPr="008A2575">
        <w:rPr>
          <w:szCs w:val="20"/>
          <w:lang w:val="en-AU"/>
        </w:rPr>
        <w:t xml:space="preserve"> is the sum of</w:t>
      </w:r>
      <w:r w:rsidR="00BB78C7">
        <w:rPr>
          <w:szCs w:val="20"/>
          <w:lang w:val="en-AU"/>
        </w:rPr>
        <w:t>:</w:t>
      </w:r>
      <w:r w:rsidR="00A87E6F">
        <w:rPr>
          <w:szCs w:val="20"/>
          <w:lang w:val="en-AU"/>
        </w:rPr>
        <w:t xml:space="preserve"> </w:t>
      </w:r>
      <w:r w:rsidR="00EA7669">
        <w:rPr>
          <w:szCs w:val="20"/>
          <w:lang w:val="en-AU"/>
        </w:rPr>
        <w:t xml:space="preserve">the number of </w:t>
      </w:r>
      <w:r w:rsidR="00A87E6F">
        <w:rPr>
          <w:szCs w:val="20"/>
          <w:lang w:val="en-AU"/>
        </w:rPr>
        <w:t>people</w:t>
      </w:r>
      <w:r w:rsidRPr="008A2575">
        <w:rPr>
          <w:szCs w:val="20"/>
          <w:lang w:val="en-AU"/>
        </w:rPr>
        <w:t xml:space="preserve"> </w:t>
      </w:r>
      <w:r w:rsidR="00A67CB5" w:rsidRPr="00A67CB5">
        <w:rPr>
          <w:szCs w:val="20"/>
          <w:lang w:val="en-AU"/>
        </w:rPr>
        <w:t>receiving community services</w:t>
      </w:r>
      <w:r w:rsidR="00A67CB5">
        <w:rPr>
          <w:szCs w:val="20"/>
          <w:lang w:val="en-AU"/>
        </w:rPr>
        <w:t>;</w:t>
      </w:r>
      <w:r w:rsidR="00A67CB5" w:rsidRPr="00A67CB5" w:rsidDel="00EA7669">
        <w:rPr>
          <w:szCs w:val="20"/>
          <w:lang w:val="en-AU"/>
        </w:rPr>
        <w:t xml:space="preserve"> </w:t>
      </w:r>
      <w:r w:rsidR="00137332">
        <w:rPr>
          <w:szCs w:val="20"/>
          <w:lang w:val="en-AU"/>
        </w:rPr>
        <w:t>receiving NDPE training</w:t>
      </w:r>
      <w:r w:rsidR="00DF6A4D">
        <w:rPr>
          <w:szCs w:val="20"/>
          <w:lang w:val="en-AU"/>
        </w:rPr>
        <w:t>;</w:t>
      </w:r>
      <w:r w:rsidR="00BB78C7">
        <w:rPr>
          <w:szCs w:val="20"/>
          <w:lang w:val="en-AU"/>
        </w:rPr>
        <w:t xml:space="preserve"> </w:t>
      </w:r>
      <w:r w:rsidRPr="005B5BE1">
        <w:rPr>
          <w:szCs w:val="20"/>
          <w:lang w:val="en-AU"/>
        </w:rPr>
        <w:t xml:space="preserve">and </w:t>
      </w:r>
      <w:r w:rsidR="00501223">
        <w:rPr>
          <w:szCs w:val="20"/>
          <w:lang w:val="en-AU"/>
        </w:rPr>
        <w:t xml:space="preserve">number of </w:t>
      </w:r>
      <w:r w:rsidRPr="005B5BE1">
        <w:rPr>
          <w:szCs w:val="20"/>
          <w:lang w:val="en-AU"/>
        </w:rPr>
        <w:t>jobs supported</w:t>
      </w:r>
      <w:r w:rsidR="00826157">
        <w:rPr>
          <w:rStyle w:val="FootnoteReference"/>
          <w:szCs w:val="20"/>
          <w:lang w:val="en-AU"/>
        </w:rPr>
        <w:footnoteReference w:id="23"/>
      </w:r>
      <w:r w:rsidRPr="005B5BE1">
        <w:rPr>
          <w:szCs w:val="20"/>
          <w:lang w:val="en-AU"/>
        </w:rPr>
        <w:t>.</w:t>
      </w:r>
    </w:p>
    <w:p w14:paraId="47C1E196" w14:textId="7A4E4109" w:rsidR="00704407" w:rsidRPr="00700241" w:rsidRDefault="0008792F" w:rsidP="00704407">
      <w:pPr>
        <w:rPr>
          <w:bCs/>
          <w:lang w:val="en-AU"/>
        </w:rPr>
      </w:pPr>
      <w:r w:rsidRPr="00700241">
        <w:rPr>
          <w:bCs/>
          <w:lang w:val="en-AU"/>
        </w:rPr>
        <w:t>That is, KPI6 in #</w:t>
      </w:r>
      <w:r w:rsidR="00A71845" w:rsidRPr="00700241">
        <w:rPr>
          <w:bCs/>
          <w:lang w:val="en-AU"/>
        </w:rPr>
        <w:t xml:space="preserve"> people</w:t>
      </w:r>
      <w:r w:rsidRPr="00700241">
        <w:rPr>
          <w:bCs/>
          <w:lang w:val="en-AU"/>
        </w:rPr>
        <w:t xml:space="preserve"> </w:t>
      </w:r>
      <w:r w:rsidRPr="00AE666E">
        <w:rPr>
          <w:bCs/>
          <w:lang w:val="en-AU"/>
        </w:rPr>
        <w:t>= OPI</w:t>
      </w:r>
      <w:r w:rsidR="00452AF6" w:rsidRPr="00AE666E">
        <w:rPr>
          <w:bCs/>
          <w:lang w:val="en-AU"/>
        </w:rPr>
        <w:t>6.</w:t>
      </w:r>
      <w:r w:rsidR="00133E4E" w:rsidRPr="00AE666E">
        <w:rPr>
          <w:bCs/>
          <w:lang w:val="en-AU"/>
        </w:rPr>
        <w:t>1</w:t>
      </w:r>
      <w:r w:rsidRPr="00AE666E">
        <w:rPr>
          <w:bCs/>
          <w:lang w:val="en-AU"/>
        </w:rPr>
        <w:t xml:space="preserve"> +</w:t>
      </w:r>
      <w:r w:rsidR="00310B89" w:rsidRPr="00AE666E">
        <w:rPr>
          <w:bCs/>
          <w:lang w:val="en-AU"/>
        </w:rPr>
        <w:t xml:space="preserve"> </w:t>
      </w:r>
      <w:r w:rsidR="0039300D" w:rsidRPr="00AE666E">
        <w:rPr>
          <w:bCs/>
          <w:lang w:val="en-AU"/>
        </w:rPr>
        <w:t>OPI6.</w:t>
      </w:r>
      <w:r w:rsidR="005D2DAC" w:rsidRPr="00AE666E">
        <w:rPr>
          <w:bCs/>
          <w:lang w:val="en-AU"/>
        </w:rPr>
        <w:t>2</w:t>
      </w:r>
      <w:r w:rsidR="00A35713" w:rsidRPr="00AE666E">
        <w:rPr>
          <w:bCs/>
          <w:lang w:val="en-AU"/>
        </w:rPr>
        <w:t>a</w:t>
      </w:r>
      <w:r w:rsidR="005D2DAC">
        <w:rPr>
          <w:bCs/>
          <w:lang w:val="en-AU"/>
        </w:rPr>
        <w:t xml:space="preserve"> + OPI6.2b + OPI6.3</w:t>
      </w:r>
      <w:r w:rsidR="00A35713">
        <w:rPr>
          <w:bCs/>
          <w:lang w:val="en-AU"/>
        </w:rPr>
        <w:t>.</w:t>
      </w:r>
    </w:p>
    <w:p w14:paraId="77CB5135" w14:textId="5ACBAACB" w:rsidR="0008792F" w:rsidRPr="007058CB" w:rsidRDefault="00650C7F" w:rsidP="0008792F">
      <w:pPr>
        <w:rPr>
          <w:lang w:val="en-AU"/>
        </w:rPr>
      </w:pPr>
      <w:r w:rsidRPr="00700241">
        <w:rPr>
          <w:lang w:val="en-IE"/>
        </w:rPr>
        <w:t xml:space="preserve">People </w:t>
      </w:r>
      <w:r w:rsidR="001C22C7" w:rsidRPr="00A53EB9">
        <w:rPr>
          <w:lang w:val="en-IE"/>
        </w:rPr>
        <w:t>B</w:t>
      </w:r>
      <w:r w:rsidRPr="00700241">
        <w:rPr>
          <w:lang w:val="en-IE"/>
        </w:rPr>
        <w:t xml:space="preserve">enefiting </w:t>
      </w:r>
      <w:r w:rsidR="0008792F" w:rsidRPr="00700241">
        <w:rPr>
          <w:lang w:val="en-IE"/>
        </w:rPr>
        <w:t xml:space="preserve">OPIs </w:t>
      </w:r>
      <w:r w:rsidR="00C84B8A" w:rsidRPr="00700241">
        <w:rPr>
          <w:lang w:val="en-IE"/>
        </w:rPr>
        <w:t xml:space="preserve">convey the impact </w:t>
      </w:r>
      <w:r w:rsidR="001C22C7" w:rsidRPr="00700241">
        <w:rPr>
          <w:lang w:val="en-IE"/>
        </w:rPr>
        <w:t xml:space="preserve">that &amp;Green’s </w:t>
      </w:r>
      <w:r w:rsidR="00BB5EF0" w:rsidRPr="00700241">
        <w:rPr>
          <w:lang w:val="en-IE"/>
        </w:rPr>
        <w:t>transaction</w:t>
      </w:r>
      <w:r w:rsidR="00C84B8A" w:rsidRPr="00700241">
        <w:rPr>
          <w:lang w:val="en-IE"/>
        </w:rPr>
        <w:t>s ha</w:t>
      </w:r>
      <w:r w:rsidR="001C22C7" w:rsidRPr="00700241">
        <w:rPr>
          <w:lang w:val="en-IE"/>
        </w:rPr>
        <w:t>ve</w:t>
      </w:r>
      <w:r w:rsidR="00C84B8A" w:rsidRPr="00700241">
        <w:rPr>
          <w:lang w:val="en-IE"/>
        </w:rPr>
        <w:t xml:space="preserve"> on peoples</w:t>
      </w:r>
      <w:r w:rsidR="001C22C7" w:rsidRPr="00700241">
        <w:rPr>
          <w:lang w:val="en-IE"/>
        </w:rPr>
        <w:t>’</w:t>
      </w:r>
      <w:r w:rsidR="00C84B8A" w:rsidRPr="00700241">
        <w:rPr>
          <w:lang w:val="en-IE"/>
        </w:rPr>
        <w:t xml:space="preserve"> lives, as well as assessing contributions to KPI5: # people with increased resilience.</w:t>
      </w:r>
      <w:r w:rsidR="0008792F" w:rsidRPr="00700241">
        <w:rPr>
          <w:lang w:val="en-IE"/>
        </w:rPr>
        <w:t xml:space="preserve"> </w:t>
      </w:r>
      <w:r w:rsidR="00DF1A9A">
        <w:rPr>
          <w:lang w:val="en-IE"/>
        </w:rPr>
        <w:t>B</w:t>
      </w:r>
      <w:r w:rsidR="00640346">
        <w:rPr>
          <w:lang w:val="en-IE"/>
        </w:rPr>
        <w:t xml:space="preserve">enefits </w:t>
      </w:r>
      <w:r w:rsidR="00DF1A9A">
        <w:rPr>
          <w:lang w:val="en-IE"/>
        </w:rPr>
        <w:t xml:space="preserve">include </w:t>
      </w:r>
      <w:r w:rsidR="00375664">
        <w:rPr>
          <w:lang w:val="en-IE"/>
        </w:rPr>
        <w:t xml:space="preserve">both </w:t>
      </w:r>
      <w:r w:rsidR="00DF1A9A">
        <w:rPr>
          <w:lang w:val="en-IE"/>
        </w:rPr>
        <w:t xml:space="preserve">permanent changes, such as </w:t>
      </w:r>
      <w:r w:rsidR="00254CB6">
        <w:rPr>
          <w:lang w:val="en-IE"/>
        </w:rPr>
        <w:t xml:space="preserve">producers reached </w:t>
      </w:r>
      <w:r w:rsidR="00DF1A9A">
        <w:rPr>
          <w:lang w:val="en-IE"/>
        </w:rPr>
        <w:t xml:space="preserve">with NDPE </w:t>
      </w:r>
      <w:r w:rsidR="007D7AAB">
        <w:rPr>
          <w:lang w:val="en-IE"/>
        </w:rPr>
        <w:t>commitments (OPI6.</w:t>
      </w:r>
      <w:r w:rsidR="00254CB6">
        <w:rPr>
          <w:lang w:val="en-IE"/>
        </w:rPr>
        <w:t>4</w:t>
      </w:r>
      <w:r w:rsidR="007D7AAB">
        <w:rPr>
          <w:lang w:val="en-IE"/>
        </w:rPr>
        <w:t>) and land tenure security (OPI6.</w:t>
      </w:r>
      <w:r w:rsidR="00436F72">
        <w:rPr>
          <w:lang w:val="en-IE"/>
        </w:rPr>
        <w:t>5</w:t>
      </w:r>
      <w:r w:rsidR="007D7AAB">
        <w:rPr>
          <w:lang w:val="en-IE"/>
        </w:rPr>
        <w:t>)</w:t>
      </w:r>
      <w:r w:rsidR="00375664">
        <w:rPr>
          <w:lang w:val="en-IE"/>
        </w:rPr>
        <w:t>;</w:t>
      </w:r>
      <w:r w:rsidR="007D7AAB">
        <w:rPr>
          <w:lang w:val="en-IE"/>
        </w:rPr>
        <w:t xml:space="preserve"> </w:t>
      </w:r>
      <w:r w:rsidR="00375664">
        <w:rPr>
          <w:lang w:val="en-IE"/>
        </w:rPr>
        <w:t>and</w:t>
      </w:r>
      <w:r w:rsidR="007D7AAB">
        <w:rPr>
          <w:lang w:val="en-IE"/>
        </w:rPr>
        <w:t xml:space="preserve"> </w:t>
      </w:r>
      <w:r w:rsidR="00DB4800">
        <w:rPr>
          <w:lang w:val="en-IE"/>
        </w:rPr>
        <w:t>people benefit</w:t>
      </w:r>
      <w:r w:rsidR="00375664">
        <w:rPr>
          <w:lang w:val="en-IE"/>
        </w:rPr>
        <w:t>ing</w:t>
      </w:r>
      <w:r w:rsidR="00DB4800">
        <w:rPr>
          <w:lang w:val="en-IE"/>
        </w:rPr>
        <w:t xml:space="preserve"> from </w:t>
      </w:r>
      <w:r w:rsidR="00C422AB">
        <w:rPr>
          <w:lang w:val="en-IE"/>
        </w:rPr>
        <w:t xml:space="preserve">on-going </w:t>
      </w:r>
      <w:r w:rsidR="00594914">
        <w:rPr>
          <w:lang w:val="en-IE"/>
        </w:rPr>
        <w:t>(such as access to health services) or</w:t>
      </w:r>
      <w:r w:rsidR="00DB4800">
        <w:rPr>
          <w:lang w:val="en-IE"/>
        </w:rPr>
        <w:t xml:space="preserve"> once-only</w:t>
      </w:r>
      <w:r w:rsidR="00594914">
        <w:rPr>
          <w:lang w:val="en-IE"/>
        </w:rPr>
        <w:t xml:space="preserve"> (such as provision of training) </w:t>
      </w:r>
      <w:r w:rsidR="00342A8B">
        <w:rPr>
          <w:lang w:val="en-IE"/>
        </w:rPr>
        <w:t>actions</w:t>
      </w:r>
      <w:r w:rsidR="00C422AB">
        <w:rPr>
          <w:lang w:val="en-IE"/>
        </w:rPr>
        <w:t>.</w:t>
      </w:r>
      <w:r w:rsidR="00DF1A9A">
        <w:rPr>
          <w:lang w:val="en-IE"/>
        </w:rPr>
        <w:t xml:space="preserve"> </w:t>
      </w:r>
      <w:r w:rsidR="0008792F" w:rsidRPr="00700241">
        <w:rPr>
          <w:lang w:val="en-IE"/>
        </w:rPr>
        <w:t>The suite of P</w:t>
      </w:r>
      <w:r w:rsidR="005E4EBE" w:rsidRPr="00700241">
        <w:rPr>
          <w:lang w:val="en-IE"/>
        </w:rPr>
        <w:t xml:space="preserve">eople </w:t>
      </w:r>
      <w:r w:rsidR="00BC4ECF" w:rsidRPr="00700241">
        <w:rPr>
          <w:lang w:val="en-IE"/>
        </w:rPr>
        <w:t>B</w:t>
      </w:r>
      <w:r w:rsidR="005E4EBE" w:rsidRPr="00700241">
        <w:rPr>
          <w:lang w:val="en-IE"/>
        </w:rPr>
        <w:t xml:space="preserve">enefiting </w:t>
      </w:r>
      <w:r w:rsidR="0008792F" w:rsidRPr="00700241">
        <w:rPr>
          <w:lang w:val="en-IE"/>
        </w:rPr>
        <w:t xml:space="preserve">OPIs </w:t>
      </w:r>
      <w:r w:rsidR="00323D9F" w:rsidRPr="007058CB">
        <w:rPr>
          <w:lang w:val="en-IE"/>
        </w:rPr>
        <w:t>comprises</w:t>
      </w:r>
      <w:r w:rsidR="004C77A2" w:rsidRPr="007058CB">
        <w:rPr>
          <w:lang w:val="en-IE"/>
        </w:rPr>
        <w:t xml:space="preserve"> annual </w:t>
      </w:r>
      <w:r w:rsidR="00AF73DD" w:rsidRPr="007058CB">
        <w:rPr>
          <w:lang w:val="en-IE"/>
        </w:rPr>
        <w:t>services</w:t>
      </w:r>
      <w:r w:rsidR="0008792F" w:rsidRPr="007058CB">
        <w:rPr>
          <w:lang w:val="en-IE"/>
        </w:rPr>
        <w:t>:</w:t>
      </w:r>
    </w:p>
    <w:p w14:paraId="0E21E970" w14:textId="48A8C9DC" w:rsidR="004C77A2" w:rsidRPr="00F977C5" w:rsidRDefault="004C77A2" w:rsidP="004C77A2">
      <w:pPr>
        <w:numPr>
          <w:ilvl w:val="0"/>
          <w:numId w:val="20"/>
        </w:numPr>
        <w:rPr>
          <w:lang w:val="en-AU"/>
        </w:rPr>
      </w:pPr>
      <w:r w:rsidRPr="00F977C5">
        <w:rPr>
          <w:lang w:val="en-AU"/>
        </w:rPr>
        <w:t>6.</w:t>
      </w:r>
      <w:r w:rsidR="00EC7ACA" w:rsidRPr="00F977C5">
        <w:rPr>
          <w:lang w:val="en-AU"/>
        </w:rPr>
        <w:t>1</w:t>
      </w:r>
      <w:r w:rsidRPr="00F977C5">
        <w:rPr>
          <w:lang w:val="en-AU"/>
        </w:rPr>
        <w:t xml:space="preserve"> People receiving community services</w:t>
      </w:r>
    </w:p>
    <w:p w14:paraId="426703F8" w14:textId="45271821" w:rsidR="004C77A2" w:rsidRPr="00F977C5" w:rsidRDefault="004C77A2" w:rsidP="004C77A2">
      <w:pPr>
        <w:numPr>
          <w:ilvl w:val="0"/>
          <w:numId w:val="20"/>
        </w:numPr>
        <w:rPr>
          <w:lang w:val="en-AU"/>
        </w:rPr>
      </w:pPr>
      <w:r w:rsidRPr="00F977C5">
        <w:rPr>
          <w:lang w:val="en-AU"/>
        </w:rPr>
        <w:t>6.</w:t>
      </w:r>
      <w:r w:rsidR="00BF623F" w:rsidRPr="00F977C5">
        <w:rPr>
          <w:lang w:val="en-AU"/>
        </w:rPr>
        <w:t>2</w:t>
      </w:r>
      <w:r w:rsidRPr="00F977C5">
        <w:rPr>
          <w:lang w:val="en-AU"/>
        </w:rPr>
        <w:t>a Jobs supported (direct)</w:t>
      </w:r>
    </w:p>
    <w:p w14:paraId="05100E59" w14:textId="1E17AFC7" w:rsidR="004C77A2" w:rsidRPr="007058CB" w:rsidRDefault="004C77A2" w:rsidP="004C77A2">
      <w:pPr>
        <w:numPr>
          <w:ilvl w:val="0"/>
          <w:numId w:val="20"/>
        </w:numPr>
        <w:rPr>
          <w:lang w:val="en-AU"/>
        </w:rPr>
      </w:pPr>
      <w:r w:rsidRPr="00F977C5">
        <w:rPr>
          <w:lang w:val="en-AU"/>
        </w:rPr>
        <w:t>[6.</w:t>
      </w:r>
      <w:r w:rsidR="001D1B6C" w:rsidRPr="00F977C5">
        <w:rPr>
          <w:lang w:val="en-AU"/>
        </w:rPr>
        <w:t>2</w:t>
      </w:r>
      <w:r w:rsidRPr="00F977C5">
        <w:rPr>
          <w:lang w:val="en-AU"/>
        </w:rPr>
        <w:t>b Jobs supported (indirect)]</w:t>
      </w:r>
      <w:r w:rsidRPr="007058CB">
        <w:rPr>
          <w:lang w:val="en-AU"/>
        </w:rPr>
        <w:t xml:space="preserve"> </w:t>
      </w:r>
    </w:p>
    <w:p w14:paraId="240A0EF9" w14:textId="77777777" w:rsidR="00B54DAC" w:rsidRDefault="004C77A2" w:rsidP="00B54DAC">
      <w:pPr>
        <w:numPr>
          <w:ilvl w:val="0"/>
          <w:numId w:val="20"/>
        </w:numPr>
        <w:rPr>
          <w:lang w:val="en-AU"/>
        </w:rPr>
      </w:pPr>
      <w:r w:rsidRPr="00F977C5">
        <w:rPr>
          <w:lang w:val="en-AU"/>
        </w:rPr>
        <w:t>6.</w:t>
      </w:r>
      <w:r w:rsidR="00F35E60" w:rsidRPr="00F977C5">
        <w:rPr>
          <w:lang w:val="en-AU"/>
        </w:rPr>
        <w:t>3</w:t>
      </w:r>
      <w:r w:rsidRPr="00F977C5">
        <w:rPr>
          <w:lang w:val="en-AU"/>
        </w:rPr>
        <w:t xml:space="preserve"> Producers receiving NDPE training </w:t>
      </w:r>
    </w:p>
    <w:p w14:paraId="4F758779" w14:textId="64797F00" w:rsidR="00AF73DD" w:rsidRPr="00F977C5" w:rsidRDefault="00AF73DD" w:rsidP="00B54DAC">
      <w:pPr>
        <w:rPr>
          <w:lang w:val="en-AU"/>
        </w:rPr>
      </w:pPr>
      <w:r w:rsidRPr="00F977C5">
        <w:rPr>
          <w:lang w:val="en-AU"/>
        </w:rPr>
        <w:t xml:space="preserve">And actions or services that result in permanent </w:t>
      </w:r>
      <w:r w:rsidR="00895A32" w:rsidRPr="00F977C5">
        <w:rPr>
          <w:lang w:val="en-AU"/>
        </w:rPr>
        <w:t xml:space="preserve">changes and </w:t>
      </w:r>
      <w:r w:rsidR="0035070D" w:rsidRPr="00F977C5">
        <w:rPr>
          <w:lang w:val="en-AU"/>
        </w:rPr>
        <w:t xml:space="preserve">improvements </w:t>
      </w:r>
      <w:r w:rsidRPr="00F977C5">
        <w:rPr>
          <w:lang w:val="en-AU"/>
        </w:rPr>
        <w:t>to livelihoods</w:t>
      </w:r>
      <w:r w:rsidR="0035070D" w:rsidRPr="00F977C5">
        <w:rPr>
          <w:lang w:val="en-AU"/>
        </w:rPr>
        <w:t>:</w:t>
      </w:r>
    </w:p>
    <w:p w14:paraId="228C05E1" w14:textId="3DA0B03F" w:rsidR="005B2A2F" w:rsidRPr="00700241" w:rsidRDefault="005B2A2F" w:rsidP="005B2A2F">
      <w:pPr>
        <w:numPr>
          <w:ilvl w:val="0"/>
          <w:numId w:val="20"/>
        </w:numPr>
        <w:rPr>
          <w:lang w:val="en-AU"/>
        </w:rPr>
      </w:pPr>
      <w:r w:rsidRPr="00700241">
        <w:rPr>
          <w:lang w:val="en-AU"/>
        </w:rPr>
        <w:t>6.</w:t>
      </w:r>
      <w:r w:rsidR="006359C2">
        <w:rPr>
          <w:lang w:val="en-AU"/>
        </w:rPr>
        <w:t>4</w:t>
      </w:r>
      <w:r w:rsidRPr="00700241">
        <w:rPr>
          <w:lang w:val="en-AU"/>
        </w:rPr>
        <w:t xml:space="preserve"> Producers reached</w:t>
      </w:r>
      <w:r w:rsidR="004A0B27">
        <w:rPr>
          <w:lang w:val="en-AU"/>
        </w:rPr>
        <w:t xml:space="preserve"> </w:t>
      </w:r>
    </w:p>
    <w:p w14:paraId="621710D7" w14:textId="5B78159D" w:rsidR="005B2A2F" w:rsidRPr="00C968FF" w:rsidRDefault="00895E70" w:rsidP="005B2A2F">
      <w:pPr>
        <w:numPr>
          <w:ilvl w:val="0"/>
          <w:numId w:val="20"/>
        </w:numPr>
        <w:rPr>
          <w:lang w:val="en-AU"/>
        </w:rPr>
      </w:pPr>
      <w:r w:rsidRPr="00F977C5">
        <w:rPr>
          <w:lang w:val="en-AU"/>
        </w:rPr>
        <w:t>6.</w:t>
      </w:r>
      <w:r w:rsidR="005B4904">
        <w:rPr>
          <w:lang w:val="en-AU"/>
        </w:rPr>
        <w:t>5</w:t>
      </w:r>
      <w:r w:rsidRPr="00F977C5">
        <w:rPr>
          <w:lang w:val="en-AU"/>
        </w:rPr>
        <w:t xml:space="preserve"> </w:t>
      </w:r>
      <w:r w:rsidR="005B2A2F" w:rsidRPr="00F977C5">
        <w:rPr>
          <w:lang w:val="en-AU"/>
        </w:rPr>
        <w:t>People</w:t>
      </w:r>
      <w:r w:rsidR="005B2A2F" w:rsidRPr="00C968FF">
        <w:rPr>
          <w:lang w:val="en-AU"/>
        </w:rPr>
        <w:t xml:space="preserve"> with improved land tenure security</w:t>
      </w:r>
    </w:p>
    <w:p w14:paraId="569AE119" w14:textId="2F026268" w:rsidR="002B1D43" w:rsidRPr="00A6408B" w:rsidRDefault="00BF1073" w:rsidP="002B1D43">
      <w:pPr>
        <w:rPr>
          <w:lang w:val="en-AU"/>
        </w:rPr>
      </w:pPr>
      <w:r w:rsidRPr="00BE0D96">
        <w:t>The people counted in KPI 6 are not unique</w:t>
      </w:r>
      <w:r w:rsidR="00315297" w:rsidRPr="00BE0D96">
        <w:t>,</w:t>
      </w:r>
      <w:r w:rsidRPr="00BE0D96">
        <w:t xml:space="preserve"> </w:t>
      </w:r>
      <w:r w:rsidR="002B1D43" w:rsidRPr="00BE0D96">
        <w:t>as</w:t>
      </w:r>
      <w:r w:rsidR="002B1D43" w:rsidRPr="00700241">
        <w:t xml:space="preserve"> one individual </w:t>
      </w:r>
      <w:r w:rsidR="003A0FBE" w:rsidRPr="00700241">
        <w:t>may</w:t>
      </w:r>
      <w:r w:rsidR="002B1D43" w:rsidRPr="00700241">
        <w:t xml:space="preserve"> benefit from multiple services.</w:t>
      </w:r>
      <w:r w:rsidR="00A6408B">
        <w:rPr>
          <w:lang w:val="en-AU"/>
        </w:rPr>
        <w:t xml:space="preserve"> </w:t>
      </w:r>
      <w:r w:rsidR="002B1D43" w:rsidRPr="00700241">
        <w:t xml:space="preserve">This approach is </w:t>
      </w:r>
      <w:r w:rsidR="00A6408B">
        <w:t>compatible</w:t>
      </w:r>
      <w:r w:rsidR="002B1D43" w:rsidRPr="00700241">
        <w:t xml:space="preserve"> with the approach of &amp;Green’s peers</w:t>
      </w:r>
      <w:r w:rsidR="0029141B" w:rsidRPr="00700241">
        <w:t xml:space="preserve"> in the ESG space &amp; public sector funders</w:t>
      </w:r>
      <w:r w:rsidR="002B1D43" w:rsidRPr="00700241">
        <w:t xml:space="preserve"> including </w:t>
      </w:r>
      <w:r w:rsidR="007906FD">
        <w:t xml:space="preserve">the </w:t>
      </w:r>
      <w:r w:rsidR="002B1D43" w:rsidRPr="00700241">
        <w:t>GCF.</w:t>
      </w:r>
    </w:p>
    <w:p w14:paraId="38A506F6" w14:textId="0BFF613D" w:rsidR="002F47A4" w:rsidRDefault="002F47A4" w:rsidP="002B1D43">
      <w:r>
        <w:t>KPI 6 and OPIs 6.1</w:t>
      </w:r>
      <w:r w:rsidR="009A44BE">
        <w:t>, 6.2</w:t>
      </w:r>
      <w:r w:rsidR="005040C7">
        <w:t>a</w:t>
      </w:r>
      <w:r w:rsidR="009A44BE">
        <w:t>, 6.3, 6.4 and</w:t>
      </w:r>
      <w:r w:rsidR="00A519AC">
        <w:t xml:space="preserve"> 6.5 are disaggregated by gender</w:t>
      </w:r>
      <w:r w:rsidR="005040C7">
        <w:rPr>
          <w:rStyle w:val="FootnoteReference"/>
        </w:rPr>
        <w:footnoteReference w:id="24"/>
      </w:r>
      <w:r w:rsidR="00A519AC">
        <w:t xml:space="preserve">. </w:t>
      </w:r>
    </w:p>
    <w:p w14:paraId="657BA20A" w14:textId="77777777" w:rsidR="002A14DD" w:rsidRPr="00700241" w:rsidRDefault="002A14DD" w:rsidP="002B1D43"/>
    <w:p w14:paraId="004BFEED" w14:textId="77777777" w:rsidR="002A14DD" w:rsidRPr="00700241" w:rsidRDefault="002A14DD" w:rsidP="002A14DD">
      <w:pPr>
        <w:pStyle w:val="Heading2simple"/>
      </w:pPr>
      <w:bookmarkStart w:id="32" w:name="_Toc103271301"/>
      <w:r w:rsidRPr="00700241">
        <w:t>OPI 6.</w:t>
      </w:r>
      <w:r>
        <w:t>1</w:t>
      </w:r>
      <w:r w:rsidRPr="00700241">
        <w:t xml:space="preserve"> People receiving community services</w:t>
      </w:r>
      <w:bookmarkEnd w:id="32"/>
    </w:p>
    <w:p w14:paraId="7E7F6FA2" w14:textId="77777777" w:rsidR="002A14DD" w:rsidRPr="00700241" w:rsidRDefault="002A14DD" w:rsidP="002A14DD">
      <w:pPr>
        <w:rPr>
          <w:rStyle w:val="Wordboldgreen"/>
          <w:color w:val="auto"/>
          <w:lang w:val="en-AU"/>
        </w:rPr>
      </w:pPr>
      <w:r w:rsidRPr="00EB4206">
        <w:rPr>
          <w:rStyle w:val="Wordboldgreen"/>
          <w:color w:val="auto"/>
          <w:lang w:val="en-AU"/>
        </w:rPr>
        <w:t># people whose livelihoods directly benefit from services provided or made possible by the transaction</w:t>
      </w:r>
      <w:r w:rsidRPr="00700241">
        <w:rPr>
          <w:rStyle w:val="Wordboldgreen"/>
          <w:color w:val="auto"/>
          <w:lang w:val="en-AU"/>
        </w:rPr>
        <w:t>.</w:t>
      </w:r>
    </w:p>
    <w:p w14:paraId="79EA9A21" w14:textId="77777777" w:rsidR="002A14DD" w:rsidRPr="00700241" w:rsidRDefault="002A14DD" w:rsidP="002A14DD">
      <w:pPr>
        <w:rPr>
          <w:bCs/>
          <w:lang w:val="en-AU"/>
        </w:rPr>
      </w:pPr>
      <w:r w:rsidRPr="00700241">
        <w:rPr>
          <w:bCs/>
          <w:lang w:val="en-AU"/>
        </w:rPr>
        <w:t>OPI6.</w:t>
      </w:r>
      <w:r>
        <w:rPr>
          <w:bCs/>
          <w:lang w:val="en-AU"/>
        </w:rPr>
        <w:t>1</w:t>
      </w:r>
      <w:r w:rsidRPr="00700241">
        <w:rPr>
          <w:bCs/>
          <w:lang w:val="en-AU"/>
        </w:rPr>
        <w:t xml:space="preserve"> monitors the people meaningfully reached with a variety of transaction</w:t>
      </w:r>
      <w:r>
        <w:rPr>
          <w:bCs/>
          <w:lang w:val="en-AU"/>
        </w:rPr>
        <w:t>-</w:t>
      </w:r>
      <w:r w:rsidRPr="00700241">
        <w:rPr>
          <w:bCs/>
          <w:lang w:val="en-AU"/>
        </w:rPr>
        <w:t xml:space="preserve">specific actions and services, including services directly provided, or provided by a third party funded by the Client in full or through a substantial contribution. </w:t>
      </w:r>
    </w:p>
    <w:p w14:paraId="3827CB04" w14:textId="77777777" w:rsidR="002A14DD" w:rsidRPr="00700241" w:rsidRDefault="002A14DD" w:rsidP="002A14DD">
      <w:pPr>
        <w:rPr>
          <w:bCs/>
          <w:lang w:val="en-AU"/>
        </w:rPr>
      </w:pPr>
      <w:r w:rsidRPr="00700241">
        <w:rPr>
          <w:bCs/>
          <w:lang w:val="en-AU"/>
        </w:rPr>
        <w:t xml:space="preserve">&amp;Green adopts the IAF and RSPO definition of livelihoods: </w:t>
      </w:r>
    </w:p>
    <w:p w14:paraId="69A42900" w14:textId="77777777" w:rsidR="002A14DD" w:rsidRPr="00700241" w:rsidRDefault="002A14DD" w:rsidP="004349D9">
      <w:pPr>
        <w:ind w:left="720"/>
        <w:rPr>
          <w:bCs/>
        </w:rPr>
      </w:pPr>
      <w:r w:rsidRPr="00700241">
        <w:rPr>
          <w:bCs/>
          <w:lang w:val="en-AU"/>
        </w:rPr>
        <w:t>“</w:t>
      </w:r>
      <w:r w:rsidRPr="00700241">
        <w:rPr>
          <w:bCs/>
        </w:rPr>
        <w:t>A person’s or a group’s way of making a living, from the environment or in the economy— including provisions for basic needs and assurance of access to food, clean water, health, education, housing, and the materials needed for their life and comfort—either through their own direct use of natural resources or through exchange, barter, trade, or engagement in the market. It encompasses the capabilities, assets, and activities required to secure the necessities of life.”</w:t>
      </w:r>
    </w:p>
    <w:p w14:paraId="59C5C8F4" w14:textId="6567AA50" w:rsidR="002A14DD" w:rsidRDefault="007319EC" w:rsidP="002A14DD">
      <w:pPr>
        <w:rPr>
          <w:bCs/>
        </w:rPr>
      </w:pPr>
      <w:r>
        <w:rPr>
          <w:bCs/>
          <w:lang w:val="en-AU"/>
        </w:rPr>
        <w:t>E</w:t>
      </w:r>
      <w:r w:rsidRPr="008537A5">
        <w:rPr>
          <w:bCs/>
          <w:lang w:val="en-AU"/>
        </w:rPr>
        <w:t xml:space="preserve">ach </w:t>
      </w:r>
      <w:r>
        <w:rPr>
          <w:bCs/>
          <w:lang w:val="en-AU"/>
        </w:rPr>
        <w:t xml:space="preserve">&amp;Green </w:t>
      </w:r>
      <w:r w:rsidRPr="008537A5">
        <w:rPr>
          <w:bCs/>
          <w:lang w:val="en-AU"/>
        </w:rPr>
        <w:t xml:space="preserve">transaction’s LPP </w:t>
      </w:r>
      <w:r>
        <w:rPr>
          <w:bCs/>
          <w:lang w:val="en-AU"/>
        </w:rPr>
        <w:t xml:space="preserve">will include a </w:t>
      </w:r>
      <w:r w:rsidR="008537A5" w:rsidRPr="008537A5">
        <w:rPr>
          <w:bCs/>
          <w:lang w:val="en-AU"/>
        </w:rPr>
        <w:t>variety of communities</w:t>
      </w:r>
      <w:r w:rsidR="008537A5">
        <w:rPr>
          <w:bCs/>
          <w:lang w:val="en-AU"/>
        </w:rPr>
        <w:t xml:space="preserve">, </w:t>
      </w:r>
      <w:proofErr w:type="gramStart"/>
      <w:r w:rsidR="008537A5" w:rsidRPr="008537A5">
        <w:rPr>
          <w:bCs/>
          <w:lang w:val="en-AU"/>
        </w:rPr>
        <w:t>stakeholders</w:t>
      </w:r>
      <w:proofErr w:type="gramEnd"/>
      <w:r w:rsidR="008537A5" w:rsidRPr="008537A5">
        <w:rPr>
          <w:bCs/>
          <w:lang w:val="en-AU"/>
        </w:rPr>
        <w:t xml:space="preserve"> and Action Plans</w:t>
      </w:r>
      <w:r w:rsidR="00DD54FD">
        <w:rPr>
          <w:bCs/>
          <w:lang w:val="en-AU"/>
        </w:rPr>
        <w:t xml:space="preserve">. This </w:t>
      </w:r>
      <w:r w:rsidR="008537A5" w:rsidRPr="008537A5">
        <w:rPr>
          <w:bCs/>
          <w:lang w:val="en-AU"/>
        </w:rPr>
        <w:t xml:space="preserve">prevents </w:t>
      </w:r>
      <w:r w:rsidR="00DD54FD">
        <w:rPr>
          <w:bCs/>
          <w:lang w:val="en-AU"/>
        </w:rPr>
        <w:t xml:space="preserve">a </w:t>
      </w:r>
      <w:r w:rsidR="008537A5" w:rsidRPr="008537A5">
        <w:rPr>
          <w:bCs/>
          <w:lang w:val="en-AU"/>
        </w:rPr>
        <w:t xml:space="preserve">universal specification of data points </w:t>
      </w:r>
      <w:r w:rsidR="00DD54FD">
        <w:rPr>
          <w:bCs/>
          <w:lang w:val="en-AU"/>
        </w:rPr>
        <w:t>under OPI6.1</w:t>
      </w:r>
      <w:r w:rsidR="008537A5" w:rsidRPr="008537A5">
        <w:rPr>
          <w:bCs/>
          <w:lang w:val="en-AU"/>
        </w:rPr>
        <w:t xml:space="preserve">. The OPIs indicator count is </w:t>
      </w:r>
      <w:r w:rsidR="00E0668C">
        <w:rPr>
          <w:bCs/>
          <w:lang w:val="en-AU"/>
        </w:rPr>
        <w:t>‘</w:t>
      </w:r>
      <w:r w:rsidR="008537A5" w:rsidRPr="008537A5">
        <w:rPr>
          <w:bCs/>
          <w:lang w:val="en-AU"/>
        </w:rPr>
        <w:t># people benefiting</w:t>
      </w:r>
      <w:r w:rsidR="00E0668C">
        <w:rPr>
          <w:bCs/>
          <w:lang w:val="en-AU"/>
        </w:rPr>
        <w:t>’</w:t>
      </w:r>
      <w:r w:rsidR="008537A5" w:rsidRPr="008537A5">
        <w:rPr>
          <w:bCs/>
          <w:lang w:val="en-AU"/>
        </w:rPr>
        <w:t xml:space="preserve">, but the ways in which </w:t>
      </w:r>
      <w:r w:rsidR="005104B4">
        <w:rPr>
          <w:bCs/>
          <w:lang w:val="en-AU"/>
        </w:rPr>
        <w:t>they</w:t>
      </w:r>
      <w:r w:rsidR="008537A5" w:rsidRPr="008537A5">
        <w:rPr>
          <w:bCs/>
          <w:lang w:val="en-AU"/>
        </w:rPr>
        <w:t xml:space="preserve"> benefit </w:t>
      </w:r>
      <w:r w:rsidR="005104B4">
        <w:rPr>
          <w:bCs/>
          <w:lang w:val="en-AU"/>
        </w:rPr>
        <w:t>will</w:t>
      </w:r>
      <w:r w:rsidR="008537A5" w:rsidRPr="008537A5">
        <w:rPr>
          <w:bCs/>
          <w:lang w:val="en-AU"/>
        </w:rPr>
        <w:t xml:space="preserve"> vary</w:t>
      </w:r>
      <w:r w:rsidR="005104B4">
        <w:rPr>
          <w:bCs/>
          <w:lang w:val="en-AU"/>
        </w:rPr>
        <w:t>. D</w:t>
      </w:r>
      <w:r w:rsidR="008537A5" w:rsidRPr="008537A5">
        <w:rPr>
          <w:bCs/>
          <w:lang w:val="en-AU"/>
        </w:rPr>
        <w:t>ata collect</w:t>
      </w:r>
      <w:r w:rsidR="00303B41">
        <w:rPr>
          <w:bCs/>
          <w:lang w:val="en-AU"/>
        </w:rPr>
        <w:t>ed is</w:t>
      </w:r>
      <w:r w:rsidR="008537A5" w:rsidRPr="008537A5">
        <w:rPr>
          <w:bCs/>
          <w:lang w:val="en-AU"/>
        </w:rPr>
        <w:t xml:space="preserve"> </w:t>
      </w:r>
      <w:r w:rsidR="005104B4">
        <w:rPr>
          <w:bCs/>
          <w:lang w:val="en-AU"/>
        </w:rPr>
        <w:t xml:space="preserve">therefore </w:t>
      </w:r>
      <w:r w:rsidR="008537A5" w:rsidRPr="008537A5">
        <w:rPr>
          <w:bCs/>
          <w:lang w:val="en-AU"/>
        </w:rPr>
        <w:t xml:space="preserve">defined </w:t>
      </w:r>
      <w:r w:rsidR="005104B4">
        <w:rPr>
          <w:bCs/>
          <w:lang w:val="en-AU"/>
        </w:rPr>
        <w:t>by</w:t>
      </w:r>
      <w:r w:rsidR="008537A5" w:rsidRPr="008537A5">
        <w:rPr>
          <w:bCs/>
          <w:lang w:val="en-AU"/>
        </w:rPr>
        <w:t xml:space="preserve"> each transaction. </w:t>
      </w:r>
      <w:r w:rsidR="002A14DD" w:rsidRPr="00700241">
        <w:rPr>
          <w:bCs/>
        </w:rPr>
        <w:t xml:space="preserve">Services to be included shall be assessed based on materiality and relevance of those services to the Transformational Change narrative of the transaction. The services to be included </w:t>
      </w:r>
      <w:r w:rsidR="002A14DD">
        <w:rPr>
          <w:bCs/>
        </w:rPr>
        <w:t xml:space="preserve">are </w:t>
      </w:r>
      <w:r w:rsidR="002A14DD" w:rsidRPr="00700241">
        <w:rPr>
          <w:bCs/>
        </w:rPr>
        <w:t xml:space="preserve">listed in the LPP and ESAP and can be revised/expanded by mutual agreement with the Client. </w:t>
      </w:r>
    </w:p>
    <w:p w14:paraId="13BB1E52" w14:textId="42C7E09E" w:rsidR="002A14DD" w:rsidRPr="005219D9" w:rsidRDefault="002A14DD" w:rsidP="002A14DD">
      <w:r>
        <w:t>OPI 6.</w:t>
      </w:r>
      <w:r w:rsidR="00FF602B">
        <w:t>1</w:t>
      </w:r>
      <w:r>
        <w:t xml:space="preserve"> is disaggregated by gender, collecting data on men and women benefitting.</w:t>
      </w:r>
    </w:p>
    <w:p w14:paraId="11369629" w14:textId="77777777" w:rsidR="001E06ED" w:rsidRDefault="001E06ED" w:rsidP="00276182">
      <w:pPr>
        <w:spacing w:after="0"/>
        <w:rPr>
          <w:lang w:val="en-AU"/>
        </w:rPr>
      </w:pPr>
    </w:p>
    <w:p w14:paraId="15E8B51E" w14:textId="77777777" w:rsidR="007948DE" w:rsidRPr="00700241" w:rsidRDefault="007948DE" w:rsidP="007948DE">
      <w:pPr>
        <w:pStyle w:val="Heading2simple"/>
      </w:pPr>
      <w:bookmarkStart w:id="33" w:name="_Toc103271302"/>
      <w:r w:rsidRPr="00700241">
        <w:t>OPI 6.</w:t>
      </w:r>
      <w:r>
        <w:t>2</w:t>
      </w:r>
      <w:r w:rsidRPr="00700241">
        <w:t>a Jobs supported (direct)</w:t>
      </w:r>
      <w:bookmarkEnd w:id="33"/>
    </w:p>
    <w:p w14:paraId="1B78F028" w14:textId="77777777" w:rsidR="007948DE" w:rsidRPr="005C1300" w:rsidRDefault="007948DE" w:rsidP="007948DE">
      <w:pPr>
        <w:rPr>
          <w:b/>
        </w:rPr>
      </w:pPr>
      <w:r w:rsidRPr="005C1300">
        <w:rPr>
          <w:b/>
        </w:rPr>
        <w:t xml:space="preserve"># </w:t>
      </w:r>
      <w:proofErr w:type="gramStart"/>
      <w:r w:rsidRPr="005C1300">
        <w:rPr>
          <w:b/>
        </w:rPr>
        <w:t>direct</w:t>
      </w:r>
      <w:proofErr w:type="gramEnd"/>
      <w:r w:rsidRPr="005C1300">
        <w:rPr>
          <w:b/>
        </w:rPr>
        <w:t xml:space="preserve"> jobs supported in full-time equivalents (FTE).</w:t>
      </w:r>
    </w:p>
    <w:p w14:paraId="09A1E11D" w14:textId="77777777" w:rsidR="007948DE" w:rsidRPr="00700241" w:rsidRDefault="007948DE" w:rsidP="007948DE">
      <w:pPr>
        <w:rPr>
          <w:bCs/>
          <w:lang w:val="en-AU"/>
        </w:rPr>
      </w:pPr>
      <w:r w:rsidRPr="00700241">
        <w:rPr>
          <w:bCs/>
        </w:rPr>
        <w:t>The number of FTE is recorded at the end of the reporting period, for that period.</w:t>
      </w:r>
    </w:p>
    <w:p w14:paraId="2245B9F4" w14:textId="77777777" w:rsidR="007948DE" w:rsidRPr="00700241" w:rsidRDefault="007948DE" w:rsidP="007948DE">
      <w:r w:rsidRPr="00700241">
        <w:t>&amp;Green adopts the IRIS Framework definition</w:t>
      </w:r>
      <w:r w:rsidRPr="00700241">
        <w:rPr>
          <w:vertAlign w:val="superscript"/>
        </w:rPr>
        <w:footnoteReference w:id="25"/>
      </w:r>
      <w:r w:rsidRPr="00700241">
        <w:t xml:space="preserve"> of FTE: </w:t>
      </w:r>
    </w:p>
    <w:p w14:paraId="67FB83C1" w14:textId="77777777" w:rsidR="007948DE" w:rsidRPr="00700241" w:rsidRDefault="007948DE" w:rsidP="007948DE">
      <w:pPr>
        <w:ind w:left="720"/>
      </w:pPr>
      <w:r w:rsidRPr="00700241">
        <w:t>“A full-time equivalent (FTE) job is the equivalent of one person working full time as defined by local laws. FTE is equal to the number of full-time employees plus the number of employees on part-time schedules converted to a full-time basis. In most instances this should include seasonal, contractual, part-time, and full-time employees hired directly by the financed enterprise or through third-party agencies.”</w:t>
      </w:r>
      <w:r w:rsidRPr="00700241">
        <w:rPr>
          <w:vertAlign w:val="superscript"/>
        </w:rPr>
        <w:footnoteReference w:id="26"/>
      </w:r>
      <w:r w:rsidRPr="00700241">
        <w:t xml:space="preserve"> </w:t>
      </w:r>
    </w:p>
    <w:p w14:paraId="36FA7335" w14:textId="20023B13" w:rsidR="007948DE" w:rsidRDefault="007948DE" w:rsidP="007948DE">
      <w:r>
        <w:t>OPI 6.</w:t>
      </w:r>
      <w:r w:rsidR="00FE48AB">
        <w:t>2a</w:t>
      </w:r>
      <w:r>
        <w:t xml:space="preserve"> is disaggregated by gender, collecting data on men and women with direct jobs.</w:t>
      </w:r>
    </w:p>
    <w:p w14:paraId="0715FB23" w14:textId="77777777" w:rsidR="0077473F" w:rsidRPr="00915C31" w:rsidRDefault="0077473F" w:rsidP="00276182">
      <w:pPr>
        <w:spacing w:after="0"/>
      </w:pPr>
    </w:p>
    <w:p w14:paraId="412287E7" w14:textId="77777777" w:rsidR="007948DE" w:rsidRPr="00700241" w:rsidRDefault="007948DE" w:rsidP="007948DE">
      <w:pPr>
        <w:pStyle w:val="Heading2simple"/>
      </w:pPr>
      <w:bookmarkStart w:id="34" w:name="_Toc103271303"/>
      <w:r w:rsidRPr="00700241">
        <w:t>OPI 6.</w:t>
      </w:r>
      <w:r>
        <w:t>2</w:t>
      </w:r>
      <w:r w:rsidRPr="00700241">
        <w:t>b Jobs supported (indirect)</w:t>
      </w:r>
      <w:bookmarkEnd w:id="34"/>
    </w:p>
    <w:p w14:paraId="64C485FA" w14:textId="77777777" w:rsidR="007948DE" w:rsidRPr="007D4046" w:rsidRDefault="007948DE" w:rsidP="007948DE">
      <w:pPr>
        <w:rPr>
          <w:b/>
        </w:rPr>
      </w:pPr>
      <w:r w:rsidRPr="007D4046">
        <w:rPr>
          <w:b/>
        </w:rPr>
        <w:t xml:space="preserve"># </w:t>
      </w:r>
      <w:proofErr w:type="gramStart"/>
      <w:r w:rsidRPr="007D4046">
        <w:rPr>
          <w:b/>
        </w:rPr>
        <w:t>indirect</w:t>
      </w:r>
      <w:proofErr w:type="gramEnd"/>
      <w:r w:rsidRPr="007D4046">
        <w:rPr>
          <w:b/>
        </w:rPr>
        <w:t xml:space="preserve"> jobs supported in full-time equivalents (FTE).</w:t>
      </w:r>
    </w:p>
    <w:p w14:paraId="6254B896" w14:textId="77777777" w:rsidR="007948DE" w:rsidRPr="00700241" w:rsidRDefault="007948DE" w:rsidP="007948DE">
      <w:pPr>
        <w:rPr>
          <w:bCs/>
          <w:lang w:val="en-AU"/>
        </w:rPr>
      </w:pPr>
      <w:r w:rsidRPr="00700241">
        <w:rPr>
          <w:bCs/>
        </w:rPr>
        <w:t>Indirect jobs are defined as head count employed by the Client’s direct and indirect suppliers. This is quantified using the Joint Impact Model (JIM)</w:t>
      </w:r>
      <w:r w:rsidRPr="00700241">
        <w:rPr>
          <w:bCs/>
          <w:vertAlign w:val="superscript"/>
        </w:rPr>
        <w:footnoteReference w:id="27"/>
      </w:r>
      <w:r w:rsidRPr="00700241">
        <w:rPr>
          <w:bCs/>
        </w:rPr>
        <w:t>. The number of indirect jobs supported has not yet been assessed in &amp;Green’s portfolio. This OPI is expected to be included in &amp;Green’s monitoring framework when deemed relevant and feasible.</w:t>
      </w:r>
    </w:p>
    <w:p w14:paraId="6FFB0D30" w14:textId="77777777" w:rsidR="004349D9" w:rsidRDefault="004349D9" w:rsidP="00276182">
      <w:pPr>
        <w:spacing w:after="0"/>
        <w:rPr>
          <w:lang w:val="en-AU"/>
        </w:rPr>
      </w:pPr>
    </w:p>
    <w:p w14:paraId="6307A2DE" w14:textId="77777777" w:rsidR="00BA6E72" w:rsidRPr="0051683D" w:rsidRDefault="00BA6E72" w:rsidP="00BA6E72">
      <w:pPr>
        <w:pStyle w:val="Heading2simple"/>
      </w:pPr>
      <w:bookmarkStart w:id="35" w:name="_Toc103271304"/>
      <w:r w:rsidRPr="0051683D">
        <w:t>OPI 6.3 Producers receiving NDPE training</w:t>
      </w:r>
      <w:bookmarkEnd w:id="35"/>
    </w:p>
    <w:p w14:paraId="37001C61" w14:textId="77777777" w:rsidR="00BA6E72" w:rsidRPr="00463A5F" w:rsidRDefault="00BA6E72" w:rsidP="00BA6E72">
      <w:pPr>
        <w:rPr>
          <w:rStyle w:val="Wordboldgreen"/>
          <w:color w:val="auto"/>
          <w:lang w:val="en-AU"/>
        </w:rPr>
      </w:pPr>
      <w:r w:rsidRPr="0051683D">
        <w:rPr>
          <w:rStyle w:val="Wordboldgreen"/>
          <w:color w:val="auto"/>
          <w:lang w:val="en-AU"/>
        </w:rPr>
        <w:t xml:space="preserve"># producers </w:t>
      </w:r>
      <w:r w:rsidRPr="0051683D">
        <w:rPr>
          <w:b/>
          <w:noProof/>
        </w:rPr>
        <w:t>and</w:t>
      </w:r>
      <w:r w:rsidRPr="007F5144">
        <w:rPr>
          <w:b/>
          <w:noProof/>
        </w:rPr>
        <w:t xml:space="preserve"> stakeholders </w:t>
      </w:r>
      <w:r w:rsidRPr="00463A5F">
        <w:rPr>
          <w:rStyle w:val="Wordboldgreen"/>
          <w:color w:val="auto"/>
          <w:lang w:val="en-AU"/>
        </w:rPr>
        <w:t>that receive training to become compliant with the relevant NDPE and sustainability commitments</w:t>
      </w:r>
    </w:p>
    <w:p w14:paraId="7EBE4485" w14:textId="77777777" w:rsidR="002104A4" w:rsidRDefault="00181AB7" w:rsidP="00BA6E72">
      <w:r w:rsidRPr="00181AB7">
        <w:rPr>
          <w:lang w:val="en-AU"/>
        </w:rPr>
        <w:t xml:space="preserve">&amp;Green adopts the </w:t>
      </w:r>
      <w:r w:rsidRPr="00181AB7">
        <w:rPr>
          <w:lang w:val="en-IE"/>
        </w:rPr>
        <w:t>International Accountability Framework’s (IAF) definition o</w:t>
      </w:r>
      <w:r w:rsidR="00771D69">
        <w:rPr>
          <w:lang w:val="en-IE"/>
        </w:rPr>
        <w:t>f</w:t>
      </w:r>
      <w:r w:rsidR="00BA6E72" w:rsidRPr="00700241">
        <w:t xml:space="preserve"> a Producer</w:t>
      </w:r>
      <w:r w:rsidR="00771D69" w:rsidRPr="00771D69">
        <w:rPr>
          <w:vertAlign w:val="superscript"/>
          <w:lang w:val="en-IE"/>
        </w:rPr>
        <w:footnoteReference w:id="28"/>
      </w:r>
      <w:r w:rsidR="00BA6E72" w:rsidRPr="00700241">
        <w:t xml:space="preserve">: </w:t>
      </w:r>
    </w:p>
    <w:p w14:paraId="1A4D8723" w14:textId="302B0DD4" w:rsidR="00BA6E72" w:rsidRPr="00700241" w:rsidRDefault="00BA6E72" w:rsidP="00E36B5B">
      <w:r w:rsidRPr="00700241">
        <w:t>“The owner or manager of a farm, estate, plantation, or ranch used to produce agricultural products, or of a forest that is managed at least in part for the harvest of forest products. This includes smallholders, producer groups, and production systems owned or managed by communities”.</w:t>
      </w:r>
    </w:p>
    <w:p w14:paraId="2B4611A6" w14:textId="77777777" w:rsidR="00BA6E72" w:rsidRDefault="00BA6E72" w:rsidP="00BA6E72">
      <w:r w:rsidRPr="00700241">
        <w:t>To include producers, they must receive sufficient training, appropriately delivered</w:t>
      </w:r>
      <w:r>
        <w:t>,</w:t>
      </w:r>
      <w:r w:rsidRPr="00700241">
        <w:t xml:space="preserve"> to provide them with the capacity to comply with the NDPE and sustainability commitments.  </w:t>
      </w:r>
    </w:p>
    <w:p w14:paraId="3A1FCF2B" w14:textId="77777777" w:rsidR="00BA6E72" w:rsidRDefault="00BA6E72" w:rsidP="00BA6E72">
      <w:r w:rsidRPr="00700241">
        <w:t xml:space="preserve">Producers that receive training </w:t>
      </w:r>
      <w:r w:rsidRPr="0039549D">
        <w:t xml:space="preserve">without being suppliers to the Client </w:t>
      </w:r>
      <w:r>
        <w:t xml:space="preserve">may be included in OPI6.3 if they </w:t>
      </w:r>
      <w:r w:rsidRPr="00700241">
        <w:t>form part of the supply shed.</w:t>
      </w:r>
    </w:p>
    <w:p w14:paraId="715B717F" w14:textId="77777777" w:rsidR="00BA6E72" w:rsidRPr="00700241" w:rsidRDefault="00BA6E72" w:rsidP="00BA6E72">
      <w:r>
        <w:t xml:space="preserve">Stakeholders that are not Producers may be included in OPI6.3 where they contribute to achieving NDPE and sustainability commitment compliance. For example, providing training on the rights and access to redress for vulnerable populations, such as female itinerant workers, </w:t>
      </w:r>
      <w:r w:rsidRPr="005B4D50">
        <w:t xml:space="preserve">Indigenous Peoples, </w:t>
      </w:r>
      <w:r>
        <w:t xml:space="preserve">or immigrant workers. </w:t>
      </w:r>
    </w:p>
    <w:p w14:paraId="5C1DFCE9" w14:textId="77777777" w:rsidR="00BA6E72" w:rsidRPr="00700241" w:rsidRDefault="00BA6E72" w:rsidP="00BA6E72">
      <w:r>
        <w:t>OPI 6.3 is disaggregated by gender, collecting data on male and female producers.</w:t>
      </w:r>
    </w:p>
    <w:p w14:paraId="365A9BE4" w14:textId="77777777" w:rsidR="007948DE" w:rsidRDefault="007948DE" w:rsidP="00504DA4">
      <w:pPr>
        <w:rPr>
          <w:lang w:val="en-AU"/>
        </w:rPr>
      </w:pPr>
    </w:p>
    <w:p w14:paraId="40F7049A" w14:textId="18EBF4EE" w:rsidR="00704407" w:rsidRPr="00700241" w:rsidRDefault="00704407" w:rsidP="00CF72F5">
      <w:pPr>
        <w:pStyle w:val="Heading2simple"/>
      </w:pPr>
      <w:bookmarkStart w:id="36" w:name="_Toc103271305"/>
      <w:r w:rsidRPr="00700241">
        <w:t xml:space="preserve">OPI </w:t>
      </w:r>
      <w:r w:rsidR="00F54D58" w:rsidRPr="00700241">
        <w:t>6.</w:t>
      </w:r>
      <w:r w:rsidR="005B336B">
        <w:t>4</w:t>
      </w:r>
      <w:r w:rsidRPr="00700241">
        <w:t xml:space="preserve"> Producers Reached</w:t>
      </w:r>
      <w:bookmarkEnd w:id="36"/>
    </w:p>
    <w:p w14:paraId="25F64898" w14:textId="230FCCD2" w:rsidR="00704407" w:rsidRPr="00E804F9" w:rsidRDefault="001B5CA3" w:rsidP="00704407">
      <w:pPr>
        <w:rPr>
          <w:rStyle w:val="Wordboldgreen"/>
          <w:color w:val="auto"/>
          <w:lang w:val="en-AU"/>
        </w:rPr>
      </w:pPr>
      <w:r w:rsidRPr="00E804F9">
        <w:rPr>
          <w:rStyle w:val="Wordboldgreen"/>
          <w:color w:val="auto"/>
          <w:lang w:val="en-AU"/>
        </w:rPr>
        <w:t>#</w:t>
      </w:r>
      <w:r w:rsidR="00704407" w:rsidRPr="00E804F9">
        <w:rPr>
          <w:rStyle w:val="Wordboldgreen"/>
          <w:color w:val="auto"/>
          <w:lang w:val="en-AU"/>
        </w:rPr>
        <w:t xml:space="preserve"> direct and indirect suppliers compliant with </w:t>
      </w:r>
      <w:r w:rsidR="00F90180" w:rsidRPr="00E804F9">
        <w:rPr>
          <w:rStyle w:val="Wordboldgreen"/>
          <w:color w:val="auto"/>
          <w:lang w:val="en-AU"/>
        </w:rPr>
        <w:t xml:space="preserve">relevant </w:t>
      </w:r>
      <w:r w:rsidR="00704407" w:rsidRPr="00E804F9">
        <w:rPr>
          <w:rStyle w:val="Wordboldgreen"/>
          <w:color w:val="auto"/>
          <w:lang w:val="en-AU"/>
        </w:rPr>
        <w:t>NDPE and sustainability commitments.</w:t>
      </w:r>
    </w:p>
    <w:p w14:paraId="2AB3A2BB" w14:textId="79DED720" w:rsidR="00F56029" w:rsidRPr="00700241" w:rsidRDefault="007E2D44" w:rsidP="00704407">
      <w:pPr>
        <w:rPr>
          <w:lang w:val="en-IE"/>
        </w:rPr>
      </w:pPr>
      <w:r w:rsidRPr="00700241">
        <w:rPr>
          <w:bCs/>
          <w:lang w:val="en-AU"/>
        </w:rPr>
        <w:t>OPI6.</w:t>
      </w:r>
      <w:r w:rsidR="00507A99">
        <w:rPr>
          <w:bCs/>
          <w:lang w:val="en-AU"/>
        </w:rPr>
        <w:t>4</w:t>
      </w:r>
      <w:r w:rsidRPr="00700241">
        <w:rPr>
          <w:bCs/>
          <w:lang w:val="en-AU"/>
        </w:rPr>
        <w:t xml:space="preserve"> monitors the </w:t>
      </w:r>
      <w:r w:rsidR="009B064E" w:rsidRPr="00700241">
        <w:rPr>
          <w:bCs/>
          <w:lang w:val="en-AU"/>
        </w:rPr>
        <w:t xml:space="preserve">extent </w:t>
      </w:r>
      <w:r w:rsidRPr="00700241">
        <w:rPr>
          <w:bCs/>
          <w:lang w:val="en-AU"/>
        </w:rPr>
        <w:t xml:space="preserve">of </w:t>
      </w:r>
      <w:r w:rsidR="00ED3C73">
        <w:rPr>
          <w:bCs/>
          <w:lang w:val="en-AU"/>
        </w:rPr>
        <w:t xml:space="preserve">suppliers </w:t>
      </w:r>
      <w:r w:rsidRPr="00700241">
        <w:rPr>
          <w:bCs/>
          <w:lang w:val="en-AU"/>
        </w:rPr>
        <w:t>reached</w:t>
      </w:r>
      <w:r w:rsidR="00261526" w:rsidRPr="00700241">
        <w:rPr>
          <w:bCs/>
          <w:lang w:val="en-AU"/>
        </w:rPr>
        <w:t xml:space="preserve"> and achieving sustainability</w:t>
      </w:r>
      <w:r w:rsidRPr="00700241">
        <w:rPr>
          <w:bCs/>
          <w:lang w:val="en-AU"/>
        </w:rPr>
        <w:t xml:space="preserve"> in </w:t>
      </w:r>
      <w:r w:rsidR="009B064E" w:rsidRPr="00700241">
        <w:rPr>
          <w:bCs/>
          <w:lang w:val="en-AU"/>
        </w:rPr>
        <w:t xml:space="preserve">supply chains. </w:t>
      </w:r>
      <w:r w:rsidR="00704407" w:rsidRPr="00700241">
        <w:rPr>
          <w:lang w:val="en-AU"/>
        </w:rPr>
        <w:t xml:space="preserve">&amp;Green adopts the </w:t>
      </w:r>
      <w:r w:rsidR="00704407" w:rsidRPr="00700241">
        <w:rPr>
          <w:lang w:val="en-IE"/>
        </w:rPr>
        <w:t>International Accountability Framework’s (IAF) definition of supplier</w:t>
      </w:r>
      <w:r w:rsidR="00704407" w:rsidRPr="00700241">
        <w:rPr>
          <w:vertAlign w:val="superscript"/>
          <w:lang w:val="en-IE"/>
        </w:rPr>
        <w:footnoteReference w:id="29"/>
      </w:r>
      <w:r w:rsidR="00704407" w:rsidRPr="00700241">
        <w:rPr>
          <w:lang w:val="en-IE"/>
        </w:rPr>
        <w:t>:</w:t>
      </w:r>
    </w:p>
    <w:p w14:paraId="1696025A" w14:textId="4876B55A" w:rsidR="00704407" w:rsidRPr="00700241" w:rsidRDefault="00704407" w:rsidP="00E36B5B">
      <w:pPr>
        <w:ind w:left="360"/>
        <w:rPr>
          <w:lang w:val="en-IE"/>
        </w:rPr>
      </w:pPr>
      <w:r w:rsidRPr="00700241">
        <w:rPr>
          <w:lang w:val="en-IE"/>
        </w:rPr>
        <w:t>“</w:t>
      </w:r>
      <w:r w:rsidRPr="00700241">
        <w:t xml:space="preserve">A producer or company that supplies raw materials, processed materials, or finished products to a buyer. </w:t>
      </w:r>
    </w:p>
    <w:p w14:paraId="13E5060C" w14:textId="77777777" w:rsidR="00704407" w:rsidRPr="00700241" w:rsidRDefault="00704407" w:rsidP="00704407">
      <w:pPr>
        <w:numPr>
          <w:ilvl w:val="0"/>
          <w:numId w:val="22"/>
        </w:numPr>
        <w:rPr>
          <w:lang w:val="en-US"/>
        </w:rPr>
      </w:pPr>
      <w:r w:rsidRPr="00700241">
        <w:rPr>
          <w:lang w:val="en-US"/>
        </w:rPr>
        <w:t xml:space="preserve">Suppliers can include producers, processors, traders, and manufacturers. For instance, farms or processing mills supply raw or processed materials to traders, while manufacturers supply consumer products to retailers. </w:t>
      </w:r>
    </w:p>
    <w:p w14:paraId="5425BB8C" w14:textId="77777777" w:rsidR="00704407" w:rsidRPr="00700241" w:rsidRDefault="00704407" w:rsidP="00704407">
      <w:pPr>
        <w:numPr>
          <w:ilvl w:val="0"/>
          <w:numId w:val="22"/>
        </w:numPr>
        <w:rPr>
          <w:lang w:val="en-US"/>
        </w:rPr>
      </w:pPr>
      <w:r w:rsidRPr="00700241">
        <w:rPr>
          <w:lang w:val="en-US"/>
        </w:rPr>
        <w:t xml:space="preserve">A given company can be both a supplier and a buyer. </w:t>
      </w:r>
    </w:p>
    <w:p w14:paraId="4698C4BF" w14:textId="77777777" w:rsidR="00704407" w:rsidRPr="00700241" w:rsidRDefault="00704407" w:rsidP="00704407">
      <w:pPr>
        <w:numPr>
          <w:ilvl w:val="0"/>
          <w:numId w:val="22"/>
        </w:numPr>
        <w:rPr>
          <w:lang w:val="en-US"/>
        </w:rPr>
      </w:pPr>
      <w:r w:rsidRPr="00700241">
        <w:rPr>
          <w:lang w:val="en-US"/>
        </w:rPr>
        <w:t>A supplier may either be a direct supplier (selling directly to the buyer) or an indirect supplier (selling to an intermediary that is one or more steps removed from the buyer).”</w:t>
      </w:r>
    </w:p>
    <w:p w14:paraId="493548FF" w14:textId="730CE101" w:rsidR="00DC1172" w:rsidRPr="00700241" w:rsidRDefault="00DC1172" w:rsidP="00DC1172">
      <w:r w:rsidRPr="00700241">
        <w:t xml:space="preserve">Relevant NDPE and sustainability commitments are those included in the </w:t>
      </w:r>
      <w:r w:rsidR="00BB5EF0" w:rsidRPr="00700241">
        <w:t>transaction</w:t>
      </w:r>
      <w:r w:rsidR="007275FB">
        <w:t>:</w:t>
      </w:r>
      <w:r w:rsidRPr="00700241">
        <w:t xml:space="preserve"> the NDPE commitment, compliance with IFC PS, and any commitments made in the LPP and ESAP. </w:t>
      </w:r>
    </w:p>
    <w:p w14:paraId="6EC24902" w14:textId="7FB2EEBE" w:rsidR="00704407" w:rsidRDefault="00704407" w:rsidP="00704407">
      <w:r w:rsidRPr="00700241">
        <w:t xml:space="preserve">Compliance with the project’s NDPE is classified as full compliance, which includes public commitments, traceability, training, and monitoring. Compliance must be demonstrated thorough monitoring mechanisms, verified annually in an external ESG review. </w:t>
      </w:r>
    </w:p>
    <w:p w14:paraId="204126BB" w14:textId="65C7463F" w:rsidR="009A44BE" w:rsidRDefault="009A44BE" w:rsidP="00704407">
      <w:r>
        <w:t>OPI 6.</w:t>
      </w:r>
      <w:r w:rsidR="00B63F29">
        <w:t>4</w:t>
      </w:r>
      <w:r>
        <w:t xml:space="preserve"> is disaggregated by gender, </w:t>
      </w:r>
      <w:r w:rsidR="009554EF">
        <w:t>collecting data on male and female suppliers.</w:t>
      </w:r>
    </w:p>
    <w:p w14:paraId="4308A873" w14:textId="77777777" w:rsidR="00704407" w:rsidRDefault="00704407" w:rsidP="00704407"/>
    <w:p w14:paraId="04E0236E" w14:textId="77777777" w:rsidR="003C459B" w:rsidRPr="00700241" w:rsidRDefault="003C459B" w:rsidP="00704407"/>
    <w:p w14:paraId="20E98C99" w14:textId="0F724EAA" w:rsidR="00704407" w:rsidRPr="00700241" w:rsidRDefault="00704407" w:rsidP="00CF72F5">
      <w:pPr>
        <w:pStyle w:val="Heading2simple"/>
      </w:pPr>
      <w:bookmarkStart w:id="37" w:name="_Toc103271306"/>
      <w:r w:rsidRPr="00700241">
        <w:t xml:space="preserve">OPI </w:t>
      </w:r>
      <w:r w:rsidRPr="00961F67">
        <w:t>6</w:t>
      </w:r>
      <w:r w:rsidR="00C83969" w:rsidRPr="00961F67">
        <w:t>.</w:t>
      </w:r>
      <w:r w:rsidR="00961F67" w:rsidRPr="00961F67">
        <w:t>5</w:t>
      </w:r>
      <w:r w:rsidRPr="00700241">
        <w:t xml:space="preserve"> Land tenure</w:t>
      </w:r>
      <w:bookmarkEnd w:id="37"/>
    </w:p>
    <w:p w14:paraId="7B78B966" w14:textId="728B5E06" w:rsidR="00704407" w:rsidRPr="00C20B99" w:rsidRDefault="00231936" w:rsidP="00704407">
      <w:pPr>
        <w:rPr>
          <w:b/>
          <w:bCs/>
          <w:lang w:val="en-US"/>
        </w:rPr>
      </w:pPr>
      <w:r w:rsidRPr="007F352C">
        <w:rPr>
          <w:b/>
          <w:bCs/>
          <w:lang w:val="en-US"/>
        </w:rPr>
        <w:t>#</w:t>
      </w:r>
      <w:r w:rsidR="00704407" w:rsidRPr="007F352C">
        <w:rPr>
          <w:b/>
          <w:bCs/>
          <w:lang w:val="en-US"/>
        </w:rPr>
        <w:t xml:space="preserve"> </w:t>
      </w:r>
      <w:proofErr w:type="gramStart"/>
      <w:r w:rsidR="00704407" w:rsidRPr="002900D9">
        <w:rPr>
          <w:b/>
          <w:bCs/>
          <w:lang w:val="en-US"/>
        </w:rPr>
        <w:t>people</w:t>
      </w:r>
      <w:proofErr w:type="gramEnd"/>
      <w:r w:rsidR="00704407" w:rsidRPr="002900D9">
        <w:rPr>
          <w:b/>
          <w:bCs/>
          <w:lang w:val="en-US"/>
        </w:rPr>
        <w:t xml:space="preserve"> </w:t>
      </w:r>
      <w:r w:rsidR="0069542B">
        <w:rPr>
          <w:b/>
          <w:bCs/>
          <w:lang w:val="en-US"/>
        </w:rPr>
        <w:t>with</w:t>
      </w:r>
      <w:r w:rsidR="00704407" w:rsidRPr="002900D9">
        <w:rPr>
          <w:b/>
          <w:bCs/>
          <w:lang w:val="en-US"/>
        </w:rPr>
        <w:t xml:space="preserve"> improved </w:t>
      </w:r>
      <w:r w:rsidR="00704407" w:rsidRPr="00C20B99">
        <w:rPr>
          <w:b/>
          <w:bCs/>
          <w:lang w:val="en-US"/>
        </w:rPr>
        <w:t>land tenure security.</w:t>
      </w:r>
    </w:p>
    <w:p w14:paraId="07AB6C1F" w14:textId="298F4D25" w:rsidR="00975730" w:rsidRPr="00700241" w:rsidRDefault="00975730" w:rsidP="00975730">
      <w:pPr>
        <w:rPr>
          <w:bCs/>
        </w:rPr>
      </w:pPr>
      <w:r w:rsidRPr="00700241">
        <w:rPr>
          <w:bCs/>
        </w:rPr>
        <w:t xml:space="preserve">&amp;Green </w:t>
      </w:r>
      <w:r w:rsidR="003D4C40" w:rsidRPr="00700241">
        <w:rPr>
          <w:bCs/>
        </w:rPr>
        <w:t>uses</w:t>
      </w:r>
      <w:r w:rsidRPr="00700241">
        <w:rPr>
          <w:bCs/>
        </w:rPr>
        <w:t xml:space="preserve"> the UN Habitat</w:t>
      </w:r>
      <w:r w:rsidRPr="00700241">
        <w:rPr>
          <w:bCs/>
          <w:vertAlign w:val="superscript"/>
        </w:rPr>
        <w:footnoteReference w:id="30"/>
      </w:r>
      <w:r w:rsidRPr="00700241">
        <w:rPr>
          <w:bCs/>
        </w:rPr>
        <w:t xml:space="preserve"> definition of land tenure security:</w:t>
      </w:r>
    </w:p>
    <w:p w14:paraId="565FA153" w14:textId="77777777" w:rsidR="00975730" w:rsidRPr="00700241" w:rsidRDefault="00975730" w:rsidP="00975730">
      <w:pPr>
        <w:numPr>
          <w:ilvl w:val="0"/>
          <w:numId w:val="23"/>
        </w:numPr>
        <w:rPr>
          <w:bCs/>
          <w:lang w:val="en-US"/>
        </w:rPr>
      </w:pPr>
      <w:r w:rsidRPr="00700241">
        <w:rPr>
          <w:bCs/>
          <w:lang w:val="en-US"/>
        </w:rPr>
        <w:t xml:space="preserve">The degree of confidence that land users will not be arbitrarily deprived of the rights they enjoy over land and the economic benefits that flow from </w:t>
      </w:r>
      <w:proofErr w:type="gramStart"/>
      <w:r w:rsidRPr="00700241">
        <w:rPr>
          <w:bCs/>
          <w:lang w:val="en-US"/>
        </w:rPr>
        <w:t>it;</w:t>
      </w:r>
      <w:proofErr w:type="gramEnd"/>
    </w:p>
    <w:p w14:paraId="2DBCD29B" w14:textId="77777777" w:rsidR="00975730" w:rsidRPr="00700241" w:rsidRDefault="00975730" w:rsidP="00975730">
      <w:pPr>
        <w:numPr>
          <w:ilvl w:val="0"/>
          <w:numId w:val="23"/>
        </w:numPr>
        <w:rPr>
          <w:bCs/>
          <w:lang w:val="en-US"/>
        </w:rPr>
      </w:pPr>
      <w:r w:rsidRPr="00700241">
        <w:rPr>
          <w:bCs/>
          <w:lang w:val="en-US"/>
        </w:rPr>
        <w:t>the certainty that an individual’s rights to land will be recognized by others and protected in cases of specific challenges; or, more specifically,</w:t>
      </w:r>
    </w:p>
    <w:p w14:paraId="3FE85BE6" w14:textId="77777777" w:rsidR="00975730" w:rsidRPr="00700241" w:rsidRDefault="00975730" w:rsidP="00975730">
      <w:pPr>
        <w:numPr>
          <w:ilvl w:val="0"/>
          <w:numId w:val="23"/>
        </w:numPr>
        <w:rPr>
          <w:bCs/>
          <w:lang w:val="en-US"/>
        </w:rPr>
      </w:pPr>
      <w:r w:rsidRPr="00700241">
        <w:rPr>
          <w:bCs/>
          <w:lang w:val="en-US"/>
        </w:rPr>
        <w:t>the right of all individuals and groups to effective government protection against forced evictions.</w:t>
      </w:r>
    </w:p>
    <w:p w14:paraId="3F7AA858" w14:textId="308D8332" w:rsidR="00704407" w:rsidRPr="00700241" w:rsidRDefault="003D4C40" w:rsidP="00213024">
      <w:r w:rsidRPr="00BB751F">
        <w:rPr>
          <w:bCs/>
        </w:rPr>
        <w:t>T</w:t>
      </w:r>
      <w:r w:rsidR="00975730" w:rsidRPr="00BB751F">
        <w:rPr>
          <w:bCs/>
        </w:rPr>
        <w:t xml:space="preserve">he contribution to </w:t>
      </w:r>
      <w:r w:rsidR="000521D1" w:rsidRPr="00BB751F">
        <w:rPr>
          <w:bCs/>
        </w:rPr>
        <w:t>improved</w:t>
      </w:r>
      <w:r w:rsidR="00975730" w:rsidRPr="00BB751F">
        <w:rPr>
          <w:bCs/>
        </w:rPr>
        <w:t xml:space="preserve"> land tenure security </w:t>
      </w:r>
      <w:r w:rsidR="00A577F0" w:rsidRPr="00BB751F">
        <w:rPr>
          <w:bCs/>
        </w:rPr>
        <w:t xml:space="preserve">will </w:t>
      </w:r>
      <w:r w:rsidR="00975730" w:rsidRPr="00BB751F">
        <w:rPr>
          <w:bCs/>
        </w:rPr>
        <w:t xml:space="preserve">differ between </w:t>
      </w:r>
      <w:r w:rsidR="00A577F0" w:rsidRPr="00BB751F">
        <w:rPr>
          <w:bCs/>
        </w:rPr>
        <w:t xml:space="preserve">&amp;Green </w:t>
      </w:r>
      <w:r w:rsidR="00BB5EF0" w:rsidRPr="00BB751F">
        <w:rPr>
          <w:bCs/>
        </w:rPr>
        <w:t>transaction</w:t>
      </w:r>
      <w:r w:rsidRPr="00BB751F">
        <w:rPr>
          <w:bCs/>
        </w:rPr>
        <w:t>s</w:t>
      </w:r>
      <w:r w:rsidR="00975730" w:rsidRPr="00BB751F">
        <w:rPr>
          <w:bCs/>
        </w:rPr>
        <w:t xml:space="preserve">. Data points may be added based on relevance per </w:t>
      </w:r>
      <w:r w:rsidR="00BB5EF0" w:rsidRPr="00BB751F">
        <w:rPr>
          <w:bCs/>
        </w:rPr>
        <w:t>transaction</w:t>
      </w:r>
      <w:r w:rsidR="00A577F0" w:rsidRPr="00BB751F">
        <w:rPr>
          <w:bCs/>
        </w:rPr>
        <w:t>, provided they can justify material improvement</w:t>
      </w:r>
      <w:r w:rsidR="00317CFF" w:rsidRPr="00BB751F">
        <w:rPr>
          <w:bCs/>
        </w:rPr>
        <w:t xml:space="preserve"> against the UN Habitat land tenure security definition areas</w:t>
      </w:r>
      <w:r w:rsidR="00975730" w:rsidRPr="00BB751F">
        <w:rPr>
          <w:bCs/>
        </w:rPr>
        <w:t>.</w:t>
      </w:r>
      <w:r w:rsidR="00B204EB" w:rsidRPr="00BB751F">
        <w:rPr>
          <w:bCs/>
        </w:rPr>
        <w:t xml:space="preserve"> Some examples of </w:t>
      </w:r>
      <w:r w:rsidR="00213024" w:rsidRPr="00BB751F">
        <w:rPr>
          <w:bCs/>
        </w:rPr>
        <w:t>likely data points include</w:t>
      </w:r>
      <w:r w:rsidR="00213024" w:rsidRPr="00700241">
        <w:rPr>
          <w:bCs/>
        </w:rPr>
        <w:t>:</w:t>
      </w:r>
    </w:p>
    <w:p w14:paraId="5F99090A" w14:textId="3124857D" w:rsidR="00704407" w:rsidRPr="00700241" w:rsidRDefault="00704407" w:rsidP="00704407">
      <w:pPr>
        <w:numPr>
          <w:ilvl w:val="0"/>
          <w:numId w:val="24"/>
        </w:numPr>
        <w:rPr>
          <w:bCs/>
          <w:lang w:val="en-US"/>
        </w:rPr>
      </w:pPr>
      <w:r w:rsidRPr="00700241">
        <w:rPr>
          <w:bCs/>
          <w:lang w:val="en-US"/>
        </w:rPr>
        <w:t xml:space="preserve">Number of </w:t>
      </w:r>
      <w:r w:rsidR="003F4506">
        <w:rPr>
          <w:bCs/>
          <w:lang w:val="en-US"/>
        </w:rPr>
        <w:t xml:space="preserve">people benefiting from </w:t>
      </w:r>
      <w:r w:rsidR="009A2B4C">
        <w:rPr>
          <w:bCs/>
          <w:lang w:val="en-US"/>
        </w:rPr>
        <w:t xml:space="preserve">signed </w:t>
      </w:r>
      <w:r w:rsidRPr="00700241">
        <w:rPr>
          <w:bCs/>
          <w:lang w:val="en-US"/>
        </w:rPr>
        <w:t xml:space="preserve">land tenure agreements between the </w:t>
      </w:r>
      <w:r w:rsidR="006D1967" w:rsidRPr="00700241">
        <w:rPr>
          <w:bCs/>
          <w:lang w:val="en-US"/>
        </w:rPr>
        <w:t>Client</w:t>
      </w:r>
      <w:r w:rsidRPr="00700241">
        <w:rPr>
          <w:bCs/>
          <w:lang w:val="en-US"/>
        </w:rPr>
        <w:t xml:space="preserve"> and a land </w:t>
      </w:r>
      <w:proofErr w:type="gramStart"/>
      <w:r w:rsidRPr="00700241">
        <w:rPr>
          <w:bCs/>
          <w:lang w:val="en-US"/>
        </w:rPr>
        <w:t>claimant</w:t>
      </w:r>
      <w:r w:rsidR="00CD5C93" w:rsidRPr="00700241">
        <w:rPr>
          <w:bCs/>
          <w:lang w:val="en-US"/>
        </w:rPr>
        <w:t>;</w:t>
      </w:r>
      <w:proofErr w:type="gramEnd"/>
    </w:p>
    <w:p w14:paraId="0CFCB301" w14:textId="79615891" w:rsidR="00704407" w:rsidRPr="00700241" w:rsidRDefault="00704407" w:rsidP="00704407">
      <w:pPr>
        <w:numPr>
          <w:ilvl w:val="0"/>
          <w:numId w:val="24"/>
        </w:numPr>
        <w:rPr>
          <w:bCs/>
          <w:lang w:val="en-US"/>
        </w:rPr>
      </w:pPr>
      <w:r w:rsidRPr="00700241">
        <w:rPr>
          <w:bCs/>
          <w:lang w:val="en-US"/>
        </w:rPr>
        <w:t>Number of</w:t>
      </w:r>
      <w:r w:rsidR="009A2B4C">
        <w:rPr>
          <w:bCs/>
          <w:lang w:val="en-US"/>
        </w:rPr>
        <w:t xml:space="preserve"> people benefiting from signed</w:t>
      </w:r>
      <w:r w:rsidRPr="00700241">
        <w:rPr>
          <w:bCs/>
          <w:lang w:val="en-US"/>
        </w:rPr>
        <w:t xml:space="preserve"> land tenure agreements between a land claimant on or directly linked to the </w:t>
      </w:r>
      <w:r w:rsidR="006D1967" w:rsidRPr="00700241">
        <w:rPr>
          <w:bCs/>
          <w:lang w:val="en-US"/>
        </w:rPr>
        <w:t>Client</w:t>
      </w:r>
      <w:r w:rsidRPr="00700241">
        <w:rPr>
          <w:bCs/>
          <w:lang w:val="en-US"/>
        </w:rPr>
        <w:t xml:space="preserve">’s operations, and the relevant government department, supported by the </w:t>
      </w:r>
      <w:proofErr w:type="gramStart"/>
      <w:r w:rsidR="00CD5C93" w:rsidRPr="00700241">
        <w:rPr>
          <w:bCs/>
          <w:lang w:val="en-US"/>
        </w:rPr>
        <w:t>Client;</w:t>
      </w:r>
      <w:proofErr w:type="gramEnd"/>
    </w:p>
    <w:p w14:paraId="556BF631" w14:textId="4DBA9864" w:rsidR="00704407" w:rsidRPr="00700241" w:rsidRDefault="00704407" w:rsidP="00704407">
      <w:pPr>
        <w:numPr>
          <w:ilvl w:val="0"/>
          <w:numId w:val="24"/>
        </w:numPr>
        <w:rPr>
          <w:bCs/>
          <w:lang w:val="en-US"/>
        </w:rPr>
      </w:pPr>
      <w:r w:rsidRPr="00700241">
        <w:rPr>
          <w:bCs/>
          <w:lang w:val="en-US"/>
        </w:rPr>
        <w:t xml:space="preserve">Number of </w:t>
      </w:r>
      <w:r w:rsidR="00E8587A">
        <w:rPr>
          <w:bCs/>
          <w:lang w:val="en-US"/>
        </w:rPr>
        <w:t xml:space="preserve">people benefitting from signed </w:t>
      </w:r>
      <w:r w:rsidRPr="00700241">
        <w:rPr>
          <w:bCs/>
          <w:lang w:val="en-US"/>
        </w:rPr>
        <w:t xml:space="preserve">community land governance agreements, supported by the </w:t>
      </w:r>
      <w:r w:rsidR="00CD5C93" w:rsidRPr="00700241">
        <w:rPr>
          <w:bCs/>
          <w:lang w:val="en-US"/>
        </w:rPr>
        <w:t>Client.</w:t>
      </w:r>
    </w:p>
    <w:p w14:paraId="111F7B21" w14:textId="7DFD6537" w:rsidR="00704407" w:rsidRPr="005C1300" w:rsidRDefault="00E8587A" w:rsidP="00704407">
      <w:r w:rsidRPr="005C1300">
        <w:t xml:space="preserve">Number of people benefiting </w:t>
      </w:r>
      <w:r w:rsidRPr="00B63F29">
        <w:t xml:space="preserve">from </w:t>
      </w:r>
      <w:r w:rsidR="00D376E1" w:rsidRPr="00B63F29">
        <w:t>‘</w:t>
      </w:r>
      <w:r w:rsidR="00ED5793" w:rsidRPr="00B63F29">
        <w:t>Agreements signed</w:t>
      </w:r>
      <w:r w:rsidR="00D376E1" w:rsidRPr="00B63F29">
        <w:t>’</w:t>
      </w:r>
      <w:r w:rsidR="00ED5793" w:rsidRPr="00B63F29">
        <w:t xml:space="preserve"> </w:t>
      </w:r>
      <w:proofErr w:type="gramStart"/>
      <w:r w:rsidR="002B5DB1" w:rsidRPr="00B63F29">
        <w:t>is</w:t>
      </w:r>
      <w:r w:rsidR="00ED5793" w:rsidRPr="00B63F29">
        <w:t xml:space="preserve"> </w:t>
      </w:r>
      <w:r w:rsidRPr="00B63F29">
        <w:t xml:space="preserve"> calculated</w:t>
      </w:r>
      <w:proofErr w:type="gramEnd"/>
      <w:r w:rsidR="00384EED" w:rsidRPr="005C1300">
        <w:t xml:space="preserve"> through reasonable (and justified) </w:t>
      </w:r>
      <w:r w:rsidR="00D376E1" w:rsidRPr="005C1300">
        <w:t xml:space="preserve">assumptions </w:t>
      </w:r>
      <w:r w:rsidR="000E3D52" w:rsidRPr="005C1300">
        <w:t xml:space="preserve">relating to the signatories. For example, </w:t>
      </w:r>
      <w:r w:rsidR="002F39D7" w:rsidRPr="005C1300">
        <w:t xml:space="preserve">the number of people benefiting from a </w:t>
      </w:r>
      <w:r w:rsidR="002B5DB1" w:rsidRPr="005C1300">
        <w:t xml:space="preserve">signed </w:t>
      </w:r>
      <w:r w:rsidR="00D11833" w:rsidRPr="005C1300">
        <w:t xml:space="preserve">agreement </w:t>
      </w:r>
      <w:r w:rsidR="002F39D7" w:rsidRPr="005C1300">
        <w:t xml:space="preserve">by a smallholder family farm </w:t>
      </w:r>
      <w:r w:rsidR="00F22188" w:rsidRPr="005C1300">
        <w:t xml:space="preserve">can </w:t>
      </w:r>
      <w:r w:rsidR="002F39D7" w:rsidRPr="005C1300">
        <w:t xml:space="preserve">be calculated </w:t>
      </w:r>
      <w:r w:rsidR="00E54B87" w:rsidRPr="005C1300">
        <w:t xml:space="preserve">based on </w:t>
      </w:r>
      <w:r w:rsidR="00F22188" w:rsidRPr="005C1300">
        <w:t xml:space="preserve">the regionally specific census average number of household occupants. </w:t>
      </w:r>
    </w:p>
    <w:p w14:paraId="148ACECE" w14:textId="442ED2C6" w:rsidR="00704407" w:rsidRPr="00AE666E" w:rsidRDefault="00874632" w:rsidP="00704407">
      <w:r>
        <w:t>OPI 6.</w:t>
      </w:r>
      <w:r w:rsidR="00B63F29">
        <w:t>5</w:t>
      </w:r>
      <w:r>
        <w:t xml:space="preserve"> is disaggregated by gender, collecting data on m</w:t>
      </w:r>
      <w:r w:rsidR="00915C31">
        <w:t>en</w:t>
      </w:r>
      <w:r>
        <w:t xml:space="preserve"> and </w:t>
      </w:r>
      <w:r w:rsidR="00915C31">
        <w:t>women benefiting</w:t>
      </w:r>
      <w:r w:rsidR="00A229BC">
        <w:t xml:space="preserve"> where possible</w:t>
      </w:r>
      <w:r>
        <w:t>.</w:t>
      </w:r>
    </w:p>
    <w:p w14:paraId="4608D378" w14:textId="77777777" w:rsidR="001852A9" w:rsidRPr="00700241" w:rsidRDefault="001852A9">
      <w:pPr>
        <w:spacing w:after="100"/>
        <w:rPr>
          <w:rFonts w:eastAsiaTheme="minorEastAsia"/>
          <w:b/>
          <w:bCs/>
          <w:color w:val="034427"/>
          <w:spacing w:val="15"/>
          <w:sz w:val="24"/>
          <w:szCs w:val="28"/>
          <w:lang w:val="en-IE"/>
        </w:rPr>
      </w:pPr>
      <w:r w:rsidRPr="00700241">
        <w:br w:type="page"/>
      </w:r>
    </w:p>
    <w:p w14:paraId="2C2C6817" w14:textId="395BDE49" w:rsidR="00704407" w:rsidRPr="00700241" w:rsidRDefault="00577581" w:rsidP="000A0F4A">
      <w:pPr>
        <w:pStyle w:val="GreenHeading1"/>
      </w:pPr>
      <w:bookmarkStart w:id="38" w:name="_Toc103271307"/>
      <w:r w:rsidRPr="00700241">
        <w:t xml:space="preserve">FINANCIAL - </w:t>
      </w:r>
      <w:r w:rsidR="008B1BB5" w:rsidRPr="00700241">
        <w:t>KPI 7</w:t>
      </w:r>
      <w:r w:rsidR="003C6D90" w:rsidRPr="00700241">
        <w:t xml:space="preserve"> -</w:t>
      </w:r>
      <w:r w:rsidR="008B1BB5" w:rsidRPr="00700241">
        <w:t xml:space="preserve"> CAPITAL MOBILISED</w:t>
      </w:r>
      <w:bookmarkEnd w:id="38"/>
    </w:p>
    <w:p w14:paraId="51628E20" w14:textId="712A0FE9" w:rsidR="00C429ED" w:rsidRPr="00700241" w:rsidRDefault="00C429ED" w:rsidP="008B1BB5">
      <w:pPr>
        <w:rPr>
          <w:bCs/>
          <w:lang w:val="en-IE"/>
        </w:rPr>
      </w:pPr>
      <w:r w:rsidRPr="00BE008F">
        <w:rPr>
          <w:b/>
          <w:lang w:val="en-IE"/>
        </w:rPr>
        <w:t>KPI</w:t>
      </w:r>
      <w:r w:rsidR="00981125" w:rsidRPr="00BE008F">
        <w:rPr>
          <w:b/>
          <w:lang w:val="en-IE"/>
        </w:rPr>
        <w:t>7</w:t>
      </w:r>
      <w:r w:rsidR="008852ED" w:rsidRPr="00BE008F">
        <w:rPr>
          <w:b/>
          <w:lang w:val="en-IE"/>
        </w:rPr>
        <w:t>: USD of capital mobilised</w:t>
      </w:r>
      <w:r w:rsidR="008852ED" w:rsidRPr="00700241">
        <w:rPr>
          <w:bCs/>
          <w:lang w:val="en-IE"/>
        </w:rPr>
        <w:t xml:space="preserve"> </w:t>
      </w:r>
      <w:r w:rsidRPr="00700241">
        <w:rPr>
          <w:bCs/>
          <w:lang w:val="en-IE"/>
        </w:rPr>
        <w:t>monitors the ability to attract and direct capital towards supporting and implementing &amp;Green’s investment principles.</w:t>
      </w:r>
      <w:r w:rsidR="002A0D7C" w:rsidRPr="00700241">
        <w:rPr>
          <w:bCs/>
          <w:lang w:val="en-IE"/>
        </w:rPr>
        <w:t xml:space="preserve"> </w:t>
      </w:r>
    </w:p>
    <w:p w14:paraId="696AFABB" w14:textId="44E4F24F" w:rsidR="008B1BB5" w:rsidRPr="00700241" w:rsidRDefault="008B1BB5" w:rsidP="008B1BB5">
      <w:pPr>
        <w:rPr>
          <w:bCs/>
          <w:lang w:val="en-IE"/>
        </w:rPr>
      </w:pPr>
      <w:r w:rsidRPr="00700241">
        <w:rPr>
          <w:bCs/>
          <w:lang w:val="en-IE"/>
        </w:rPr>
        <w:t xml:space="preserve">The </w:t>
      </w:r>
      <w:r w:rsidRPr="00700241">
        <w:rPr>
          <w:rStyle w:val="Wordboldgreen"/>
          <w:b w:val="0"/>
          <w:bCs/>
          <w:color w:val="auto"/>
          <w:lang w:val="en-IE"/>
        </w:rPr>
        <w:t>Capital Mobilised</w:t>
      </w:r>
      <w:r w:rsidRPr="00700241">
        <w:rPr>
          <w:bCs/>
          <w:lang w:val="en-IE"/>
        </w:rPr>
        <w:t xml:space="preserve"> through the operations of &amp;Green is a financial KPI of the Fund that measures the aggregate of the capital committed to &amp;Green </w:t>
      </w:r>
      <w:r w:rsidR="00BB5EF0" w:rsidRPr="00700241">
        <w:rPr>
          <w:bCs/>
          <w:lang w:val="en-IE"/>
        </w:rPr>
        <w:t>transaction</w:t>
      </w:r>
      <w:r w:rsidR="001834D3" w:rsidRPr="00700241">
        <w:rPr>
          <w:bCs/>
          <w:lang w:val="en-IE"/>
        </w:rPr>
        <w:t xml:space="preserve">s: </w:t>
      </w:r>
      <w:r w:rsidRPr="00700241">
        <w:rPr>
          <w:bCs/>
          <w:lang w:val="en-IE"/>
        </w:rPr>
        <w:t>the capital mobilised for investment in, and technical assistance (TA) for</w:t>
      </w:r>
      <w:r w:rsidR="0073717E" w:rsidRPr="00700241">
        <w:rPr>
          <w:bCs/>
          <w:lang w:val="en-IE"/>
        </w:rPr>
        <w:t>,</w:t>
      </w:r>
      <w:r w:rsidRPr="00700241">
        <w:rPr>
          <w:bCs/>
          <w:lang w:val="en-IE"/>
        </w:rPr>
        <w:t xml:space="preserve"> its </w:t>
      </w:r>
      <w:proofErr w:type="gramStart"/>
      <w:r w:rsidR="008367AC" w:rsidRPr="00700241">
        <w:rPr>
          <w:bCs/>
          <w:lang w:val="en-IE"/>
        </w:rPr>
        <w:t>Clients</w:t>
      </w:r>
      <w:proofErr w:type="gramEnd"/>
      <w:r w:rsidRPr="00700241">
        <w:rPr>
          <w:bCs/>
          <w:lang w:val="en-IE"/>
        </w:rPr>
        <w:t>.</w:t>
      </w:r>
    </w:p>
    <w:p w14:paraId="4821CFAB" w14:textId="3F136539" w:rsidR="008B1BB5" w:rsidRPr="00700241" w:rsidRDefault="008B1BB5" w:rsidP="008B1BB5">
      <w:pPr>
        <w:rPr>
          <w:bCs/>
          <w:lang w:val="en-IE"/>
        </w:rPr>
      </w:pPr>
      <w:r w:rsidRPr="00700241">
        <w:rPr>
          <w:bCs/>
          <w:lang w:val="en-IE"/>
        </w:rPr>
        <w:t>Th</w:t>
      </w:r>
      <w:r w:rsidR="0068049D" w:rsidRPr="00700241">
        <w:rPr>
          <w:bCs/>
          <w:lang w:val="en-IE"/>
        </w:rPr>
        <w:t xml:space="preserve">e financial </w:t>
      </w:r>
      <w:r w:rsidRPr="00700241">
        <w:rPr>
          <w:bCs/>
          <w:lang w:val="en-IE"/>
        </w:rPr>
        <w:t>OPIs provide context to KPI</w:t>
      </w:r>
      <w:r w:rsidR="00F841B7" w:rsidRPr="00700241">
        <w:rPr>
          <w:bCs/>
          <w:lang w:val="en-IE"/>
        </w:rPr>
        <w:t>7</w:t>
      </w:r>
      <w:r w:rsidRPr="00700241">
        <w:rPr>
          <w:bCs/>
          <w:lang w:val="en-IE"/>
        </w:rPr>
        <w:t xml:space="preserve"> and include capital disbursed by &amp;Green, aggregate </w:t>
      </w:r>
      <w:r w:rsidR="00BB5EF0" w:rsidRPr="00700241">
        <w:rPr>
          <w:bCs/>
          <w:lang w:val="en-IE"/>
        </w:rPr>
        <w:t>Client</w:t>
      </w:r>
      <w:r w:rsidRPr="00700241">
        <w:rPr>
          <w:bCs/>
          <w:lang w:val="en-IE"/>
        </w:rPr>
        <w:t xml:space="preserve"> revenues, taxes paid and equity value and investors.</w:t>
      </w:r>
    </w:p>
    <w:p w14:paraId="40FE60F7" w14:textId="0A71FE23" w:rsidR="008B1BB5" w:rsidRPr="00700241" w:rsidRDefault="008B1BB5" w:rsidP="008B1BB5">
      <w:pPr>
        <w:rPr>
          <w:lang w:val="en-AU"/>
        </w:rPr>
      </w:pPr>
      <w:r w:rsidRPr="00700241">
        <w:rPr>
          <w:lang w:val="en-AU"/>
        </w:rPr>
        <w:t xml:space="preserve">KPI 7 is </w:t>
      </w:r>
      <w:r w:rsidR="00CB139D" w:rsidRPr="00700241">
        <w:rPr>
          <w:lang w:val="en-AU"/>
        </w:rPr>
        <w:t xml:space="preserve">a </w:t>
      </w:r>
      <w:r w:rsidRPr="00700241">
        <w:rPr>
          <w:lang w:val="en-AU"/>
        </w:rPr>
        <w:t xml:space="preserve">direct </w:t>
      </w:r>
      <w:r w:rsidR="00CB139D" w:rsidRPr="00700241">
        <w:rPr>
          <w:lang w:val="en-AU"/>
        </w:rPr>
        <w:t xml:space="preserve">sum of two </w:t>
      </w:r>
      <w:r w:rsidRPr="00700241">
        <w:rPr>
          <w:lang w:val="en-AU"/>
        </w:rPr>
        <w:t>OPIs:</w:t>
      </w:r>
    </w:p>
    <w:p w14:paraId="79DACB47" w14:textId="600C4C95" w:rsidR="008B1BB5" w:rsidRPr="00700241" w:rsidRDefault="008B1BB5" w:rsidP="008B1BB5">
      <w:pPr>
        <w:numPr>
          <w:ilvl w:val="0"/>
          <w:numId w:val="20"/>
        </w:numPr>
        <w:rPr>
          <w:lang w:val="en-AU"/>
        </w:rPr>
      </w:pPr>
      <w:r w:rsidRPr="00700241">
        <w:rPr>
          <w:lang w:val="en-AU"/>
        </w:rPr>
        <w:t>7.4a Fund capital committed</w:t>
      </w:r>
      <w:r w:rsidR="00CB139D" w:rsidRPr="00700241">
        <w:rPr>
          <w:lang w:val="en-AU"/>
        </w:rPr>
        <w:t>; and</w:t>
      </w:r>
    </w:p>
    <w:p w14:paraId="59B5640B" w14:textId="2C794766" w:rsidR="008B1BB5" w:rsidRPr="00700241" w:rsidRDefault="008B1BB5" w:rsidP="008B1BB5">
      <w:pPr>
        <w:numPr>
          <w:ilvl w:val="0"/>
          <w:numId w:val="20"/>
        </w:numPr>
        <w:rPr>
          <w:lang w:val="en-AU"/>
        </w:rPr>
      </w:pPr>
      <w:r w:rsidRPr="00700241">
        <w:rPr>
          <w:lang w:val="en-AU"/>
        </w:rPr>
        <w:t>8.2c T</w:t>
      </w:r>
      <w:r w:rsidR="00FA215F" w:rsidRPr="00700241">
        <w:rPr>
          <w:lang w:val="en-AU"/>
        </w:rPr>
        <w:t>echnical Assistance budget</w:t>
      </w:r>
      <w:r w:rsidRPr="00700241">
        <w:rPr>
          <w:lang w:val="en-AU"/>
        </w:rPr>
        <w:t xml:space="preserve"> </w:t>
      </w:r>
      <w:r w:rsidR="004E2223" w:rsidRPr="00700241">
        <w:rPr>
          <w:lang w:val="en-AU"/>
        </w:rPr>
        <w:t>mobilized</w:t>
      </w:r>
      <w:r w:rsidR="00CB139D" w:rsidRPr="00700241">
        <w:rPr>
          <w:lang w:val="en-AU"/>
        </w:rPr>
        <w:t>.</w:t>
      </w:r>
    </w:p>
    <w:p w14:paraId="1ECBE093" w14:textId="2AC57C88" w:rsidR="008B1BB5" w:rsidRPr="00700241" w:rsidRDefault="00B562A4" w:rsidP="008B1BB5">
      <w:pPr>
        <w:rPr>
          <w:lang w:val="en-AU"/>
        </w:rPr>
      </w:pPr>
      <w:r w:rsidRPr="00700241">
        <w:rPr>
          <w:lang w:val="en-AU"/>
        </w:rPr>
        <w:t>T</w:t>
      </w:r>
      <w:r w:rsidR="008B1BB5" w:rsidRPr="00700241">
        <w:rPr>
          <w:lang w:val="en-AU"/>
        </w:rPr>
        <w:t xml:space="preserve">he following OPIs </w:t>
      </w:r>
      <w:r w:rsidR="000A2013" w:rsidRPr="00700241">
        <w:rPr>
          <w:lang w:val="en-AU"/>
        </w:rPr>
        <w:t>provide</w:t>
      </w:r>
      <w:r w:rsidR="008B1BB5" w:rsidRPr="00700241">
        <w:rPr>
          <w:lang w:val="en-AU"/>
        </w:rPr>
        <w:t xml:space="preserve"> more detailed context:</w:t>
      </w:r>
    </w:p>
    <w:p w14:paraId="0E73346F" w14:textId="68544D5D" w:rsidR="008B1BB5" w:rsidRPr="00700241" w:rsidRDefault="008B1BB5" w:rsidP="008B1BB5">
      <w:pPr>
        <w:numPr>
          <w:ilvl w:val="0"/>
          <w:numId w:val="20"/>
        </w:numPr>
        <w:rPr>
          <w:lang w:val="en-AU"/>
        </w:rPr>
      </w:pPr>
      <w:r w:rsidRPr="00700241">
        <w:rPr>
          <w:lang w:val="en-AU"/>
        </w:rPr>
        <w:t xml:space="preserve">7.1 Taxes paid by </w:t>
      </w:r>
      <w:r w:rsidR="00BB5EF0" w:rsidRPr="00700241">
        <w:rPr>
          <w:lang w:val="en-AU"/>
        </w:rPr>
        <w:t>Client</w:t>
      </w:r>
      <w:r w:rsidRPr="00700241">
        <w:rPr>
          <w:lang w:val="en-AU"/>
        </w:rPr>
        <w:t>s</w:t>
      </w:r>
    </w:p>
    <w:p w14:paraId="74AF2F4F" w14:textId="07BB5AF2" w:rsidR="008B1BB5" w:rsidRPr="00700241" w:rsidRDefault="008B1BB5" w:rsidP="008B1BB5">
      <w:pPr>
        <w:numPr>
          <w:ilvl w:val="0"/>
          <w:numId w:val="20"/>
        </w:numPr>
        <w:rPr>
          <w:lang w:val="en-AU"/>
        </w:rPr>
      </w:pPr>
      <w:r w:rsidRPr="00700241">
        <w:rPr>
          <w:lang w:val="en-AU"/>
        </w:rPr>
        <w:t xml:space="preserve">7.2 Revenue of </w:t>
      </w:r>
      <w:r w:rsidR="008E1178" w:rsidRPr="00700241">
        <w:rPr>
          <w:lang w:val="en-AU"/>
        </w:rPr>
        <w:t>Clients</w:t>
      </w:r>
    </w:p>
    <w:p w14:paraId="7FB6D13F" w14:textId="77777777" w:rsidR="008B1BB5" w:rsidRPr="00700241" w:rsidRDefault="008B1BB5" w:rsidP="008B1BB5">
      <w:pPr>
        <w:numPr>
          <w:ilvl w:val="0"/>
          <w:numId w:val="20"/>
        </w:numPr>
        <w:rPr>
          <w:lang w:val="en-AU"/>
        </w:rPr>
      </w:pPr>
      <w:r w:rsidRPr="00700241">
        <w:rPr>
          <w:lang w:val="en-AU"/>
        </w:rPr>
        <w:t>7.3 Fund Net Asset Value (NAV)</w:t>
      </w:r>
    </w:p>
    <w:p w14:paraId="23865F4A" w14:textId="77777777" w:rsidR="008B1BB5" w:rsidRPr="00700241" w:rsidRDefault="008B1BB5" w:rsidP="008B1BB5">
      <w:pPr>
        <w:numPr>
          <w:ilvl w:val="0"/>
          <w:numId w:val="20"/>
        </w:numPr>
        <w:rPr>
          <w:lang w:val="en-AU"/>
        </w:rPr>
      </w:pPr>
      <w:r w:rsidRPr="00700241">
        <w:rPr>
          <w:lang w:val="en-AU"/>
        </w:rPr>
        <w:t>7.4b Fund capital disbursed</w:t>
      </w:r>
    </w:p>
    <w:p w14:paraId="75026808" w14:textId="7D46DE7B" w:rsidR="008B1BB5" w:rsidRPr="00700241" w:rsidRDefault="008B1BB5" w:rsidP="008B1BB5">
      <w:pPr>
        <w:numPr>
          <w:ilvl w:val="0"/>
          <w:numId w:val="20"/>
        </w:numPr>
        <w:rPr>
          <w:lang w:val="en-AU"/>
        </w:rPr>
      </w:pPr>
      <w:r w:rsidRPr="00700241">
        <w:rPr>
          <w:lang w:val="en-AU"/>
        </w:rPr>
        <w:t xml:space="preserve">7.5 </w:t>
      </w:r>
      <w:proofErr w:type="gramStart"/>
      <w:r w:rsidRPr="00700241">
        <w:rPr>
          <w:lang w:val="en-AU"/>
        </w:rPr>
        <w:t>Non-Performing</w:t>
      </w:r>
      <w:proofErr w:type="gramEnd"/>
      <w:r w:rsidRPr="00700241">
        <w:rPr>
          <w:lang w:val="en-AU"/>
        </w:rPr>
        <w:t xml:space="preserve"> loans</w:t>
      </w:r>
      <w:r w:rsidR="00453468" w:rsidRPr="00700241">
        <w:rPr>
          <w:lang w:val="en-AU"/>
        </w:rPr>
        <w:t xml:space="preserve"> (NPLs)</w:t>
      </w:r>
    </w:p>
    <w:p w14:paraId="785DE60D" w14:textId="0EE3AAF7" w:rsidR="008B1BB5" w:rsidRPr="00700241" w:rsidRDefault="008B1BB5" w:rsidP="008B1BB5">
      <w:pPr>
        <w:numPr>
          <w:ilvl w:val="0"/>
          <w:numId w:val="20"/>
        </w:numPr>
        <w:rPr>
          <w:lang w:val="en-AU"/>
        </w:rPr>
      </w:pPr>
      <w:r w:rsidRPr="00700241">
        <w:rPr>
          <w:lang w:val="en-AU"/>
        </w:rPr>
        <w:t xml:space="preserve">7.6a </w:t>
      </w:r>
      <w:proofErr w:type="gramStart"/>
      <w:r w:rsidRPr="00700241">
        <w:rPr>
          <w:lang w:val="en-AU"/>
        </w:rPr>
        <w:t>Non-Fund</w:t>
      </w:r>
      <w:proofErr w:type="gramEnd"/>
      <w:r w:rsidRPr="00700241">
        <w:rPr>
          <w:lang w:val="en-AU"/>
        </w:rPr>
        <w:t xml:space="preserve"> capital catalysed for </w:t>
      </w:r>
      <w:r w:rsidR="00C62493">
        <w:rPr>
          <w:lang w:val="en-AU"/>
        </w:rPr>
        <w:t>Clients</w:t>
      </w:r>
    </w:p>
    <w:p w14:paraId="454F7756" w14:textId="77777777" w:rsidR="008B1BB5" w:rsidRPr="00700241" w:rsidRDefault="008B1BB5" w:rsidP="008B1BB5">
      <w:pPr>
        <w:numPr>
          <w:ilvl w:val="0"/>
          <w:numId w:val="20"/>
        </w:numPr>
        <w:rPr>
          <w:lang w:val="en-AU"/>
        </w:rPr>
      </w:pPr>
      <w:r w:rsidRPr="00700241">
        <w:rPr>
          <w:lang w:val="en-AU"/>
        </w:rPr>
        <w:t>7.6b Syndication partners mobilized (#Co-investors)</w:t>
      </w:r>
    </w:p>
    <w:p w14:paraId="14A1E667" w14:textId="77777777" w:rsidR="008B1BB5" w:rsidRPr="00700241" w:rsidRDefault="008B1BB5" w:rsidP="008B1BB5">
      <w:pPr>
        <w:numPr>
          <w:ilvl w:val="0"/>
          <w:numId w:val="20"/>
        </w:numPr>
        <w:rPr>
          <w:lang w:val="en-AU"/>
        </w:rPr>
      </w:pPr>
      <w:r w:rsidRPr="00700241">
        <w:rPr>
          <w:lang w:val="en-AU"/>
        </w:rPr>
        <w:t>7.7 Leverage ratio</w:t>
      </w:r>
    </w:p>
    <w:p w14:paraId="288C6462" w14:textId="14354A17" w:rsidR="001852A9" w:rsidRPr="00700241" w:rsidRDefault="001852A9">
      <w:pPr>
        <w:spacing w:after="100"/>
        <w:rPr>
          <w:rFonts w:eastAsiaTheme="minorEastAsia"/>
          <w:b/>
          <w:bCs/>
          <w:color w:val="808080"/>
          <w:spacing w:val="15"/>
          <w:lang w:val="en-IE"/>
        </w:rPr>
      </w:pPr>
    </w:p>
    <w:p w14:paraId="74E9382A" w14:textId="0C319296" w:rsidR="008B1BB5" w:rsidRPr="00700241" w:rsidRDefault="008B1BB5" w:rsidP="001852A9">
      <w:pPr>
        <w:pStyle w:val="Heading2simple"/>
      </w:pPr>
      <w:bookmarkStart w:id="39" w:name="_Toc103271308"/>
      <w:r w:rsidRPr="00700241">
        <w:t xml:space="preserve">OPI 7.1 Taxes paid by </w:t>
      </w:r>
      <w:r w:rsidR="00BB5EF0" w:rsidRPr="00700241">
        <w:t>Client</w:t>
      </w:r>
      <w:r w:rsidRPr="00700241">
        <w:t>s</w:t>
      </w:r>
      <w:bookmarkEnd w:id="39"/>
    </w:p>
    <w:p w14:paraId="0D95328D" w14:textId="0D2F3D4A" w:rsidR="0043715C" w:rsidRPr="00700241" w:rsidRDefault="00925D6F" w:rsidP="0043715C">
      <w:pPr>
        <w:rPr>
          <w:bCs/>
        </w:rPr>
      </w:pPr>
      <w:r w:rsidRPr="00700241">
        <w:rPr>
          <w:bCs/>
        </w:rPr>
        <w:t>USD of taxes paid</w:t>
      </w:r>
      <w:r w:rsidR="0043715C" w:rsidRPr="00700241">
        <w:rPr>
          <w:bCs/>
        </w:rPr>
        <w:t>.</w:t>
      </w:r>
    </w:p>
    <w:p w14:paraId="0C39BFC3" w14:textId="482FC29E" w:rsidR="008B1BB5" w:rsidRPr="00700241" w:rsidRDefault="00CF7B11" w:rsidP="008B1BB5">
      <w:pPr>
        <w:rPr>
          <w:lang w:val="en-IE"/>
        </w:rPr>
      </w:pPr>
      <w:r w:rsidRPr="00700241">
        <w:rPr>
          <w:lang w:val="en-IE"/>
        </w:rPr>
        <w:t xml:space="preserve">This OPI provides insight into </w:t>
      </w:r>
      <w:r w:rsidR="00067B68" w:rsidRPr="00700241">
        <w:rPr>
          <w:lang w:val="en-IE"/>
        </w:rPr>
        <w:t xml:space="preserve">contributions to public finance by the Clients </w:t>
      </w:r>
      <w:r w:rsidR="00CD3F32" w:rsidRPr="00700241">
        <w:rPr>
          <w:lang w:val="en-IE"/>
        </w:rPr>
        <w:t xml:space="preserve">of </w:t>
      </w:r>
      <w:r w:rsidR="00067B68" w:rsidRPr="00700241">
        <w:rPr>
          <w:lang w:val="en-IE"/>
        </w:rPr>
        <w:t xml:space="preserve">&amp;Green </w:t>
      </w:r>
      <w:r w:rsidR="00BB5EF0" w:rsidRPr="00700241">
        <w:rPr>
          <w:lang w:val="en-IE"/>
        </w:rPr>
        <w:t>transaction</w:t>
      </w:r>
      <w:r w:rsidR="00CD3F32" w:rsidRPr="00700241">
        <w:rPr>
          <w:lang w:val="en-IE"/>
        </w:rPr>
        <w:t xml:space="preserve">s. </w:t>
      </w:r>
      <w:r w:rsidR="008B1BB5" w:rsidRPr="00700241">
        <w:rPr>
          <w:lang w:val="en-IE"/>
        </w:rPr>
        <w:t xml:space="preserve">Aggregate of all </w:t>
      </w:r>
      <w:r w:rsidR="00BB5EF0" w:rsidRPr="00700241">
        <w:rPr>
          <w:lang w:val="en-IE"/>
        </w:rPr>
        <w:t>Client</w:t>
      </w:r>
      <w:r w:rsidR="008B1BB5" w:rsidRPr="00700241">
        <w:rPr>
          <w:lang w:val="en-IE"/>
        </w:rPr>
        <w:t xml:space="preserve"> tax paid</w:t>
      </w:r>
      <w:r w:rsidR="00D16CB8" w:rsidRPr="00700241">
        <w:rPr>
          <w:lang w:val="en-IE"/>
        </w:rPr>
        <w:t xml:space="preserve">, ascertained </w:t>
      </w:r>
      <w:r w:rsidR="008B1BB5" w:rsidRPr="00700241">
        <w:rPr>
          <w:lang w:val="en-IE"/>
        </w:rPr>
        <w:t xml:space="preserve">from the audited annual financial statements of </w:t>
      </w:r>
      <w:r w:rsidR="00BB5EF0" w:rsidRPr="00700241">
        <w:rPr>
          <w:lang w:val="en-IE"/>
        </w:rPr>
        <w:t>Client</w:t>
      </w:r>
      <w:r w:rsidR="008B1BB5" w:rsidRPr="00700241">
        <w:rPr>
          <w:lang w:val="en-IE"/>
        </w:rPr>
        <w:t>s.</w:t>
      </w:r>
    </w:p>
    <w:tbl>
      <w:tblPr>
        <w:tblStyle w:val="TableGrid"/>
        <w:tblW w:w="8801" w:type="dxa"/>
        <w:tblLook w:val="04A0" w:firstRow="1" w:lastRow="0" w:firstColumn="1" w:lastColumn="0" w:noHBand="0" w:noVBand="1"/>
      </w:tblPr>
      <w:tblGrid>
        <w:gridCol w:w="2590"/>
        <w:gridCol w:w="1204"/>
        <w:gridCol w:w="3544"/>
        <w:gridCol w:w="1463"/>
      </w:tblGrid>
      <w:tr w:rsidR="008B1BB5" w:rsidRPr="00700241" w14:paraId="43876EBC" w14:textId="77777777" w:rsidTr="00803D72">
        <w:trPr>
          <w:cnfStyle w:val="100000000000" w:firstRow="1" w:lastRow="0" w:firstColumn="0" w:lastColumn="0" w:oddVBand="0" w:evenVBand="0" w:oddHBand="0" w:evenHBand="0" w:firstRowFirstColumn="0" w:firstRowLastColumn="0" w:lastRowFirstColumn="0" w:lastRowLastColumn="0"/>
        </w:trPr>
        <w:tc>
          <w:tcPr>
            <w:tcW w:w="2590" w:type="dxa"/>
          </w:tcPr>
          <w:p w14:paraId="1E7E5E87" w14:textId="77777777" w:rsidR="008B1BB5" w:rsidRPr="00700241" w:rsidRDefault="008B1BB5" w:rsidP="008B1BB5">
            <w:pPr>
              <w:rPr>
                <w:bCs/>
                <w:lang w:val="en-AU"/>
              </w:rPr>
            </w:pPr>
            <w:r w:rsidRPr="00700241">
              <w:rPr>
                <w:bCs/>
                <w:lang w:val="en-AU"/>
              </w:rPr>
              <w:t>Data points</w:t>
            </w:r>
          </w:p>
        </w:tc>
        <w:tc>
          <w:tcPr>
            <w:tcW w:w="1204" w:type="dxa"/>
          </w:tcPr>
          <w:p w14:paraId="70FD2DD8" w14:textId="77777777" w:rsidR="008B1BB5" w:rsidRPr="00700241" w:rsidRDefault="008B1BB5" w:rsidP="008B1BB5">
            <w:pPr>
              <w:rPr>
                <w:bCs/>
                <w:lang w:val="en-AU"/>
              </w:rPr>
            </w:pPr>
            <w:r w:rsidRPr="00700241">
              <w:rPr>
                <w:bCs/>
                <w:lang w:val="en-AU"/>
              </w:rPr>
              <w:t>Metric</w:t>
            </w:r>
          </w:p>
        </w:tc>
        <w:tc>
          <w:tcPr>
            <w:tcW w:w="3544" w:type="dxa"/>
          </w:tcPr>
          <w:p w14:paraId="3BD49847" w14:textId="77777777" w:rsidR="008B1BB5" w:rsidRPr="00700241" w:rsidRDefault="008B1BB5" w:rsidP="008B1BB5">
            <w:pPr>
              <w:rPr>
                <w:bCs/>
                <w:lang w:val="en-AU"/>
              </w:rPr>
            </w:pPr>
            <w:r w:rsidRPr="00700241">
              <w:rPr>
                <w:bCs/>
                <w:lang w:val="en-AU"/>
              </w:rPr>
              <w:t>Data sources</w:t>
            </w:r>
          </w:p>
        </w:tc>
        <w:tc>
          <w:tcPr>
            <w:tcW w:w="1463" w:type="dxa"/>
          </w:tcPr>
          <w:p w14:paraId="65E2A957" w14:textId="77777777" w:rsidR="008B1BB5" w:rsidRPr="00700241" w:rsidRDefault="008B1BB5" w:rsidP="008B1BB5">
            <w:pPr>
              <w:rPr>
                <w:bCs/>
                <w:lang w:val="en-AU"/>
              </w:rPr>
            </w:pPr>
            <w:r w:rsidRPr="00700241">
              <w:rPr>
                <w:bCs/>
                <w:lang w:val="en-AU"/>
              </w:rPr>
              <w:t>Owner</w:t>
            </w:r>
          </w:p>
        </w:tc>
      </w:tr>
      <w:tr w:rsidR="008B1BB5" w:rsidRPr="00700241" w14:paraId="6E694BE2" w14:textId="77777777" w:rsidTr="00803D72">
        <w:tc>
          <w:tcPr>
            <w:tcW w:w="2590" w:type="dxa"/>
          </w:tcPr>
          <w:p w14:paraId="3DAFED00" w14:textId="66970227" w:rsidR="008B1BB5" w:rsidRPr="00700241" w:rsidRDefault="008B1BB5" w:rsidP="008B1BB5">
            <w:pPr>
              <w:rPr>
                <w:lang w:val="en-GB"/>
              </w:rPr>
            </w:pPr>
            <w:r w:rsidRPr="00700241">
              <w:rPr>
                <w:lang w:val="en-GB"/>
              </w:rPr>
              <w:t xml:space="preserve">Income and other taxes paid by each </w:t>
            </w:r>
            <w:r w:rsidR="00BB5EF0" w:rsidRPr="00700241">
              <w:rPr>
                <w:lang w:val="en-GB"/>
              </w:rPr>
              <w:t>Client</w:t>
            </w:r>
          </w:p>
        </w:tc>
        <w:tc>
          <w:tcPr>
            <w:tcW w:w="1204" w:type="dxa"/>
          </w:tcPr>
          <w:p w14:paraId="2123F683" w14:textId="77777777" w:rsidR="008B1BB5" w:rsidRPr="00700241" w:rsidRDefault="008B1BB5" w:rsidP="008B1BB5">
            <w:pPr>
              <w:rPr>
                <w:lang w:val="en-AU"/>
              </w:rPr>
            </w:pPr>
            <w:r w:rsidRPr="00700241">
              <w:rPr>
                <w:lang w:val="en-AU"/>
              </w:rPr>
              <w:t>USD</w:t>
            </w:r>
          </w:p>
        </w:tc>
        <w:tc>
          <w:tcPr>
            <w:tcW w:w="3544" w:type="dxa"/>
          </w:tcPr>
          <w:p w14:paraId="7BB4CD70" w14:textId="41BB12F4" w:rsidR="008B1BB5" w:rsidRPr="00700241" w:rsidRDefault="008B1BB5" w:rsidP="008B1BB5">
            <w:pPr>
              <w:rPr>
                <w:lang w:val="en-AU"/>
              </w:rPr>
            </w:pPr>
            <w:r w:rsidRPr="00700241">
              <w:rPr>
                <w:lang w:val="en-AU"/>
              </w:rPr>
              <w:t xml:space="preserve">Each </w:t>
            </w:r>
            <w:r w:rsidR="00BB5EF0" w:rsidRPr="00700241">
              <w:rPr>
                <w:lang w:val="en-AU"/>
              </w:rPr>
              <w:t>Client</w:t>
            </w:r>
            <w:r w:rsidRPr="00700241">
              <w:rPr>
                <w:lang w:val="en-AU"/>
              </w:rPr>
              <w:t>’s audited annual financial statements</w:t>
            </w:r>
          </w:p>
        </w:tc>
        <w:tc>
          <w:tcPr>
            <w:tcW w:w="1463" w:type="dxa"/>
          </w:tcPr>
          <w:p w14:paraId="623A3753" w14:textId="7944757B" w:rsidR="008B1BB5" w:rsidRPr="00700241" w:rsidRDefault="00BB5EF0" w:rsidP="008B1BB5">
            <w:pPr>
              <w:rPr>
                <w:lang w:val="en-AU"/>
              </w:rPr>
            </w:pPr>
            <w:r w:rsidRPr="00700241">
              <w:rPr>
                <w:lang w:val="en-AU"/>
              </w:rPr>
              <w:t>Client</w:t>
            </w:r>
            <w:r w:rsidR="008B1BB5" w:rsidRPr="00700241">
              <w:rPr>
                <w:lang w:val="en-AU"/>
              </w:rPr>
              <w:t>s</w:t>
            </w:r>
          </w:p>
        </w:tc>
      </w:tr>
    </w:tbl>
    <w:p w14:paraId="58910A0C" w14:textId="77777777" w:rsidR="008B1BB5" w:rsidRPr="00700241" w:rsidRDefault="008B1BB5" w:rsidP="008B1BB5">
      <w:pPr>
        <w:rPr>
          <w:lang w:val="en-IE"/>
        </w:rPr>
      </w:pPr>
    </w:p>
    <w:p w14:paraId="4F3B4C65" w14:textId="29F52153" w:rsidR="008B1BB5" w:rsidRPr="00700241" w:rsidRDefault="008B1BB5" w:rsidP="001852A9">
      <w:pPr>
        <w:pStyle w:val="Heading2simple"/>
      </w:pPr>
      <w:bookmarkStart w:id="40" w:name="_Toc103271309"/>
      <w:r w:rsidRPr="00700241">
        <w:t xml:space="preserve">OPI 7.2 Revenue of </w:t>
      </w:r>
      <w:r w:rsidR="00BB5EF0" w:rsidRPr="00700241">
        <w:t>Client</w:t>
      </w:r>
      <w:r w:rsidRPr="00700241">
        <w:t>s</w:t>
      </w:r>
      <w:bookmarkEnd w:id="40"/>
    </w:p>
    <w:p w14:paraId="6E654724" w14:textId="1F78577F" w:rsidR="009C6AFE" w:rsidRPr="00700241" w:rsidRDefault="009C6AFE" w:rsidP="009C6AFE">
      <w:pPr>
        <w:rPr>
          <w:bCs/>
        </w:rPr>
      </w:pPr>
      <w:r w:rsidRPr="00700241">
        <w:rPr>
          <w:bCs/>
        </w:rPr>
        <w:t xml:space="preserve">USD </w:t>
      </w:r>
      <w:r w:rsidR="00026BCE">
        <w:rPr>
          <w:bCs/>
        </w:rPr>
        <w:t xml:space="preserve">annual net </w:t>
      </w:r>
      <w:r w:rsidRPr="00700241">
        <w:rPr>
          <w:bCs/>
        </w:rPr>
        <w:t xml:space="preserve">revenue of </w:t>
      </w:r>
      <w:r w:rsidR="00BB5EF0" w:rsidRPr="00700241">
        <w:rPr>
          <w:bCs/>
        </w:rPr>
        <w:t>Client</w:t>
      </w:r>
      <w:r w:rsidRPr="00700241">
        <w:rPr>
          <w:bCs/>
        </w:rPr>
        <w:t>s.</w:t>
      </w:r>
    </w:p>
    <w:p w14:paraId="30EE96F5" w14:textId="728E978E" w:rsidR="008B1BB5" w:rsidRPr="00700241" w:rsidRDefault="008B1BB5" w:rsidP="008B1BB5">
      <w:pPr>
        <w:rPr>
          <w:lang w:val="en-IE"/>
        </w:rPr>
      </w:pPr>
      <w:r w:rsidRPr="00700241">
        <w:rPr>
          <w:lang w:val="en-IE"/>
        </w:rPr>
        <w:t xml:space="preserve">Aggregate of all </w:t>
      </w:r>
      <w:r w:rsidR="00BB5EF0" w:rsidRPr="00700241">
        <w:rPr>
          <w:lang w:val="en-IE"/>
        </w:rPr>
        <w:t>Client</w:t>
      </w:r>
      <w:r w:rsidRPr="00700241">
        <w:rPr>
          <w:lang w:val="en-IE"/>
        </w:rPr>
        <w:t xml:space="preserve">’s annual net revenues </w:t>
      </w:r>
      <w:r w:rsidR="00A269A8" w:rsidRPr="00700241">
        <w:rPr>
          <w:lang w:val="en-IE"/>
        </w:rPr>
        <w:t xml:space="preserve">ascertained </w:t>
      </w:r>
      <w:r w:rsidRPr="00700241">
        <w:rPr>
          <w:lang w:val="en-IE"/>
        </w:rPr>
        <w:t xml:space="preserve">from </w:t>
      </w:r>
      <w:r w:rsidR="00194340" w:rsidRPr="00700241">
        <w:rPr>
          <w:lang w:val="en-IE"/>
        </w:rPr>
        <w:t xml:space="preserve">income statements and </w:t>
      </w:r>
      <w:r w:rsidRPr="00700241">
        <w:rPr>
          <w:lang w:val="en-IE"/>
        </w:rPr>
        <w:t xml:space="preserve">audited annual financial statements of </w:t>
      </w:r>
      <w:r w:rsidR="00BB5EF0" w:rsidRPr="00700241">
        <w:rPr>
          <w:lang w:val="en-IE"/>
        </w:rPr>
        <w:t>Client</w:t>
      </w:r>
      <w:r w:rsidRPr="00700241">
        <w:rPr>
          <w:lang w:val="en-IE"/>
        </w:rPr>
        <w:t>s.</w:t>
      </w:r>
    </w:p>
    <w:p w14:paraId="4C220DCB" w14:textId="77777777" w:rsidR="008B1BB5" w:rsidRPr="00700241" w:rsidRDefault="008B1BB5" w:rsidP="008B1BB5">
      <w:pPr>
        <w:rPr>
          <w:lang w:val="en-IE"/>
        </w:rPr>
      </w:pPr>
    </w:p>
    <w:tbl>
      <w:tblPr>
        <w:tblStyle w:val="TableGrid"/>
        <w:tblW w:w="8801" w:type="dxa"/>
        <w:tblLook w:val="04A0" w:firstRow="1" w:lastRow="0" w:firstColumn="1" w:lastColumn="0" w:noHBand="0" w:noVBand="1"/>
      </w:tblPr>
      <w:tblGrid>
        <w:gridCol w:w="2590"/>
        <w:gridCol w:w="1487"/>
        <w:gridCol w:w="3119"/>
        <w:gridCol w:w="1605"/>
      </w:tblGrid>
      <w:tr w:rsidR="008B1BB5" w:rsidRPr="00700241" w14:paraId="5502AA48" w14:textId="77777777" w:rsidTr="00194340">
        <w:trPr>
          <w:cnfStyle w:val="100000000000" w:firstRow="1" w:lastRow="0" w:firstColumn="0" w:lastColumn="0" w:oddVBand="0" w:evenVBand="0" w:oddHBand="0" w:evenHBand="0" w:firstRowFirstColumn="0" w:firstRowLastColumn="0" w:lastRowFirstColumn="0" w:lastRowLastColumn="0"/>
        </w:trPr>
        <w:tc>
          <w:tcPr>
            <w:tcW w:w="2590" w:type="dxa"/>
          </w:tcPr>
          <w:p w14:paraId="517807F3" w14:textId="77777777" w:rsidR="008B1BB5" w:rsidRPr="00700241" w:rsidRDefault="008B1BB5" w:rsidP="008B1BB5">
            <w:pPr>
              <w:rPr>
                <w:bCs/>
                <w:lang w:val="en-AU"/>
              </w:rPr>
            </w:pPr>
            <w:r w:rsidRPr="00700241">
              <w:rPr>
                <w:bCs/>
                <w:lang w:val="en-AU"/>
              </w:rPr>
              <w:t>Data points</w:t>
            </w:r>
          </w:p>
        </w:tc>
        <w:tc>
          <w:tcPr>
            <w:tcW w:w="1487" w:type="dxa"/>
          </w:tcPr>
          <w:p w14:paraId="04D5E201" w14:textId="77777777" w:rsidR="008B1BB5" w:rsidRPr="00700241" w:rsidRDefault="008B1BB5" w:rsidP="008B1BB5">
            <w:pPr>
              <w:rPr>
                <w:bCs/>
                <w:lang w:val="en-AU"/>
              </w:rPr>
            </w:pPr>
            <w:r w:rsidRPr="00700241">
              <w:rPr>
                <w:bCs/>
                <w:lang w:val="en-AU"/>
              </w:rPr>
              <w:t>Metric</w:t>
            </w:r>
          </w:p>
        </w:tc>
        <w:tc>
          <w:tcPr>
            <w:tcW w:w="3119" w:type="dxa"/>
          </w:tcPr>
          <w:p w14:paraId="1C4BE2FC" w14:textId="77777777" w:rsidR="008B1BB5" w:rsidRPr="00700241" w:rsidRDefault="008B1BB5" w:rsidP="008B1BB5">
            <w:pPr>
              <w:rPr>
                <w:bCs/>
                <w:lang w:val="en-AU"/>
              </w:rPr>
            </w:pPr>
            <w:r w:rsidRPr="00700241">
              <w:rPr>
                <w:bCs/>
                <w:lang w:val="en-AU"/>
              </w:rPr>
              <w:t>Data sources</w:t>
            </w:r>
          </w:p>
        </w:tc>
        <w:tc>
          <w:tcPr>
            <w:tcW w:w="1605" w:type="dxa"/>
          </w:tcPr>
          <w:p w14:paraId="264F8DE1" w14:textId="77777777" w:rsidR="008B1BB5" w:rsidRPr="00700241" w:rsidRDefault="008B1BB5" w:rsidP="008B1BB5">
            <w:pPr>
              <w:rPr>
                <w:bCs/>
                <w:lang w:val="en-AU"/>
              </w:rPr>
            </w:pPr>
            <w:r w:rsidRPr="00700241">
              <w:rPr>
                <w:bCs/>
                <w:lang w:val="en-AU"/>
              </w:rPr>
              <w:t>Owner</w:t>
            </w:r>
          </w:p>
        </w:tc>
      </w:tr>
      <w:tr w:rsidR="008B1BB5" w:rsidRPr="00700241" w14:paraId="7E238B57" w14:textId="77777777" w:rsidTr="00194340">
        <w:tc>
          <w:tcPr>
            <w:tcW w:w="2590" w:type="dxa"/>
          </w:tcPr>
          <w:p w14:paraId="624B792D" w14:textId="6A70B58B" w:rsidR="008B1BB5" w:rsidRPr="00700241" w:rsidRDefault="008B1BB5" w:rsidP="008B1BB5">
            <w:pPr>
              <w:rPr>
                <w:lang w:val="en-GB"/>
              </w:rPr>
            </w:pPr>
            <w:r w:rsidRPr="00700241">
              <w:rPr>
                <w:lang w:val="en-GB"/>
              </w:rPr>
              <w:t xml:space="preserve">Revenue received by each </w:t>
            </w:r>
            <w:r w:rsidR="00BB5EF0" w:rsidRPr="00700241">
              <w:rPr>
                <w:lang w:val="en-GB"/>
              </w:rPr>
              <w:t>Client</w:t>
            </w:r>
          </w:p>
        </w:tc>
        <w:tc>
          <w:tcPr>
            <w:tcW w:w="1487" w:type="dxa"/>
          </w:tcPr>
          <w:p w14:paraId="04749835" w14:textId="77777777" w:rsidR="008B1BB5" w:rsidRPr="00700241" w:rsidRDefault="008B1BB5" w:rsidP="008B1BB5">
            <w:pPr>
              <w:rPr>
                <w:lang w:val="en-AU"/>
              </w:rPr>
            </w:pPr>
            <w:r w:rsidRPr="00700241">
              <w:rPr>
                <w:lang w:val="en-AU"/>
              </w:rPr>
              <w:t>USD</w:t>
            </w:r>
          </w:p>
        </w:tc>
        <w:tc>
          <w:tcPr>
            <w:tcW w:w="3119" w:type="dxa"/>
          </w:tcPr>
          <w:p w14:paraId="07FFC91A" w14:textId="4C5F8459" w:rsidR="008B1BB5" w:rsidRPr="00700241" w:rsidRDefault="008B1BB5" w:rsidP="008B1BB5">
            <w:pPr>
              <w:rPr>
                <w:lang w:val="en-AU"/>
              </w:rPr>
            </w:pPr>
            <w:r w:rsidRPr="00700241">
              <w:rPr>
                <w:lang w:val="en-AU"/>
              </w:rPr>
              <w:t xml:space="preserve">Each </w:t>
            </w:r>
            <w:r w:rsidR="00BB5EF0" w:rsidRPr="00700241">
              <w:rPr>
                <w:lang w:val="en-AU"/>
              </w:rPr>
              <w:t>Client</w:t>
            </w:r>
            <w:r w:rsidRPr="00700241">
              <w:rPr>
                <w:lang w:val="en-AU"/>
              </w:rPr>
              <w:t>’s audited annual financial statements</w:t>
            </w:r>
          </w:p>
        </w:tc>
        <w:tc>
          <w:tcPr>
            <w:tcW w:w="1605" w:type="dxa"/>
          </w:tcPr>
          <w:p w14:paraId="7AD2A57C" w14:textId="50BBCB81" w:rsidR="008B1BB5" w:rsidRPr="00700241" w:rsidRDefault="00BB5EF0" w:rsidP="008B1BB5">
            <w:pPr>
              <w:rPr>
                <w:lang w:val="en-AU"/>
              </w:rPr>
            </w:pPr>
            <w:r w:rsidRPr="00700241">
              <w:rPr>
                <w:lang w:val="en-AU"/>
              </w:rPr>
              <w:t>Client</w:t>
            </w:r>
            <w:r w:rsidR="008B1BB5" w:rsidRPr="00700241">
              <w:rPr>
                <w:lang w:val="en-AU"/>
              </w:rPr>
              <w:t>s</w:t>
            </w:r>
          </w:p>
        </w:tc>
      </w:tr>
    </w:tbl>
    <w:p w14:paraId="56C04B23" w14:textId="77777777" w:rsidR="00564CAA" w:rsidRPr="00700241" w:rsidRDefault="00564CAA" w:rsidP="00564CAA"/>
    <w:p w14:paraId="13EB6E19" w14:textId="1E44F6E4" w:rsidR="00564CAA" w:rsidRPr="00700241" w:rsidRDefault="00564CAA" w:rsidP="00564CAA">
      <w:pPr>
        <w:pStyle w:val="Heading2simple"/>
      </w:pPr>
      <w:bookmarkStart w:id="41" w:name="_Toc103271310"/>
      <w:r w:rsidRPr="00700241">
        <w:t>OPI 7.3 Fund Net Asset Value (NAV)</w:t>
      </w:r>
      <w:bookmarkEnd w:id="41"/>
    </w:p>
    <w:p w14:paraId="49EB6C4E" w14:textId="02C93B0D" w:rsidR="00564CAA" w:rsidRPr="00700241" w:rsidRDefault="00777ABF" w:rsidP="00564CAA">
      <w:pPr>
        <w:rPr>
          <w:lang w:val="en-IE"/>
        </w:rPr>
      </w:pPr>
      <w:r w:rsidRPr="00700241">
        <w:rPr>
          <w:lang w:val="en-IE"/>
        </w:rPr>
        <w:t xml:space="preserve">USD </w:t>
      </w:r>
      <w:r w:rsidR="00564CAA" w:rsidRPr="00700241">
        <w:rPr>
          <w:lang w:val="en-IE"/>
        </w:rPr>
        <w:t>Fund Net Asset Value during the time &amp;Green is operational.</w:t>
      </w:r>
    </w:p>
    <w:tbl>
      <w:tblPr>
        <w:tblStyle w:val="TableGrid"/>
        <w:tblW w:w="8801" w:type="dxa"/>
        <w:tblLook w:val="04A0" w:firstRow="1" w:lastRow="0" w:firstColumn="1" w:lastColumn="0" w:noHBand="0" w:noVBand="1"/>
      </w:tblPr>
      <w:tblGrid>
        <w:gridCol w:w="2093"/>
        <w:gridCol w:w="1276"/>
        <w:gridCol w:w="3969"/>
        <w:gridCol w:w="1463"/>
      </w:tblGrid>
      <w:tr w:rsidR="00564CAA" w:rsidRPr="00700241" w14:paraId="7C8F6E3A" w14:textId="77777777" w:rsidTr="00777ABF">
        <w:trPr>
          <w:cnfStyle w:val="100000000000" w:firstRow="1" w:lastRow="0" w:firstColumn="0" w:lastColumn="0" w:oddVBand="0" w:evenVBand="0" w:oddHBand="0" w:evenHBand="0" w:firstRowFirstColumn="0" w:firstRowLastColumn="0" w:lastRowFirstColumn="0" w:lastRowLastColumn="0"/>
        </w:trPr>
        <w:tc>
          <w:tcPr>
            <w:tcW w:w="2093" w:type="dxa"/>
          </w:tcPr>
          <w:p w14:paraId="034CE6B0" w14:textId="77777777" w:rsidR="00564CAA" w:rsidRPr="00700241" w:rsidRDefault="00564CAA" w:rsidP="00A41311">
            <w:pPr>
              <w:rPr>
                <w:bCs/>
                <w:lang w:val="en-AU"/>
              </w:rPr>
            </w:pPr>
            <w:r w:rsidRPr="00700241">
              <w:rPr>
                <w:bCs/>
                <w:lang w:val="en-AU"/>
              </w:rPr>
              <w:t>Data point</w:t>
            </w:r>
          </w:p>
        </w:tc>
        <w:tc>
          <w:tcPr>
            <w:tcW w:w="1276" w:type="dxa"/>
          </w:tcPr>
          <w:p w14:paraId="383AA888" w14:textId="77777777" w:rsidR="00564CAA" w:rsidRPr="00700241" w:rsidRDefault="00564CAA" w:rsidP="00A41311">
            <w:pPr>
              <w:rPr>
                <w:bCs/>
                <w:lang w:val="en-AU"/>
              </w:rPr>
            </w:pPr>
            <w:r w:rsidRPr="00700241">
              <w:rPr>
                <w:bCs/>
                <w:lang w:val="en-AU"/>
              </w:rPr>
              <w:t>Metric</w:t>
            </w:r>
          </w:p>
        </w:tc>
        <w:tc>
          <w:tcPr>
            <w:tcW w:w="3969" w:type="dxa"/>
          </w:tcPr>
          <w:p w14:paraId="3D6044E6" w14:textId="77777777" w:rsidR="00564CAA" w:rsidRPr="00700241" w:rsidRDefault="00564CAA" w:rsidP="00A41311">
            <w:pPr>
              <w:rPr>
                <w:bCs/>
                <w:lang w:val="en-AU"/>
              </w:rPr>
            </w:pPr>
            <w:r w:rsidRPr="00700241">
              <w:rPr>
                <w:bCs/>
                <w:lang w:val="en-AU"/>
              </w:rPr>
              <w:t>Data source</w:t>
            </w:r>
          </w:p>
        </w:tc>
        <w:tc>
          <w:tcPr>
            <w:tcW w:w="1463" w:type="dxa"/>
          </w:tcPr>
          <w:p w14:paraId="313FEDB8" w14:textId="77777777" w:rsidR="00564CAA" w:rsidRPr="00700241" w:rsidRDefault="00564CAA" w:rsidP="00A41311">
            <w:pPr>
              <w:rPr>
                <w:bCs/>
                <w:lang w:val="en-AU"/>
              </w:rPr>
            </w:pPr>
            <w:r w:rsidRPr="00700241">
              <w:rPr>
                <w:bCs/>
                <w:lang w:val="en-AU"/>
              </w:rPr>
              <w:t>Owner</w:t>
            </w:r>
          </w:p>
        </w:tc>
      </w:tr>
      <w:tr w:rsidR="00564CAA" w:rsidRPr="00700241" w14:paraId="5E9DBE80" w14:textId="77777777" w:rsidTr="00777ABF">
        <w:tc>
          <w:tcPr>
            <w:tcW w:w="2093" w:type="dxa"/>
          </w:tcPr>
          <w:p w14:paraId="2584A4BA" w14:textId="77777777" w:rsidR="00564CAA" w:rsidRPr="00700241" w:rsidRDefault="00564CAA" w:rsidP="00A41311">
            <w:pPr>
              <w:rPr>
                <w:lang w:val="en-GB"/>
              </w:rPr>
            </w:pPr>
            <w:r w:rsidRPr="00700241">
              <w:rPr>
                <w:lang w:val="en-GB"/>
              </w:rPr>
              <w:t>Total Net Assets</w:t>
            </w:r>
          </w:p>
        </w:tc>
        <w:tc>
          <w:tcPr>
            <w:tcW w:w="1276" w:type="dxa"/>
          </w:tcPr>
          <w:p w14:paraId="6CB03E92" w14:textId="77777777" w:rsidR="00564CAA" w:rsidRPr="00700241" w:rsidRDefault="00564CAA" w:rsidP="00A41311">
            <w:pPr>
              <w:rPr>
                <w:lang w:val="en-AU"/>
              </w:rPr>
            </w:pPr>
            <w:r w:rsidRPr="00700241">
              <w:rPr>
                <w:lang w:val="en-AU"/>
              </w:rPr>
              <w:t>USD</w:t>
            </w:r>
          </w:p>
        </w:tc>
        <w:tc>
          <w:tcPr>
            <w:tcW w:w="3969" w:type="dxa"/>
          </w:tcPr>
          <w:p w14:paraId="405D606C" w14:textId="77777777" w:rsidR="00564CAA" w:rsidRPr="00700241" w:rsidRDefault="00564CAA" w:rsidP="00A41311">
            <w:pPr>
              <w:rPr>
                <w:lang w:val="en-AU"/>
              </w:rPr>
            </w:pPr>
            <w:r w:rsidRPr="00700241">
              <w:rPr>
                <w:lang w:val="en-AU"/>
              </w:rPr>
              <w:t>&amp;Green unaudited quarterly reports and audited annual financial statements</w:t>
            </w:r>
          </w:p>
        </w:tc>
        <w:tc>
          <w:tcPr>
            <w:tcW w:w="1463" w:type="dxa"/>
          </w:tcPr>
          <w:p w14:paraId="5948F2F6" w14:textId="77777777" w:rsidR="00564CAA" w:rsidRPr="00700241" w:rsidRDefault="00564CAA" w:rsidP="00A41311">
            <w:pPr>
              <w:rPr>
                <w:lang w:val="en-AU"/>
              </w:rPr>
            </w:pPr>
            <w:proofErr w:type="spellStart"/>
            <w:r w:rsidRPr="00700241">
              <w:rPr>
                <w:lang w:val="en-AU"/>
              </w:rPr>
              <w:t>Intertrust</w:t>
            </w:r>
            <w:proofErr w:type="spellEnd"/>
          </w:p>
        </w:tc>
      </w:tr>
    </w:tbl>
    <w:p w14:paraId="64A22D5B" w14:textId="77777777" w:rsidR="00564CAA" w:rsidRPr="00700241" w:rsidRDefault="00564CAA" w:rsidP="00564CAA">
      <w:pPr>
        <w:rPr>
          <w:lang w:val="en-IE"/>
        </w:rPr>
      </w:pPr>
    </w:p>
    <w:p w14:paraId="3CB2FBBD" w14:textId="77777777" w:rsidR="00564CAA" w:rsidRPr="00700241" w:rsidRDefault="00564CAA" w:rsidP="00564CAA">
      <w:pPr>
        <w:pStyle w:val="Heading2simple"/>
      </w:pPr>
      <w:bookmarkStart w:id="42" w:name="_Toc103271311"/>
      <w:r w:rsidRPr="00700241">
        <w:t>OPI 7.4a Fund capital committed</w:t>
      </w:r>
      <w:bookmarkEnd w:id="42"/>
    </w:p>
    <w:p w14:paraId="23AA2F3F" w14:textId="44914240" w:rsidR="00564CAA" w:rsidRPr="00700241" w:rsidRDefault="007F54E5" w:rsidP="00564CAA">
      <w:pPr>
        <w:rPr>
          <w:lang w:val="en-IE"/>
        </w:rPr>
      </w:pPr>
      <w:r w:rsidRPr="00700241">
        <w:rPr>
          <w:lang w:val="en-IE"/>
        </w:rPr>
        <w:t xml:space="preserve">USD </w:t>
      </w:r>
      <w:r w:rsidR="00564CAA" w:rsidRPr="00700241">
        <w:rPr>
          <w:lang w:val="en-IE"/>
        </w:rPr>
        <w:t>Contributions committed to &amp;Green since inception.</w:t>
      </w:r>
    </w:p>
    <w:tbl>
      <w:tblPr>
        <w:tblStyle w:val="TableGrid"/>
        <w:tblW w:w="8801" w:type="dxa"/>
        <w:tblLook w:val="04A0" w:firstRow="1" w:lastRow="0" w:firstColumn="1" w:lastColumn="0" w:noHBand="0" w:noVBand="1"/>
      </w:tblPr>
      <w:tblGrid>
        <w:gridCol w:w="2376"/>
        <w:gridCol w:w="993"/>
        <w:gridCol w:w="3969"/>
        <w:gridCol w:w="1463"/>
      </w:tblGrid>
      <w:tr w:rsidR="00564CAA" w:rsidRPr="00700241" w14:paraId="5F8CB162" w14:textId="77777777" w:rsidTr="009469DC">
        <w:trPr>
          <w:cnfStyle w:val="100000000000" w:firstRow="1" w:lastRow="0" w:firstColumn="0" w:lastColumn="0" w:oddVBand="0" w:evenVBand="0" w:oddHBand="0" w:evenHBand="0" w:firstRowFirstColumn="0" w:firstRowLastColumn="0" w:lastRowFirstColumn="0" w:lastRowLastColumn="0"/>
        </w:trPr>
        <w:tc>
          <w:tcPr>
            <w:tcW w:w="2376" w:type="dxa"/>
          </w:tcPr>
          <w:p w14:paraId="52E34F7D" w14:textId="77777777" w:rsidR="00564CAA" w:rsidRPr="00700241" w:rsidRDefault="00564CAA" w:rsidP="00A41311">
            <w:pPr>
              <w:rPr>
                <w:bCs/>
                <w:lang w:val="en-AU"/>
              </w:rPr>
            </w:pPr>
            <w:r w:rsidRPr="00700241">
              <w:rPr>
                <w:bCs/>
                <w:lang w:val="en-AU"/>
              </w:rPr>
              <w:t>Data point</w:t>
            </w:r>
          </w:p>
        </w:tc>
        <w:tc>
          <w:tcPr>
            <w:tcW w:w="993" w:type="dxa"/>
          </w:tcPr>
          <w:p w14:paraId="756D52D0" w14:textId="77777777" w:rsidR="00564CAA" w:rsidRPr="00700241" w:rsidRDefault="00564CAA" w:rsidP="00A41311">
            <w:pPr>
              <w:rPr>
                <w:bCs/>
                <w:lang w:val="en-AU"/>
              </w:rPr>
            </w:pPr>
            <w:r w:rsidRPr="00700241">
              <w:rPr>
                <w:bCs/>
                <w:lang w:val="en-AU"/>
              </w:rPr>
              <w:t>Metric</w:t>
            </w:r>
          </w:p>
        </w:tc>
        <w:tc>
          <w:tcPr>
            <w:tcW w:w="3969" w:type="dxa"/>
          </w:tcPr>
          <w:p w14:paraId="7E0EDEAF" w14:textId="77777777" w:rsidR="00564CAA" w:rsidRPr="00700241" w:rsidRDefault="00564CAA" w:rsidP="00A41311">
            <w:pPr>
              <w:rPr>
                <w:bCs/>
                <w:lang w:val="en-AU"/>
              </w:rPr>
            </w:pPr>
            <w:r w:rsidRPr="00700241">
              <w:rPr>
                <w:bCs/>
                <w:lang w:val="en-AU"/>
              </w:rPr>
              <w:t>Data source</w:t>
            </w:r>
          </w:p>
        </w:tc>
        <w:tc>
          <w:tcPr>
            <w:tcW w:w="1463" w:type="dxa"/>
          </w:tcPr>
          <w:p w14:paraId="1B81D9C9" w14:textId="77777777" w:rsidR="00564CAA" w:rsidRPr="00700241" w:rsidRDefault="00564CAA" w:rsidP="00A41311">
            <w:pPr>
              <w:rPr>
                <w:bCs/>
                <w:lang w:val="en-AU"/>
              </w:rPr>
            </w:pPr>
            <w:r w:rsidRPr="00700241">
              <w:rPr>
                <w:bCs/>
                <w:lang w:val="en-AU"/>
              </w:rPr>
              <w:t>Owner</w:t>
            </w:r>
          </w:p>
        </w:tc>
      </w:tr>
      <w:tr w:rsidR="00564CAA" w:rsidRPr="00700241" w14:paraId="09A0E03C" w14:textId="77777777" w:rsidTr="009469DC">
        <w:tc>
          <w:tcPr>
            <w:tcW w:w="2376" w:type="dxa"/>
          </w:tcPr>
          <w:p w14:paraId="337DF3BD" w14:textId="77777777" w:rsidR="00564CAA" w:rsidRPr="00700241" w:rsidRDefault="00564CAA" w:rsidP="00A41311">
            <w:pPr>
              <w:rPr>
                <w:lang w:val="en-GB"/>
              </w:rPr>
            </w:pPr>
            <w:r w:rsidRPr="00700241">
              <w:rPr>
                <w:lang w:val="en-GB"/>
              </w:rPr>
              <w:t>Funded and unfunded contributions</w:t>
            </w:r>
          </w:p>
        </w:tc>
        <w:tc>
          <w:tcPr>
            <w:tcW w:w="993" w:type="dxa"/>
          </w:tcPr>
          <w:p w14:paraId="01FC6C29" w14:textId="77777777" w:rsidR="00564CAA" w:rsidRPr="00700241" w:rsidRDefault="00564CAA" w:rsidP="00A41311">
            <w:pPr>
              <w:rPr>
                <w:lang w:val="en-AU"/>
              </w:rPr>
            </w:pPr>
            <w:r w:rsidRPr="00700241">
              <w:rPr>
                <w:lang w:val="en-AU"/>
              </w:rPr>
              <w:t>USD</w:t>
            </w:r>
          </w:p>
        </w:tc>
        <w:tc>
          <w:tcPr>
            <w:tcW w:w="3969" w:type="dxa"/>
          </w:tcPr>
          <w:p w14:paraId="4BCE13D8" w14:textId="77777777" w:rsidR="00564CAA" w:rsidRPr="00700241" w:rsidRDefault="00564CAA" w:rsidP="00A41311">
            <w:pPr>
              <w:rPr>
                <w:lang w:val="en-AU"/>
              </w:rPr>
            </w:pPr>
            <w:r w:rsidRPr="00700241">
              <w:rPr>
                <w:lang w:val="en-AU"/>
              </w:rPr>
              <w:t>&amp;Green unaudited quarterly reports and audited annual financial statements</w:t>
            </w:r>
          </w:p>
        </w:tc>
        <w:tc>
          <w:tcPr>
            <w:tcW w:w="1463" w:type="dxa"/>
          </w:tcPr>
          <w:p w14:paraId="3BDC3317" w14:textId="77777777" w:rsidR="00564CAA" w:rsidRPr="00700241" w:rsidRDefault="00564CAA" w:rsidP="00A41311">
            <w:pPr>
              <w:rPr>
                <w:lang w:val="en-AU"/>
              </w:rPr>
            </w:pPr>
            <w:proofErr w:type="spellStart"/>
            <w:r w:rsidRPr="00700241">
              <w:rPr>
                <w:lang w:val="en-AU"/>
              </w:rPr>
              <w:t>Intertrust</w:t>
            </w:r>
            <w:proofErr w:type="spellEnd"/>
          </w:p>
        </w:tc>
      </w:tr>
    </w:tbl>
    <w:p w14:paraId="7BC72054" w14:textId="77777777" w:rsidR="00564CAA" w:rsidRPr="00700241" w:rsidRDefault="00564CAA" w:rsidP="00564CAA">
      <w:pPr>
        <w:rPr>
          <w:lang w:val="en-IE"/>
        </w:rPr>
      </w:pPr>
    </w:p>
    <w:p w14:paraId="2130421C" w14:textId="77777777" w:rsidR="00564CAA" w:rsidRPr="00700241" w:rsidRDefault="00564CAA" w:rsidP="00564CAA">
      <w:pPr>
        <w:pStyle w:val="Heading2simple"/>
      </w:pPr>
      <w:bookmarkStart w:id="43" w:name="_Toc103271312"/>
      <w:r w:rsidRPr="00700241">
        <w:t>OPI 7.4b Fund capital disbursed</w:t>
      </w:r>
      <w:bookmarkEnd w:id="43"/>
    </w:p>
    <w:p w14:paraId="622F1A98" w14:textId="671A6C37" w:rsidR="00564CAA" w:rsidRPr="00700241" w:rsidRDefault="00F40D1D" w:rsidP="00564CAA">
      <w:pPr>
        <w:rPr>
          <w:lang w:val="en-IE"/>
        </w:rPr>
      </w:pPr>
      <w:r w:rsidRPr="00700241">
        <w:rPr>
          <w:lang w:val="en-IE"/>
        </w:rPr>
        <w:t xml:space="preserve">USD </w:t>
      </w:r>
      <w:r w:rsidR="00564CAA" w:rsidRPr="00700241">
        <w:rPr>
          <w:lang w:val="en-IE"/>
        </w:rPr>
        <w:t>of capital disbursed since inception.</w:t>
      </w:r>
    </w:p>
    <w:tbl>
      <w:tblPr>
        <w:tblStyle w:val="TableGrid"/>
        <w:tblW w:w="8801" w:type="dxa"/>
        <w:tblLook w:val="04A0" w:firstRow="1" w:lastRow="0" w:firstColumn="1" w:lastColumn="0" w:noHBand="0" w:noVBand="1"/>
      </w:tblPr>
      <w:tblGrid>
        <w:gridCol w:w="1951"/>
        <w:gridCol w:w="992"/>
        <w:gridCol w:w="4111"/>
        <w:gridCol w:w="1747"/>
      </w:tblGrid>
      <w:tr w:rsidR="00564CAA" w:rsidRPr="00700241" w14:paraId="542ADF1D" w14:textId="77777777" w:rsidTr="00F40D1D">
        <w:trPr>
          <w:cnfStyle w:val="100000000000" w:firstRow="1" w:lastRow="0" w:firstColumn="0" w:lastColumn="0" w:oddVBand="0" w:evenVBand="0" w:oddHBand="0" w:evenHBand="0" w:firstRowFirstColumn="0" w:firstRowLastColumn="0" w:lastRowFirstColumn="0" w:lastRowLastColumn="0"/>
        </w:trPr>
        <w:tc>
          <w:tcPr>
            <w:tcW w:w="1951" w:type="dxa"/>
          </w:tcPr>
          <w:p w14:paraId="441C15E8" w14:textId="77777777" w:rsidR="00564CAA" w:rsidRPr="00700241" w:rsidRDefault="00564CAA" w:rsidP="00A41311">
            <w:pPr>
              <w:rPr>
                <w:bCs/>
                <w:lang w:val="en-AU"/>
              </w:rPr>
            </w:pPr>
            <w:r w:rsidRPr="00700241">
              <w:rPr>
                <w:bCs/>
                <w:lang w:val="en-AU"/>
              </w:rPr>
              <w:t>Data point</w:t>
            </w:r>
          </w:p>
        </w:tc>
        <w:tc>
          <w:tcPr>
            <w:tcW w:w="992" w:type="dxa"/>
          </w:tcPr>
          <w:p w14:paraId="04813336" w14:textId="77777777" w:rsidR="00564CAA" w:rsidRPr="00700241" w:rsidRDefault="00564CAA" w:rsidP="00A41311">
            <w:pPr>
              <w:rPr>
                <w:bCs/>
                <w:lang w:val="en-AU"/>
              </w:rPr>
            </w:pPr>
            <w:r w:rsidRPr="00700241">
              <w:rPr>
                <w:bCs/>
                <w:lang w:val="en-AU"/>
              </w:rPr>
              <w:t>Metric</w:t>
            </w:r>
          </w:p>
        </w:tc>
        <w:tc>
          <w:tcPr>
            <w:tcW w:w="4111" w:type="dxa"/>
          </w:tcPr>
          <w:p w14:paraId="6B964E7E" w14:textId="77777777" w:rsidR="00564CAA" w:rsidRPr="00700241" w:rsidRDefault="00564CAA" w:rsidP="00A41311">
            <w:pPr>
              <w:rPr>
                <w:bCs/>
                <w:lang w:val="en-AU"/>
              </w:rPr>
            </w:pPr>
            <w:r w:rsidRPr="00700241">
              <w:rPr>
                <w:bCs/>
                <w:lang w:val="en-AU"/>
              </w:rPr>
              <w:t>Data source</w:t>
            </w:r>
          </w:p>
        </w:tc>
        <w:tc>
          <w:tcPr>
            <w:tcW w:w="1747" w:type="dxa"/>
          </w:tcPr>
          <w:p w14:paraId="004E3A9A" w14:textId="77777777" w:rsidR="00564CAA" w:rsidRPr="00700241" w:rsidRDefault="00564CAA" w:rsidP="00A41311">
            <w:pPr>
              <w:rPr>
                <w:bCs/>
                <w:lang w:val="en-AU"/>
              </w:rPr>
            </w:pPr>
            <w:r w:rsidRPr="00700241">
              <w:rPr>
                <w:bCs/>
                <w:lang w:val="en-AU"/>
              </w:rPr>
              <w:t>Owner</w:t>
            </w:r>
          </w:p>
        </w:tc>
      </w:tr>
      <w:tr w:rsidR="00564CAA" w:rsidRPr="00700241" w14:paraId="6BB291CF" w14:textId="77777777" w:rsidTr="00F40D1D">
        <w:tc>
          <w:tcPr>
            <w:tcW w:w="1951" w:type="dxa"/>
          </w:tcPr>
          <w:p w14:paraId="0BBE4C15" w14:textId="77777777" w:rsidR="00564CAA" w:rsidRPr="00700241" w:rsidRDefault="00564CAA" w:rsidP="00A41311">
            <w:pPr>
              <w:rPr>
                <w:lang w:val="en-GB"/>
              </w:rPr>
            </w:pPr>
            <w:r w:rsidRPr="00700241">
              <w:rPr>
                <w:lang w:val="en-GB"/>
              </w:rPr>
              <w:t>Financial assets</w:t>
            </w:r>
          </w:p>
        </w:tc>
        <w:tc>
          <w:tcPr>
            <w:tcW w:w="992" w:type="dxa"/>
          </w:tcPr>
          <w:p w14:paraId="1E797CC0" w14:textId="77777777" w:rsidR="00564CAA" w:rsidRPr="00700241" w:rsidRDefault="00564CAA" w:rsidP="00A41311">
            <w:pPr>
              <w:rPr>
                <w:lang w:val="en-AU"/>
              </w:rPr>
            </w:pPr>
            <w:r w:rsidRPr="00700241">
              <w:rPr>
                <w:lang w:val="en-AU"/>
              </w:rPr>
              <w:t>USD</w:t>
            </w:r>
          </w:p>
        </w:tc>
        <w:tc>
          <w:tcPr>
            <w:tcW w:w="4111" w:type="dxa"/>
          </w:tcPr>
          <w:p w14:paraId="35B3914A" w14:textId="77777777" w:rsidR="00564CAA" w:rsidRPr="00700241" w:rsidRDefault="00564CAA" w:rsidP="00A41311">
            <w:pPr>
              <w:rPr>
                <w:lang w:val="en-AU"/>
              </w:rPr>
            </w:pPr>
            <w:r w:rsidRPr="00700241">
              <w:rPr>
                <w:lang w:val="en-AU"/>
              </w:rPr>
              <w:t>&amp;Green unaudited quarterly reports and audited annual financial statements</w:t>
            </w:r>
          </w:p>
        </w:tc>
        <w:tc>
          <w:tcPr>
            <w:tcW w:w="1747" w:type="dxa"/>
          </w:tcPr>
          <w:p w14:paraId="44D99EEC" w14:textId="77777777" w:rsidR="00564CAA" w:rsidRPr="00700241" w:rsidRDefault="00564CAA" w:rsidP="00A41311">
            <w:pPr>
              <w:rPr>
                <w:lang w:val="en-AU"/>
              </w:rPr>
            </w:pPr>
            <w:proofErr w:type="spellStart"/>
            <w:r w:rsidRPr="00700241">
              <w:rPr>
                <w:lang w:val="en-AU"/>
              </w:rPr>
              <w:t>Intertrust</w:t>
            </w:r>
            <w:proofErr w:type="spellEnd"/>
          </w:p>
        </w:tc>
      </w:tr>
    </w:tbl>
    <w:p w14:paraId="0C4011A5" w14:textId="77777777" w:rsidR="001E6299" w:rsidRPr="00700241" w:rsidRDefault="001E6299" w:rsidP="00564CAA">
      <w:pPr>
        <w:rPr>
          <w:lang w:val="en-IE"/>
        </w:rPr>
      </w:pPr>
    </w:p>
    <w:p w14:paraId="3A23D782" w14:textId="65E4DF28" w:rsidR="00564CAA" w:rsidRPr="00700241" w:rsidRDefault="00564CAA" w:rsidP="00564CAA">
      <w:pPr>
        <w:pStyle w:val="Heading2simple"/>
      </w:pPr>
      <w:bookmarkStart w:id="44" w:name="_Toc103271313"/>
      <w:r w:rsidRPr="00700241">
        <w:t xml:space="preserve">OPI 7.5 Non-Performing </w:t>
      </w:r>
      <w:r w:rsidR="00C42622" w:rsidRPr="00700241">
        <w:t>L</w:t>
      </w:r>
      <w:r w:rsidRPr="00700241">
        <w:t>oans</w:t>
      </w:r>
      <w:r w:rsidR="00C42622" w:rsidRPr="00700241">
        <w:t xml:space="preserve"> (NPLs)</w:t>
      </w:r>
      <w:bookmarkEnd w:id="44"/>
    </w:p>
    <w:p w14:paraId="46EF11FC" w14:textId="5468157E" w:rsidR="00564CAA" w:rsidRPr="00700241" w:rsidRDefault="00564CAA" w:rsidP="00564CAA">
      <w:pPr>
        <w:rPr>
          <w:lang w:val="en-IE"/>
        </w:rPr>
      </w:pPr>
      <w:r w:rsidRPr="00700241">
        <w:rPr>
          <w:lang w:val="en-IE"/>
        </w:rPr>
        <w:t>Fund transactions that are non-performing loans.</w:t>
      </w:r>
    </w:p>
    <w:tbl>
      <w:tblPr>
        <w:tblStyle w:val="TableGrid"/>
        <w:tblW w:w="8801" w:type="dxa"/>
        <w:tblLook w:val="04A0" w:firstRow="1" w:lastRow="0" w:firstColumn="1" w:lastColumn="0" w:noHBand="0" w:noVBand="1"/>
      </w:tblPr>
      <w:tblGrid>
        <w:gridCol w:w="2093"/>
        <w:gridCol w:w="1276"/>
        <w:gridCol w:w="3969"/>
        <w:gridCol w:w="1463"/>
      </w:tblGrid>
      <w:tr w:rsidR="00564CAA" w:rsidRPr="00700241" w14:paraId="469FC51D" w14:textId="77777777" w:rsidTr="00A43DCE">
        <w:trPr>
          <w:cnfStyle w:val="100000000000" w:firstRow="1" w:lastRow="0" w:firstColumn="0" w:lastColumn="0" w:oddVBand="0" w:evenVBand="0" w:oddHBand="0" w:evenHBand="0" w:firstRowFirstColumn="0" w:firstRowLastColumn="0" w:lastRowFirstColumn="0" w:lastRowLastColumn="0"/>
        </w:trPr>
        <w:tc>
          <w:tcPr>
            <w:tcW w:w="2093" w:type="dxa"/>
          </w:tcPr>
          <w:p w14:paraId="5C91DAB8" w14:textId="77777777" w:rsidR="00564CAA" w:rsidRPr="00700241" w:rsidRDefault="00564CAA" w:rsidP="00A41311">
            <w:pPr>
              <w:rPr>
                <w:bCs/>
                <w:lang w:val="en-AU"/>
              </w:rPr>
            </w:pPr>
            <w:r w:rsidRPr="00700241">
              <w:rPr>
                <w:bCs/>
                <w:lang w:val="en-AU"/>
              </w:rPr>
              <w:t>Data point</w:t>
            </w:r>
          </w:p>
        </w:tc>
        <w:tc>
          <w:tcPr>
            <w:tcW w:w="1276" w:type="dxa"/>
          </w:tcPr>
          <w:p w14:paraId="6280AD71" w14:textId="77777777" w:rsidR="00564CAA" w:rsidRPr="00700241" w:rsidRDefault="00564CAA" w:rsidP="00A41311">
            <w:pPr>
              <w:rPr>
                <w:bCs/>
                <w:lang w:val="en-AU"/>
              </w:rPr>
            </w:pPr>
            <w:r w:rsidRPr="00700241">
              <w:rPr>
                <w:bCs/>
                <w:lang w:val="en-AU"/>
              </w:rPr>
              <w:t>Metric</w:t>
            </w:r>
          </w:p>
        </w:tc>
        <w:tc>
          <w:tcPr>
            <w:tcW w:w="3969" w:type="dxa"/>
          </w:tcPr>
          <w:p w14:paraId="7D8AB7C4" w14:textId="77777777" w:rsidR="00564CAA" w:rsidRPr="00700241" w:rsidRDefault="00564CAA" w:rsidP="00A41311">
            <w:pPr>
              <w:rPr>
                <w:bCs/>
                <w:lang w:val="en-AU"/>
              </w:rPr>
            </w:pPr>
            <w:r w:rsidRPr="00700241">
              <w:rPr>
                <w:bCs/>
                <w:lang w:val="en-AU"/>
              </w:rPr>
              <w:t>Data source</w:t>
            </w:r>
          </w:p>
        </w:tc>
        <w:tc>
          <w:tcPr>
            <w:tcW w:w="1463" w:type="dxa"/>
          </w:tcPr>
          <w:p w14:paraId="4DB8D3BC" w14:textId="77777777" w:rsidR="00564CAA" w:rsidRPr="00700241" w:rsidRDefault="00564CAA" w:rsidP="00A41311">
            <w:pPr>
              <w:rPr>
                <w:bCs/>
                <w:lang w:val="en-AU"/>
              </w:rPr>
            </w:pPr>
            <w:r w:rsidRPr="00700241">
              <w:rPr>
                <w:bCs/>
                <w:lang w:val="en-AU"/>
              </w:rPr>
              <w:t>Owner</w:t>
            </w:r>
          </w:p>
        </w:tc>
      </w:tr>
      <w:tr w:rsidR="00564CAA" w:rsidRPr="00700241" w14:paraId="0138FE5D" w14:textId="77777777" w:rsidTr="00A43DCE">
        <w:tc>
          <w:tcPr>
            <w:tcW w:w="2093" w:type="dxa"/>
          </w:tcPr>
          <w:p w14:paraId="7A59C000" w14:textId="77777777" w:rsidR="00564CAA" w:rsidRPr="00700241" w:rsidRDefault="00564CAA" w:rsidP="00A41311">
            <w:pPr>
              <w:rPr>
                <w:lang w:val="en-GB"/>
              </w:rPr>
            </w:pPr>
            <w:r w:rsidRPr="00700241">
              <w:rPr>
                <w:lang w:val="en-GB"/>
              </w:rPr>
              <w:t>Non-Performing loans</w:t>
            </w:r>
          </w:p>
        </w:tc>
        <w:tc>
          <w:tcPr>
            <w:tcW w:w="1276" w:type="dxa"/>
          </w:tcPr>
          <w:p w14:paraId="6027B15D" w14:textId="065FE4B3" w:rsidR="00564CAA" w:rsidRPr="00700241" w:rsidRDefault="00564CAA" w:rsidP="00A41311">
            <w:pPr>
              <w:rPr>
                <w:lang w:val="en-AU"/>
              </w:rPr>
            </w:pPr>
            <w:r w:rsidRPr="00700241">
              <w:rPr>
                <w:lang w:val="en-AU"/>
              </w:rPr>
              <w:t>Percentage</w:t>
            </w:r>
          </w:p>
        </w:tc>
        <w:tc>
          <w:tcPr>
            <w:tcW w:w="3969" w:type="dxa"/>
          </w:tcPr>
          <w:p w14:paraId="6DCC363E" w14:textId="77777777" w:rsidR="00564CAA" w:rsidRPr="00700241" w:rsidRDefault="00564CAA" w:rsidP="00A41311">
            <w:pPr>
              <w:rPr>
                <w:lang w:val="en-AU"/>
              </w:rPr>
            </w:pPr>
            <w:r w:rsidRPr="00700241">
              <w:rPr>
                <w:lang w:val="en-AU"/>
              </w:rPr>
              <w:t>&amp;Green unaudited quarterly reports and audited annual financial statements</w:t>
            </w:r>
          </w:p>
        </w:tc>
        <w:tc>
          <w:tcPr>
            <w:tcW w:w="1463" w:type="dxa"/>
          </w:tcPr>
          <w:p w14:paraId="4E49D339" w14:textId="77777777" w:rsidR="00564CAA" w:rsidRPr="00700241" w:rsidRDefault="00564CAA" w:rsidP="00A41311">
            <w:pPr>
              <w:rPr>
                <w:lang w:val="en-AU"/>
              </w:rPr>
            </w:pPr>
            <w:proofErr w:type="spellStart"/>
            <w:r w:rsidRPr="00700241">
              <w:rPr>
                <w:lang w:val="en-AU"/>
              </w:rPr>
              <w:t>Intertrust</w:t>
            </w:r>
            <w:proofErr w:type="spellEnd"/>
          </w:p>
        </w:tc>
      </w:tr>
    </w:tbl>
    <w:p w14:paraId="40340E9B" w14:textId="3371678E" w:rsidR="007A3D48" w:rsidRDefault="006222DD" w:rsidP="00564CAA">
      <w:pPr>
        <w:rPr>
          <w:lang w:val="en-AU"/>
        </w:rPr>
      </w:pPr>
      <w:r>
        <w:rPr>
          <w:lang w:val="en-IE"/>
        </w:rPr>
        <w:t xml:space="preserve">The percentage is calculated as the value of the </w:t>
      </w:r>
      <w:r w:rsidR="00BD68A9">
        <w:rPr>
          <w:lang w:val="en-IE"/>
        </w:rPr>
        <w:t xml:space="preserve">NPL </w:t>
      </w:r>
      <w:r w:rsidR="00AB2234">
        <w:rPr>
          <w:lang w:val="en-IE"/>
        </w:rPr>
        <w:t xml:space="preserve">(in USD) </w:t>
      </w:r>
      <w:r w:rsidR="00BD68A9">
        <w:rPr>
          <w:lang w:val="en-IE"/>
        </w:rPr>
        <w:t xml:space="preserve">divided by </w:t>
      </w:r>
      <w:r>
        <w:rPr>
          <w:lang w:val="en-IE"/>
        </w:rPr>
        <w:t>the Fund capital disbursed (</w:t>
      </w:r>
      <w:r w:rsidR="00AB2234">
        <w:rPr>
          <w:lang w:val="en-IE"/>
        </w:rPr>
        <w:t>OPI</w:t>
      </w:r>
      <w:r w:rsidR="00BD68A9" w:rsidRPr="00BD68A9">
        <w:rPr>
          <w:lang w:val="en-AU"/>
        </w:rPr>
        <w:t>7.4b</w:t>
      </w:r>
      <w:r w:rsidR="00AB2234">
        <w:rPr>
          <w:lang w:val="en-AU"/>
        </w:rPr>
        <w:t xml:space="preserve">) at the time of reporting. </w:t>
      </w:r>
    </w:p>
    <w:p w14:paraId="0282E24C" w14:textId="65204285" w:rsidR="00564CAA" w:rsidRPr="00700241" w:rsidRDefault="00564CAA" w:rsidP="00564CAA">
      <w:pPr>
        <w:rPr>
          <w:lang w:val="en-IE"/>
        </w:rPr>
      </w:pPr>
    </w:p>
    <w:p w14:paraId="72302D0A" w14:textId="372CBDA1" w:rsidR="00564CAA" w:rsidRPr="00700241" w:rsidRDefault="00564CAA" w:rsidP="00564CAA">
      <w:pPr>
        <w:pStyle w:val="Heading2simple"/>
      </w:pPr>
      <w:bookmarkStart w:id="45" w:name="_Toc103271314"/>
      <w:r w:rsidRPr="00700241">
        <w:t xml:space="preserve">OPI 7.6a </w:t>
      </w:r>
      <w:proofErr w:type="gramStart"/>
      <w:r w:rsidRPr="00700241">
        <w:t>Non-Fund</w:t>
      </w:r>
      <w:proofErr w:type="gramEnd"/>
      <w:r w:rsidRPr="00700241">
        <w:t xml:space="preserve"> capital catalysed </w:t>
      </w:r>
      <w:r w:rsidR="000A78CE">
        <w:t>for Clients</w:t>
      </w:r>
      <w:bookmarkEnd w:id="45"/>
    </w:p>
    <w:p w14:paraId="3D3CBD26" w14:textId="3B06582A" w:rsidR="00564CAA" w:rsidRPr="00700241" w:rsidRDefault="002E619B" w:rsidP="00564CAA">
      <w:pPr>
        <w:rPr>
          <w:lang w:val="en-IE"/>
        </w:rPr>
      </w:pPr>
      <w:r w:rsidRPr="00700241">
        <w:rPr>
          <w:lang w:val="en-IE"/>
        </w:rPr>
        <w:t>USD a</w:t>
      </w:r>
      <w:r w:rsidR="00564CAA" w:rsidRPr="00700241">
        <w:rPr>
          <w:lang w:val="en-IE"/>
        </w:rPr>
        <w:t xml:space="preserve">ggregate value of third-party capital leveraged by &amp;Green for its </w:t>
      </w:r>
      <w:r w:rsidR="00BB5EF0" w:rsidRPr="00700241">
        <w:rPr>
          <w:lang w:val="en-IE"/>
        </w:rPr>
        <w:t>Client</w:t>
      </w:r>
      <w:r w:rsidR="00564CAA" w:rsidRPr="00700241">
        <w:rPr>
          <w:lang w:val="en-IE"/>
        </w:rPr>
        <w:t>s</w:t>
      </w:r>
    </w:p>
    <w:tbl>
      <w:tblPr>
        <w:tblStyle w:val="TableGrid"/>
        <w:tblW w:w="8801" w:type="dxa"/>
        <w:tblLook w:val="04A0" w:firstRow="1" w:lastRow="0" w:firstColumn="1" w:lastColumn="0" w:noHBand="0" w:noVBand="1"/>
      </w:tblPr>
      <w:tblGrid>
        <w:gridCol w:w="3652"/>
        <w:gridCol w:w="1134"/>
        <w:gridCol w:w="2552"/>
        <w:gridCol w:w="1463"/>
      </w:tblGrid>
      <w:tr w:rsidR="00564CAA" w:rsidRPr="00700241" w14:paraId="39A3E43B" w14:textId="77777777" w:rsidTr="0033790D">
        <w:trPr>
          <w:cnfStyle w:val="100000000000" w:firstRow="1" w:lastRow="0" w:firstColumn="0" w:lastColumn="0" w:oddVBand="0" w:evenVBand="0" w:oddHBand="0" w:evenHBand="0" w:firstRowFirstColumn="0" w:firstRowLastColumn="0" w:lastRowFirstColumn="0" w:lastRowLastColumn="0"/>
        </w:trPr>
        <w:tc>
          <w:tcPr>
            <w:tcW w:w="3652" w:type="dxa"/>
          </w:tcPr>
          <w:p w14:paraId="1E4ACBCF" w14:textId="77777777" w:rsidR="00564CAA" w:rsidRPr="00700241" w:rsidRDefault="00564CAA" w:rsidP="00A41311">
            <w:pPr>
              <w:rPr>
                <w:bCs/>
                <w:lang w:val="en-AU"/>
              </w:rPr>
            </w:pPr>
            <w:r w:rsidRPr="00700241">
              <w:rPr>
                <w:bCs/>
                <w:lang w:val="en-AU"/>
              </w:rPr>
              <w:t>Data points</w:t>
            </w:r>
          </w:p>
        </w:tc>
        <w:tc>
          <w:tcPr>
            <w:tcW w:w="1134" w:type="dxa"/>
          </w:tcPr>
          <w:p w14:paraId="36798743" w14:textId="77777777" w:rsidR="00564CAA" w:rsidRPr="00700241" w:rsidRDefault="00564CAA" w:rsidP="00A41311">
            <w:pPr>
              <w:rPr>
                <w:bCs/>
                <w:lang w:val="en-AU"/>
              </w:rPr>
            </w:pPr>
            <w:r w:rsidRPr="00700241">
              <w:rPr>
                <w:bCs/>
                <w:lang w:val="en-AU"/>
              </w:rPr>
              <w:t>Metric</w:t>
            </w:r>
          </w:p>
        </w:tc>
        <w:tc>
          <w:tcPr>
            <w:tcW w:w="2552" w:type="dxa"/>
          </w:tcPr>
          <w:p w14:paraId="6F46DE9E" w14:textId="77777777" w:rsidR="00564CAA" w:rsidRPr="00700241" w:rsidRDefault="00564CAA" w:rsidP="00A41311">
            <w:pPr>
              <w:rPr>
                <w:bCs/>
                <w:lang w:val="en-AU"/>
              </w:rPr>
            </w:pPr>
            <w:r w:rsidRPr="00700241">
              <w:rPr>
                <w:bCs/>
                <w:lang w:val="en-AU"/>
              </w:rPr>
              <w:t>Data source</w:t>
            </w:r>
          </w:p>
        </w:tc>
        <w:tc>
          <w:tcPr>
            <w:tcW w:w="1463" w:type="dxa"/>
          </w:tcPr>
          <w:p w14:paraId="0CD745F8" w14:textId="77777777" w:rsidR="00564CAA" w:rsidRPr="00700241" w:rsidRDefault="00564CAA" w:rsidP="00A41311">
            <w:pPr>
              <w:rPr>
                <w:bCs/>
                <w:lang w:val="en-AU"/>
              </w:rPr>
            </w:pPr>
            <w:r w:rsidRPr="00700241">
              <w:rPr>
                <w:bCs/>
                <w:lang w:val="en-AU"/>
              </w:rPr>
              <w:t>Owner</w:t>
            </w:r>
          </w:p>
        </w:tc>
      </w:tr>
      <w:tr w:rsidR="00564CAA" w:rsidRPr="00700241" w14:paraId="6F565F30" w14:textId="77777777" w:rsidTr="0033790D">
        <w:tc>
          <w:tcPr>
            <w:tcW w:w="3652" w:type="dxa"/>
          </w:tcPr>
          <w:p w14:paraId="5A3ACE07" w14:textId="77777777" w:rsidR="00F670D9" w:rsidRDefault="00564CAA" w:rsidP="00A41311">
            <w:pPr>
              <w:rPr>
                <w:lang w:val="en-GB"/>
              </w:rPr>
            </w:pPr>
            <w:r w:rsidRPr="00700241">
              <w:rPr>
                <w:lang w:val="en-GB"/>
              </w:rPr>
              <w:t xml:space="preserve">Estimated total project expenditure and </w:t>
            </w:r>
            <w:r w:rsidR="002028F5" w:rsidRPr="00700241">
              <w:rPr>
                <w:lang w:val="en-GB"/>
              </w:rPr>
              <w:t xml:space="preserve">Equity </w:t>
            </w:r>
          </w:p>
          <w:p w14:paraId="05F8C745" w14:textId="77777777" w:rsidR="00F670D9" w:rsidRDefault="002028F5" w:rsidP="00A41311">
            <w:pPr>
              <w:rPr>
                <w:lang w:val="en-GB"/>
              </w:rPr>
            </w:pPr>
            <w:r w:rsidRPr="00700241">
              <w:rPr>
                <w:lang w:val="en-GB"/>
              </w:rPr>
              <w:t xml:space="preserve">and </w:t>
            </w:r>
          </w:p>
          <w:p w14:paraId="05A59299" w14:textId="31B1066A" w:rsidR="00564CAA" w:rsidRPr="00700241" w:rsidRDefault="00F670D9" w:rsidP="00A41311">
            <w:pPr>
              <w:rPr>
                <w:lang w:val="en-GB"/>
              </w:rPr>
            </w:pPr>
            <w:r>
              <w:rPr>
                <w:lang w:val="en-GB"/>
              </w:rPr>
              <w:t>L</w:t>
            </w:r>
            <w:r w:rsidR="002028F5" w:rsidRPr="00700241">
              <w:rPr>
                <w:lang w:val="en-GB"/>
              </w:rPr>
              <w:t>iability values on each Client’s financial statements</w:t>
            </w:r>
          </w:p>
        </w:tc>
        <w:tc>
          <w:tcPr>
            <w:tcW w:w="1134" w:type="dxa"/>
          </w:tcPr>
          <w:p w14:paraId="3BF5B878" w14:textId="77777777" w:rsidR="00564CAA" w:rsidRPr="00700241" w:rsidRDefault="00564CAA" w:rsidP="00A41311">
            <w:pPr>
              <w:rPr>
                <w:lang w:val="en-AU"/>
              </w:rPr>
            </w:pPr>
            <w:r w:rsidRPr="00700241">
              <w:rPr>
                <w:lang w:val="en-AU"/>
              </w:rPr>
              <w:t>USD</w:t>
            </w:r>
          </w:p>
        </w:tc>
        <w:tc>
          <w:tcPr>
            <w:tcW w:w="2552" w:type="dxa"/>
          </w:tcPr>
          <w:p w14:paraId="74B1E9C6" w14:textId="77777777" w:rsidR="009343A5" w:rsidRDefault="00564CAA" w:rsidP="00A41311">
            <w:pPr>
              <w:rPr>
                <w:lang w:val="en-AU"/>
              </w:rPr>
            </w:pPr>
            <w:r w:rsidRPr="00700241">
              <w:rPr>
                <w:lang w:val="en-AU"/>
              </w:rPr>
              <w:t>Credit Applications</w:t>
            </w:r>
            <w:r w:rsidR="009343A5" w:rsidRPr="00700241">
              <w:rPr>
                <w:lang w:val="en-AU"/>
              </w:rPr>
              <w:t xml:space="preserve"> </w:t>
            </w:r>
          </w:p>
          <w:p w14:paraId="0BEB0AC4" w14:textId="77777777" w:rsidR="009343A5" w:rsidRDefault="009343A5" w:rsidP="00A41311">
            <w:pPr>
              <w:rPr>
                <w:lang w:val="en-AU"/>
              </w:rPr>
            </w:pPr>
          </w:p>
          <w:p w14:paraId="5CB2B8F8" w14:textId="41B3059C" w:rsidR="00564CAA" w:rsidRPr="00700241" w:rsidRDefault="009343A5" w:rsidP="00A41311">
            <w:pPr>
              <w:rPr>
                <w:lang w:val="en-AU"/>
              </w:rPr>
            </w:pPr>
            <w:r w:rsidRPr="00700241">
              <w:rPr>
                <w:lang w:val="en-AU"/>
              </w:rPr>
              <w:t>Each Client’s audited annual financial statements</w:t>
            </w:r>
          </w:p>
        </w:tc>
        <w:tc>
          <w:tcPr>
            <w:tcW w:w="1463" w:type="dxa"/>
          </w:tcPr>
          <w:p w14:paraId="4F6EF914" w14:textId="77777777" w:rsidR="00564CAA" w:rsidRPr="00700241" w:rsidRDefault="00564CAA" w:rsidP="00A41311">
            <w:pPr>
              <w:rPr>
                <w:lang w:val="en-AU"/>
              </w:rPr>
            </w:pPr>
            <w:r w:rsidRPr="00700241">
              <w:rPr>
                <w:lang w:val="en-AU"/>
              </w:rPr>
              <w:t>Sail Ventures</w:t>
            </w:r>
          </w:p>
        </w:tc>
      </w:tr>
      <w:tr w:rsidR="00564CAA" w:rsidRPr="00700241" w14:paraId="44AA0ED1" w14:textId="77777777" w:rsidTr="0033790D">
        <w:tc>
          <w:tcPr>
            <w:tcW w:w="3652" w:type="dxa"/>
          </w:tcPr>
          <w:p w14:paraId="5F8E95FE" w14:textId="006D9E34" w:rsidR="00564CAA" w:rsidRPr="00700241" w:rsidRDefault="003325DA" w:rsidP="00A41311">
            <w:r w:rsidRPr="003325DA">
              <w:rPr>
                <w:lang w:val="en-GB"/>
              </w:rPr>
              <w:t xml:space="preserve">Liability values on each Co-Investors financial statements </w:t>
            </w:r>
            <w:r>
              <w:rPr>
                <w:lang w:val="en-GB"/>
              </w:rPr>
              <w:t>(where available)</w:t>
            </w:r>
          </w:p>
        </w:tc>
        <w:tc>
          <w:tcPr>
            <w:tcW w:w="1134" w:type="dxa"/>
          </w:tcPr>
          <w:p w14:paraId="7C1D1E4A" w14:textId="60631442" w:rsidR="00564CAA" w:rsidRPr="00700241" w:rsidRDefault="00564CAA" w:rsidP="00A41311">
            <w:pPr>
              <w:rPr>
                <w:lang w:val="en-AU"/>
              </w:rPr>
            </w:pPr>
            <w:r w:rsidRPr="00DC6BC1">
              <w:rPr>
                <w:i/>
                <w:iCs/>
                <w:lang w:val="en-AU"/>
              </w:rPr>
              <w:t>USD</w:t>
            </w:r>
            <w:r w:rsidR="001D241D">
              <w:rPr>
                <w:rStyle w:val="FootnoteReference"/>
                <w:lang w:val="en-AU"/>
              </w:rPr>
              <w:footnoteReference w:id="31"/>
            </w:r>
          </w:p>
        </w:tc>
        <w:tc>
          <w:tcPr>
            <w:tcW w:w="2552" w:type="dxa"/>
          </w:tcPr>
          <w:p w14:paraId="0420081B" w14:textId="2879FEC6" w:rsidR="00564CAA" w:rsidRPr="00700241" w:rsidRDefault="001D241D" w:rsidP="00A41311">
            <w:pPr>
              <w:rPr>
                <w:lang w:val="en-AU"/>
              </w:rPr>
            </w:pPr>
            <w:r w:rsidRPr="001D241D">
              <w:rPr>
                <w:lang w:val="en-AU"/>
              </w:rPr>
              <w:t>Each C</w:t>
            </w:r>
            <w:r>
              <w:rPr>
                <w:lang w:val="en-AU"/>
              </w:rPr>
              <w:t xml:space="preserve">o-investors </w:t>
            </w:r>
            <w:r w:rsidRPr="001D241D">
              <w:rPr>
                <w:lang w:val="en-AU"/>
              </w:rPr>
              <w:t>audited annual financial statements</w:t>
            </w:r>
          </w:p>
        </w:tc>
        <w:tc>
          <w:tcPr>
            <w:tcW w:w="1463" w:type="dxa"/>
          </w:tcPr>
          <w:p w14:paraId="5BE393CD" w14:textId="2AEC11F7" w:rsidR="00564CAA" w:rsidRPr="00700241" w:rsidRDefault="001D241D" w:rsidP="00A41311">
            <w:pPr>
              <w:rPr>
                <w:lang w:val="en-AU"/>
              </w:rPr>
            </w:pPr>
            <w:r>
              <w:rPr>
                <w:lang w:val="en-AU"/>
              </w:rPr>
              <w:t>Co-investors</w:t>
            </w:r>
          </w:p>
        </w:tc>
      </w:tr>
    </w:tbl>
    <w:p w14:paraId="24147B15" w14:textId="47A02A54" w:rsidR="00DE0392" w:rsidRDefault="005F1CDC" w:rsidP="00564CAA">
      <w:pPr>
        <w:rPr>
          <w:lang w:val="en-IE"/>
        </w:rPr>
      </w:pPr>
      <w:r>
        <w:rPr>
          <w:lang w:val="en-IE"/>
        </w:rPr>
        <w:t xml:space="preserve">Not all </w:t>
      </w:r>
      <w:r w:rsidR="009343A5">
        <w:rPr>
          <w:lang w:val="en-IE"/>
        </w:rPr>
        <w:t>C</w:t>
      </w:r>
      <w:r>
        <w:rPr>
          <w:lang w:val="en-IE"/>
        </w:rPr>
        <w:t xml:space="preserve">o-investors will publicly disclose their </w:t>
      </w:r>
      <w:r w:rsidR="002140D2">
        <w:rPr>
          <w:lang w:val="en-IE"/>
        </w:rPr>
        <w:t>investments</w:t>
      </w:r>
      <w:r w:rsidR="00FE61DC">
        <w:rPr>
          <w:lang w:val="en-IE"/>
        </w:rPr>
        <w:t xml:space="preserve">. </w:t>
      </w:r>
      <w:r w:rsidR="000B1A90">
        <w:rPr>
          <w:lang w:val="en-IE"/>
        </w:rPr>
        <w:t xml:space="preserve">Where available, Co-investor </w:t>
      </w:r>
      <w:r w:rsidR="00DC6BC1">
        <w:rPr>
          <w:lang w:val="en-IE"/>
        </w:rPr>
        <w:t xml:space="preserve">financial statements are used as a cross-check against Credit Applications and Client’s statements. </w:t>
      </w:r>
    </w:p>
    <w:p w14:paraId="75DBD019" w14:textId="77777777" w:rsidR="00DE0392" w:rsidRPr="00700241" w:rsidRDefault="00DE0392" w:rsidP="00564CAA">
      <w:pPr>
        <w:rPr>
          <w:lang w:val="en-IE"/>
        </w:rPr>
      </w:pPr>
    </w:p>
    <w:p w14:paraId="6FFA134E" w14:textId="4CC6D006" w:rsidR="00564CAA" w:rsidRPr="00700241" w:rsidRDefault="00564CAA" w:rsidP="00564CAA">
      <w:pPr>
        <w:pStyle w:val="Heading2simple"/>
      </w:pPr>
      <w:bookmarkStart w:id="46" w:name="_Toc103271315"/>
      <w:r w:rsidRPr="00700241">
        <w:t>OPI 7.6b Syndication partners mobilized (#Co-investors)</w:t>
      </w:r>
      <w:bookmarkEnd w:id="46"/>
    </w:p>
    <w:p w14:paraId="52B97BFC" w14:textId="0059908F" w:rsidR="00564CAA" w:rsidRPr="00700241" w:rsidRDefault="00451DB1" w:rsidP="00564CAA">
      <w:pPr>
        <w:rPr>
          <w:lang w:val="en-IE"/>
        </w:rPr>
      </w:pPr>
      <w:r w:rsidRPr="00700241">
        <w:rPr>
          <w:lang w:val="en-IE"/>
        </w:rPr>
        <w:t>#</w:t>
      </w:r>
      <w:r w:rsidR="00564CAA" w:rsidRPr="00700241">
        <w:rPr>
          <w:lang w:val="en-IE"/>
        </w:rPr>
        <w:t xml:space="preserve"> </w:t>
      </w:r>
      <w:proofErr w:type="gramStart"/>
      <w:r w:rsidR="00564CAA" w:rsidRPr="00700241">
        <w:rPr>
          <w:lang w:val="en-IE"/>
        </w:rPr>
        <w:t>syndication</w:t>
      </w:r>
      <w:proofErr w:type="gramEnd"/>
      <w:r w:rsidR="00564CAA" w:rsidRPr="00700241">
        <w:rPr>
          <w:lang w:val="en-IE"/>
        </w:rPr>
        <w:t xml:space="preserve"> partners mobilized by &amp;Green. </w:t>
      </w:r>
    </w:p>
    <w:tbl>
      <w:tblPr>
        <w:tblStyle w:val="TableGrid"/>
        <w:tblW w:w="8801" w:type="dxa"/>
        <w:tblLook w:val="04A0" w:firstRow="1" w:lastRow="0" w:firstColumn="1" w:lastColumn="0" w:noHBand="0" w:noVBand="1"/>
      </w:tblPr>
      <w:tblGrid>
        <w:gridCol w:w="2590"/>
        <w:gridCol w:w="1346"/>
        <w:gridCol w:w="2580"/>
        <w:gridCol w:w="2285"/>
      </w:tblGrid>
      <w:tr w:rsidR="00564CAA" w:rsidRPr="00700241" w14:paraId="1F651017" w14:textId="77777777" w:rsidTr="00451DB1">
        <w:trPr>
          <w:cnfStyle w:val="100000000000" w:firstRow="1" w:lastRow="0" w:firstColumn="0" w:lastColumn="0" w:oddVBand="0" w:evenVBand="0" w:oddHBand="0" w:evenHBand="0" w:firstRowFirstColumn="0" w:firstRowLastColumn="0" w:lastRowFirstColumn="0" w:lastRowLastColumn="0"/>
        </w:trPr>
        <w:tc>
          <w:tcPr>
            <w:tcW w:w="2590" w:type="dxa"/>
          </w:tcPr>
          <w:p w14:paraId="30D66616" w14:textId="77777777" w:rsidR="00564CAA" w:rsidRPr="00700241" w:rsidRDefault="00564CAA" w:rsidP="00A41311">
            <w:pPr>
              <w:rPr>
                <w:bCs/>
                <w:lang w:val="en-AU"/>
              </w:rPr>
            </w:pPr>
            <w:r w:rsidRPr="00700241">
              <w:rPr>
                <w:bCs/>
                <w:lang w:val="en-AU"/>
              </w:rPr>
              <w:t>Data point</w:t>
            </w:r>
          </w:p>
        </w:tc>
        <w:tc>
          <w:tcPr>
            <w:tcW w:w="1346" w:type="dxa"/>
          </w:tcPr>
          <w:p w14:paraId="2C173748" w14:textId="77777777" w:rsidR="00564CAA" w:rsidRPr="00700241" w:rsidRDefault="00564CAA" w:rsidP="00A41311">
            <w:pPr>
              <w:rPr>
                <w:bCs/>
                <w:lang w:val="en-AU"/>
              </w:rPr>
            </w:pPr>
            <w:r w:rsidRPr="00700241">
              <w:rPr>
                <w:bCs/>
                <w:lang w:val="en-AU"/>
              </w:rPr>
              <w:t>Metric</w:t>
            </w:r>
          </w:p>
        </w:tc>
        <w:tc>
          <w:tcPr>
            <w:tcW w:w="2580" w:type="dxa"/>
          </w:tcPr>
          <w:p w14:paraId="11B07E1B" w14:textId="77777777" w:rsidR="00564CAA" w:rsidRPr="00700241" w:rsidRDefault="00564CAA" w:rsidP="00A41311">
            <w:pPr>
              <w:rPr>
                <w:bCs/>
                <w:lang w:val="en-AU"/>
              </w:rPr>
            </w:pPr>
            <w:r w:rsidRPr="00700241">
              <w:rPr>
                <w:bCs/>
                <w:lang w:val="en-AU"/>
              </w:rPr>
              <w:t>Data source</w:t>
            </w:r>
          </w:p>
        </w:tc>
        <w:tc>
          <w:tcPr>
            <w:tcW w:w="2285" w:type="dxa"/>
          </w:tcPr>
          <w:p w14:paraId="3AE28715" w14:textId="77777777" w:rsidR="00564CAA" w:rsidRPr="00700241" w:rsidRDefault="00564CAA" w:rsidP="00A41311">
            <w:pPr>
              <w:rPr>
                <w:bCs/>
                <w:lang w:val="en-AU"/>
              </w:rPr>
            </w:pPr>
            <w:r w:rsidRPr="00700241">
              <w:rPr>
                <w:bCs/>
                <w:lang w:val="en-AU"/>
              </w:rPr>
              <w:t>Owner</w:t>
            </w:r>
          </w:p>
        </w:tc>
      </w:tr>
      <w:tr w:rsidR="00564CAA" w:rsidRPr="00700241" w14:paraId="708E7C67" w14:textId="77777777" w:rsidTr="00451DB1">
        <w:tc>
          <w:tcPr>
            <w:tcW w:w="2590" w:type="dxa"/>
          </w:tcPr>
          <w:p w14:paraId="03270592" w14:textId="77777777" w:rsidR="00564CAA" w:rsidRPr="00700241" w:rsidRDefault="00564CAA" w:rsidP="00A41311">
            <w:pPr>
              <w:rPr>
                <w:lang w:val="en-GB"/>
              </w:rPr>
            </w:pPr>
            <w:r w:rsidRPr="00700241">
              <w:rPr>
                <w:lang w:val="en-GB"/>
              </w:rPr>
              <w:t>Co-Investors</w:t>
            </w:r>
          </w:p>
        </w:tc>
        <w:tc>
          <w:tcPr>
            <w:tcW w:w="1346" w:type="dxa"/>
          </w:tcPr>
          <w:p w14:paraId="0B0D62E5" w14:textId="77777777" w:rsidR="00564CAA" w:rsidRPr="00700241" w:rsidRDefault="00564CAA" w:rsidP="00451DB1">
            <w:pPr>
              <w:jc w:val="center"/>
              <w:rPr>
                <w:lang w:val="en-AU"/>
              </w:rPr>
            </w:pPr>
            <w:r w:rsidRPr="00700241">
              <w:rPr>
                <w:lang w:val="en-AU"/>
              </w:rPr>
              <w:t>#</w:t>
            </w:r>
          </w:p>
        </w:tc>
        <w:tc>
          <w:tcPr>
            <w:tcW w:w="2580" w:type="dxa"/>
          </w:tcPr>
          <w:p w14:paraId="1B97AF28" w14:textId="77777777" w:rsidR="00564CAA" w:rsidRPr="00700241" w:rsidRDefault="00564CAA" w:rsidP="00A41311">
            <w:pPr>
              <w:rPr>
                <w:lang w:val="en-AU"/>
              </w:rPr>
            </w:pPr>
            <w:r w:rsidRPr="00700241">
              <w:rPr>
                <w:lang w:val="en-AU"/>
              </w:rPr>
              <w:t>Credit Applications</w:t>
            </w:r>
          </w:p>
        </w:tc>
        <w:tc>
          <w:tcPr>
            <w:tcW w:w="2285" w:type="dxa"/>
          </w:tcPr>
          <w:p w14:paraId="25275256" w14:textId="77777777" w:rsidR="00564CAA" w:rsidRPr="00700241" w:rsidRDefault="00564CAA" w:rsidP="00A41311">
            <w:pPr>
              <w:rPr>
                <w:lang w:val="en-AU"/>
              </w:rPr>
            </w:pPr>
            <w:r w:rsidRPr="00700241">
              <w:rPr>
                <w:lang w:val="en-AU"/>
              </w:rPr>
              <w:t>Sail Ventures</w:t>
            </w:r>
          </w:p>
        </w:tc>
      </w:tr>
    </w:tbl>
    <w:p w14:paraId="51C55C14" w14:textId="77777777" w:rsidR="00DC6BC1" w:rsidRPr="00700241" w:rsidRDefault="00DC6BC1" w:rsidP="00564CAA">
      <w:pPr>
        <w:rPr>
          <w:lang w:val="en-IE"/>
        </w:rPr>
      </w:pPr>
    </w:p>
    <w:p w14:paraId="3EF02BFB" w14:textId="77777777" w:rsidR="00564CAA" w:rsidRPr="00700241" w:rsidRDefault="00564CAA" w:rsidP="00564CAA">
      <w:pPr>
        <w:pStyle w:val="Heading2simple"/>
      </w:pPr>
      <w:bookmarkStart w:id="47" w:name="_Toc103271316"/>
      <w:r w:rsidRPr="00700241">
        <w:t>OPI 7.7 Leverage ratio</w:t>
      </w:r>
      <w:bookmarkEnd w:id="47"/>
    </w:p>
    <w:p w14:paraId="48C55CB5" w14:textId="791410F8" w:rsidR="00564CAA" w:rsidRPr="00700241" w:rsidRDefault="00564CAA" w:rsidP="00564CAA">
      <w:pPr>
        <w:rPr>
          <w:lang w:val="en-IE"/>
        </w:rPr>
      </w:pPr>
      <w:r w:rsidRPr="00700241">
        <w:rPr>
          <w:lang w:val="en-IE"/>
        </w:rPr>
        <w:t xml:space="preserve">Ratio between 7.6a </w:t>
      </w:r>
      <w:proofErr w:type="gramStart"/>
      <w:r w:rsidRPr="00700241">
        <w:rPr>
          <w:lang w:val="en-IE"/>
        </w:rPr>
        <w:t>Non-fund</w:t>
      </w:r>
      <w:proofErr w:type="gramEnd"/>
      <w:r w:rsidRPr="00700241">
        <w:rPr>
          <w:lang w:val="en-IE"/>
        </w:rPr>
        <w:t xml:space="preserve"> capital catalysed for </w:t>
      </w:r>
      <w:r w:rsidR="00BB5EF0" w:rsidRPr="00700241">
        <w:rPr>
          <w:lang w:val="en-IE"/>
        </w:rPr>
        <w:t>Client</w:t>
      </w:r>
      <w:r w:rsidRPr="00700241">
        <w:rPr>
          <w:lang w:val="en-IE"/>
        </w:rPr>
        <w:t>s and OPI 7.4b Fund capital disbursed.</w:t>
      </w:r>
    </w:p>
    <w:tbl>
      <w:tblPr>
        <w:tblStyle w:val="TableGrid"/>
        <w:tblW w:w="8801" w:type="dxa"/>
        <w:tblLook w:val="04A0" w:firstRow="1" w:lastRow="0" w:firstColumn="1" w:lastColumn="0" w:noHBand="0" w:noVBand="1"/>
      </w:tblPr>
      <w:tblGrid>
        <w:gridCol w:w="2590"/>
        <w:gridCol w:w="1629"/>
        <w:gridCol w:w="2126"/>
        <w:gridCol w:w="2456"/>
      </w:tblGrid>
      <w:tr w:rsidR="00564CAA" w:rsidRPr="00700241" w14:paraId="3E4046A5" w14:textId="77777777" w:rsidTr="004214B6">
        <w:trPr>
          <w:cnfStyle w:val="100000000000" w:firstRow="1" w:lastRow="0" w:firstColumn="0" w:lastColumn="0" w:oddVBand="0" w:evenVBand="0" w:oddHBand="0" w:evenHBand="0" w:firstRowFirstColumn="0" w:firstRowLastColumn="0" w:lastRowFirstColumn="0" w:lastRowLastColumn="0"/>
        </w:trPr>
        <w:tc>
          <w:tcPr>
            <w:tcW w:w="2590" w:type="dxa"/>
          </w:tcPr>
          <w:p w14:paraId="56825961" w14:textId="4B5B850D" w:rsidR="00564CAA" w:rsidRPr="00700241" w:rsidRDefault="00564CAA" w:rsidP="00A41311">
            <w:pPr>
              <w:rPr>
                <w:bCs/>
                <w:lang w:val="en-AU"/>
              </w:rPr>
            </w:pPr>
            <w:r w:rsidRPr="00700241">
              <w:rPr>
                <w:bCs/>
                <w:lang w:val="en-AU"/>
              </w:rPr>
              <w:t>Data point</w:t>
            </w:r>
            <w:r w:rsidR="004214B6" w:rsidRPr="00700241">
              <w:rPr>
                <w:bCs/>
                <w:lang w:val="en-AU"/>
              </w:rPr>
              <w:t>S</w:t>
            </w:r>
          </w:p>
        </w:tc>
        <w:tc>
          <w:tcPr>
            <w:tcW w:w="1629" w:type="dxa"/>
          </w:tcPr>
          <w:p w14:paraId="61ABBEF8" w14:textId="77777777" w:rsidR="00564CAA" w:rsidRPr="00700241" w:rsidRDefault="00564CAA" w:rsidP="00A41311">
            <w:pPr>
              <w:rPr>
                <w:bCs/>
                <w:lang w:val="en-AU"/>
              </w:rPr>
            </w:pPr>
            <w:r w:rsidRPr="00700241">
              <w:rPr>
                <w:bCs/>
                <w:lang w:val="en-AU"/>
              </w:rPr>
              <w:t>Metric</w:t>
            </w:r>
          </w:p>
        </w:tc>
        <w:tc>
          <w:tcPr>
            <w:tcW w:w="2126" w:type="dxa"/>
          </w:tcPr>
          <w:p w14:paraId="14CA1D0B" w14:textId="77777777" w:rsidR="00564CAA" w:rsidRPr="00700241" w:rsidRDefault="00564CAA" w:rsidP="00A41311">
            <w:pPr>
              <w:rPr>
                <w:bCs/>
                <w:lang w:val="en-AU"/>
              </w:rPr>
            </w:pPr>
            <w:r w:rsidRPr="00700241">
              <w:rPr>
                <w:bCs/>
                <w:lang w:val="en-AU"/>
              </w:rPr>
              <w:t>Data source</w:t>
            </w:r>
          </w:p>
        </w:tc>
        <w:tc>
          <w:tcPr>
            <w:tcW w:w="2456" w:type="dxa"/>
          </w:tcPr>
          <w:p w14:paraId="28C8E685" w14:textId="77777777" w:rsidR="00564CAA" w:rsidRPr="00700241" w:rsidRDefault="00564CAA" w:rsidP="00A41311">
            <w:pPr>
              <w:rPr>
                <w:bCs/>
                <w:lang w:val="en-AU"/>
              </w:rPr>
            </w:pPr>
            <w:r w:rsidRPr="00700241">
              <w:rPr>
                <w:bCs/>
                <w:lang w:val="en-AU"/>
              </w:rPr>
              <w:t>Owner</w:t>
            </w:r>
          </w:p>
        </w:tc>
      </w:tr>
      <w:tr w:rsidR="00564CAA" w:rsidRPr="00700241" w14:paraId="6AB0FE66" w14:textId="77777777" w:rsidTr="004214B6">
        <w:tc>
          <w:tcPr>
            <w:tcW w:w="2590" w:type="dxa"/>
          </w:tcPr>
          <w:p w14:paraId="42E308F9" w14:textId="0D76F2C0" w:rsidR="00564CAA" w:rsidRPr="00700241" w:rsidRDefault="00564CAA" w:rsidP="00A41311">
            <w:pPr>
              <w:rPr>
                <w:lang w:val="en-GB"/>
              </w:rPr>
            </w:pPr>
            <w:r w:rsidRPr="00700241">
              <w:rPr>
                <w:lang w:val="en-GB"/>
              </w:rPr>
              <w:t>OPI 7.4b and 7.6</w:t>
            </w:r>
            <w:r w:rsidR="0067164D">
              <w:rPr>
                <w:lang w:val="en-GB"/>
              </w:rPr>
              <w:t>a</w:t>
            </w:r>
          </w:p>
        </w:tc>
        <w:tc>
          <w:tcPr>
            <w:tcW w:w="1629" w:type="dxa"/>
          </w:tcPr>
          <w:p w14:paraId="1ADC1AEA" w14:textId="77777777" w:rsidR="00564CAA" w:rsidRPr="00700241" w:rsidRDefault="00564CAA" w:rsidP="004214B6">
            <w:pPr>
              <w:jc w:val="center"/>
              <w:rPr>
                <w:lang w:val="en-AU"/>
              </w:rPr>
            </w:pPr>
            <w:r w:rsidRPr="00700241">
              <w:rPr>
                <w:lang w:val="en-AU"/>
              </w:rPr>
              <w:t>Ratio</w:t>
            </w:r>
          </w:p>
        </w:tc>
        <w:tc>
          <w:tcPr>
            <w:tcW w:w="2126" w:type="dxa"/>
          </w:tcPr>
          <w:p w14:paraId="0901506A" w14:textId="52769CAE" w:rsidR="00564CAA" w:rsidRPr="00700241" w:rsidRDefault="009E6A99" w:rsidP="00A41311">
            <w:pPr>
              <w:rPr>
                <w:lang w:val="en-AU"/>
              </w:rPr>
            </w:pPr>
            <w:r w:rsidRPr="00DC6BC1">
              <w:rPr>
                <w:lang w:val="en-AU"/>
              </w:rPr>
              <w:t>Credit Applications</w:t>
            </w:r>
            <w:r>
              <w:rPr>
                <w:lang w:val="en-AU"/>
              </w:rPr>
              <w:t xml:space="preserve">, </w:t>
            </w:r>
            <w:r w:rsidR="00DC6BC1">
              <w:rPr>
                <w:lang w:val="en-AU"/>
              </w:rPr>
              <w:t xml:space="preserve">&amp;Green and Sail </w:t>
            </w:r>
            <w:r w:rsidR="00564CAA" w:rsidRPr="00700241">
              <w:rPr>
                <w:lang w:val="en-AU"/>
              </w:rPr>
              <w:t>reports</w:t>
            </w:r>
          </w:p>
        </w:tc>
        <w:tc>
          <w:tcPr>
            <w:tcW w:w="2456" w:type="dxa"/>
          </w:tcPr>
          <w:p w14:paraId="127697FA" w14:textId="290B4570" w:rsidR="00564CAA" w:rsidRPr="00700241" w:rsidRDefault="00564CAA" w:rsidP="00A41311">
            <w:pPr>
              <w:rPr>
                <w:lang w:val="en-AU"/>
              </w:rPr>
            </w:pPr>
            <w:r w:rsidRPr="00700241">
              <w:rPr>
                <w:lang w:val="en-AU"/>
              </w:rPr>
              <w:t>&amp;Green / S</w:t>
            </w:r>
            <w:r w:rsidR="004214B6" w:rsidRPr="00700241">
              <w:rPr>
                <w:lang w:val="en-AU"/>
              </w:rPr>
              <w:t>ail Ventures</w:t>
            </w:r>
          </w:p>
        </w:tc>
      </w:tr>
    </w:tbl>
    <w:p w14:paraId="34A58E34" w14:textId="77777777" w:rsidR="008B1BB5" w:rsidRPr="00700241" w:rsidRDefault="008B1BB5" w:rsidP="008B1BB5">
      <w:pPr>
        <w:rPr>
          <w:lang w:val="en-IE"/>
        </w:rPr>
      </w:pPr>
    </w:p>
    <w:p w14:paraId="07F552EF" w14:textId="77777777" w:rsidR="001852A9" w:rsidRPr="00700241" w:rsidRDefault="001852A9">
      <w:pPr>
        <w:spacing w:after="100"/>
        <w:rPr>
          <w:rFonts w:eastAsiaTheme="minorEastAsia"/>
          <w:b/>
          <w:bCs/>
          <w:color w:val="034427"/>
          <w:spacing w:val="15"/>
          <w:sz w:val="24"/>
          <w:szCs w:val="28"/>
          <w:lang w:val="en-IE"/>
        </w:rPr>
      </w:pPr>
      <w:r w:rsidRPr="00700241">
        <w:br w:type="page"/>
      </w:r>
    </w:p>
    <w:p w14:paraId="1D236038" w14:textId="7D30D9E4" w:rsidR="001852A9" w:rsidRPr="00700241" w:rsidRDefault="00ED324A" w:rsidP="000A0F4A">
      <w:pPr>
        <w:pStyle w:val="GreenHeading1"/>
      </w:pPr>
      <w:bookmarkStart w:id="48" w:name="_Toc103271317"/>
      <w:r w:rsidRPr="00700241">
        <w:t>PARTNERSHIP AND SUPPORT</w:t>
      </w:r>
      <w:bookmarkEnd w:id="48"/>
    </w:p>
    <w:p w14:paraId="23A217D8" w14:textId="1597A1DD" w:rsidR="007564B3" w:rsidRPr="00700241" w:rsidRDefault="00E07CB1" w:rsidP="00A370AB">
      <w:pPr>
        <w:rPr>
          <w:lang w:val="en-AU"/>
        </w:rPr>
      </w:pPr>
      <w:r w:rsidRPr="00700241">
        <w:rPr>
          <w:lang w:val="en-AU"/>
        </w:rPr>
        <w:t>There is no KPI for partnerships and support</w:t>
      </w:r>
      <w:r w:rsidR="0000450F" w:rsidRPr="00700241">
        <w:rPr>
          <w:lang w:val="en-AU"/>
        </w:rPr>
        <w:t xml:space="preserve">. </w:t>
      </w:r>
      <w:r w:rsidR="007564B3" w:rsidRPr="00700241">
        <w:rPr>
          <w:lang w:val="en-AU"/>
        </w:rPr>
        <w:t>Four OPIs provide context:</w:t>
      </w:r>
    </w:p>
    <w:p w14:paraId="25940F0B" w14:textId="1AE99A8A" w:rsidR="007564B3" w:rsidRPr="00700241" w:rsidRDefault="004C7628" w:rsidP="007564B3">
      <w:pPr>
        <w:numPr>
          <w:ilvl w:val="0"/>
          <w:numId w:val="20"/>
        </w:numPr>
        <w:rPr>
          <w:lang w:val="en-AU"/>
        </w:rPr>
      </w:pPr>
      <w:r w:rsidRPr="00700241">
        <w:rPr>
          <w:lang w:val="en-AU"/>
        </w:rPr>
        <w:t>8</w:t>
      </w:r>
      <w:r w:rsidR="007564B3" w:rsidRPr="00700241">
        <w:rPr>
          <w:lang w:val="en-AU"/>
        </w:rPr>
        <w:t xml:space="preserve">.1 </w:t>
      </w:r>
      <w:r w:rsidR="00D318C8" w:rsidRPr="00700241">
        <w:rPr>
          <w:lang w:val="en-AU"/>
        </w:rPr>
        <w:t>Partner institutions</w:t>
      </w:r>
    </w:p>
    <w:p w14:paraId="3C11D22B" w14:textId="06751E21" w:rsidR="007564B3" w:rsidRPr="00700241" w:rsidRDefault="00D318C8" w:rsidP="007564B3">
      <w:pPr>
        <w:numPr>
          <w:ilvl w:val="0"/>
          <w:numId w:val="20"/>
        </w:numPr>
        <w:rPr>
          <w:lang w:val="en-AU"/>
        </w:rPr>
      </w:pPr>
      <w:r w:rsidRPr="00700241">
        <w:rPr>
          <w:lang w:val="en-AU"/>
        </w:rPr>
        <w:t>8</w:t>
      </w:r>
      <w:r w:rsidR="007564B3" w:rsidRPr="00700241">
        <w:rPr>
          <w:lang w:val="en-AU"/>
        </w:rPr>
        <w:t>.2</w:t>
      </w:r>
      <w:r w:rsidR="00777082" w:rsidRPr="00700241">
        <w:rPr>
          <w:lang w:val="en-AU"/>
        </w:rPr>
        <w:t>a</w:t>
      </w:r>
      <w:r w:rsidR="007564B3" w:rsidRPr="00700241">
        <w:rPr>
          <w:lang w:val="en-AU"/>
        </w:rPr>
        <w:t xml:space="preserve"> </w:t>
      </w:r>
      <w:r w:rsidR="00C84FDA" w:rsidRPr="00700241">
        <w:rPr>
          <w:lang w:val="en-AU"/>
        </w:rPr>
        <w:t>Technical Assistance budget</w:t>
      </w:r>
    </w:p>
    <w:p w14:paraId="12B8914E" w14:textId="5EBA7711" w:rsidR="007564B3" w:rsidRPr="00700241" w:rsidRDefault="00C84FDA" w:rsidP="007564B3">
      <w:pPr>
        <w:numPr>
          <w:ilvl w:val="0"/>
          <w:numId w:val="20"/>
        </w:numPr>
        <w:rPr>
          <w:lang w:val="en-AU"/>
        </w:rPr>
      </w:pPr>
      <w:r w:rsidRPr="00700241">
        <w:rPr>
          <w:lang w:val="en-AU"/>
        </w:rPr>
        <w:t>8</w:t>
      </w:r>
      <w:r w:rsidR="007564B3" w:rsidRPr="00700241">
        <w:rPr>
          <w:lang w:val="en-AU"/>
        </w:rPr>
        <w:t>.</w:t>
      </w:r>
      <w:r w:rsidR="00777082" w:rsidRPr="00700241">
        <w:rPr>
          <w:lang w:val="en-AU"/>
        </w:rPr>
        <w:t>2b</w:t>
      </w:r>
      <w:r w:rsidR="007564B3" w:rsidRPr="00700241">
        <w:rPr>
          <w:lang w:val="en-AU"/>
        </w:rPr>
        <w:t xml:space="preserve"> </w:t>
      </w:r>
      <w:r w:rsidR="00777082" w:rsidRPr="00700241">
        <w:rPr>
          <w:lang w:val="en-AU"/>
        </w:rPr>
        <w:t>Technical Assistance budget</w:t>
      </w:r>
      <w:r w:rsidR="001C2AD6" w:rsidRPr="00700241">
        <w:rPr>
          <w:lang w:val="en-AU"/>
        </w:rPr>
        <w:t xml:space="preserve"> allocated</w:t>
      </w:r>
    </w:p>
    <w:p w14:paraId="71A968B6" w14:textId="36CED740" w:rsidR="00A370AB" w:rsidRPr="00700241" w:rsidRDefault="001C2AD6" w:rsidP="001C2AD6">
      <w:pPr>
        <w:numPr>
          <w:ilvl w:val="0"/>
          <w:numId w:val="20"/>
        </w:numPr>
        <w:rPr>
          <w:lang w:val="en-IE"/>
        </w:rPr>
      </w:pPr>
      <w:r w:rsidRPr="00700241">
        <w:rPr>
          <w:lang w:val="en-AU"/>
        </w:rPr>
        <w:t>8.2c Technical Assistance budget mobilised</w:t>
      </w:r>
    </w:p>
    <w:p w14:paraId="1AF9A6CD" w14:textId="77777777" w:rsidR="007564B3" w:rsidRPr="00700241" w:rsidRDefault="007564B3" w:rsidP="00A370AB">
      <w:pPr>
        <w:rPr>
          <w:lang w:val="en-IE"/>
        </w:rPr>
      </w:pPr>
    </w:p>
    <w:p w14:paraId="35CE57F5" w14:textId="5A812F84" w:rsidR="001852A9" w:rsidRPr="00700241" w:rsidRDefault="001852A9" w:rsidP="001852A9">
      <w:pPr>
        <w:pStyle w:val="Heading2simple"/>
      </w:pPr>
      <w:bookmarkStart w:id="49" w:name="_Toc103271318"/>
      <w:r w:rsidRPr="00700241">
        <w:t>OPI 8.1 Partner institutions</w:t>
      </w:r>
      <w:bookmarkEnd w:id="49"/>
    </w:p>
    <w:p w14:paraId="5FD3B755" w14:textId="279FC9E6" w:rsidR="001852A9" w:rsidRPr="00700241" w:rsidRDefault="001852A9" w:rsidP="00BB55EF">
      <w:pPr>
        <w:pStyle w:val="Body"/>
      </w:pPr>
      <w:r w:rsidRPr="00700241">
        <w:t xml:space="preserve"># </w:t>
      </w:r>
      <w:proofErr w:type="gramStart"/>
      <w:r w:rsidRPr="00700241">
        <w:t>organi</w:t>
      </w:r>
      <w:r w:rsidR="000D1894" w:rsidRPr="00700241">
        <w:t>s</w:t>
      </w:r>
      <w:r w:rsidRPr="00700241">
        <w:t>ations</w:t>
      </w:r>
      <w:proofErr w:type="gramEnd"/>
      <w:r w:rsidRPr="00700241">
        <w:t xml:space="preserve"> with which </w:t>
      </w:r>
      <w:r w:rsidR="00F14943" w:rsidRPr="00700241">
        <w:t>&amp;Green</w:t>
      </w:r>
      <w:r w:rsidRPr="00700241">
        <w:t xml:space="preserve"> has a formal partnership to protect and restore tropical forests.</w:t>
      </w:r>
    </w:p>
    <w:p w14:paraId="3673CF9A" w14:textId="6C662493" w:rsidR="00070AAD" w:rsidRPr="00700241" w:rsidRDefault="00D03219" w:rsidP="00070AAD">
      <w:pPr>
        <w:rPr>
          <w:bCs/>
          <w:lang w:val="en-AU"/>
        </w:rPr>
      </w:pPr>
      <w:r>
        <w:rPr>
          <w:bCs/>
          <w:lang w:val="en-AU"/>
        </w:rPr>
        <w:t>OPI8.1</w:t>
      </w:r>
      <w:r w:rsidR="00070AAD" w:rsidRPr="00700241">
        <w:rPr>
          <w:bCs/>
          <w:lang w:val="en-AU"/>
        </w:rPr>
        <w:t xml:space="preserve"> reports all formal partnerships &amp;Green has established to pursue its operations, with private</w:t>
      </w:r>
      <w:r w:rsidR="000D3181" w:rsidRPr="00700241">
        <w:rPr>
          <w:bCs/>
          <w:lang w:val="en-AU"/>
        </w:rPr>
        <w:t xml:space="preserve"> sector</w:t>
      </w:r>
      <w:r w:rsidR="00070AAD" w:rsidRPr="00700241">
        <w:rPr>
          <w:bCs/>
          <w:lang w:val="en-AU"/>
        </w:rPr>
        <w:t>, public</w:t>
      </w:r>
      <w:r w:rsidR="000D3181" w:rsidRPr="00700241">
        <w:rPr>
          <w:bCs/>
          <w:lang w:val="en-AU"/>
        </w:rPr>
        <w:t xml:space="preserve"> sector</w:t>
      </w:r>
      <w:r w:rsidR="00070AAD" w:rsidRPr="00700241">
        <w:rPr>
          <w:bCs/>
          <w:lang w:val="en-AU"/>
        </w:rPr>
        <w:t>, NGOs,</w:t>
      </w:r>
      <w:r w:rsidR="00C73F3F" w:rsidRPr="00700241">
        <w:rPr>
          <w:bCs/>
          <w:lang w:val="en-AU"/>
        </w:rPr>
        <w:t xml:space="preserve"> and other organisations</w:t>
      </w:r>
      <w:r w:rsidR="00070AAD" w:rsidRPr="00700241">
        <w:rPr>
          <w:bCs/>
          <w:lang w:val="en-AU"/>
        </w:rPr>
        <w:t>.</w:t>
      </w:r>
      <w:r w:rsidR="00723E46" w:rsidRPr="00700241">
        <w:rPr>
          <w:bCs/>
          <w:lang w:val="en-AU"/>
        </w:rPr>
        <w:t xml:space="preserve"> To be </w:t>
      </w:r>
      <w:r w:rsidR="000D3181" w:rsidRPr="00700241">
        <w:rPr>
          <w:bCs/>
          <w:lang w:val="en-AU"/>
        </w:rPr>
        <w:t xml:space="preserve">included </w:t>
      </w:r>
      <w:r w:rsidR="00723E46" w:rsidRPr="00700241">
        <w:rPr>
          <w:bCs/>
          <w:lang w:val="en-AU"/>
        </w:rPr>
        <w:t xml:space="preserve">as a </w:t>
      </w:r>
      <w:r w:rsidR="00723E46" w:rsidRPr="00700241">
        <w:rPr>
          <w:bCs/>
          <w:i/>
          <w:iCs/>
          <w:lang w:val="en-AU"/>
        </w:rPr>
        <w:t>formal</w:t>
      </w:r>
      <w:r w:rsidR="00723E46" w:rsidRPr="00700241">
        <w:rPr>
          <w:bCs/>
          <w:lang w:val="en-AU"/>
        </w:rPr>
        <w:t xml:space="preserve"> partnership, &amp;Green must have </w:t>
      </w:r>
      <w:r w:rsidR="00C73F3F" w:rsidRPr="00700241">
        <w:rPr>
          <w:bCs/>
          <w:lang w:val="en-AU"/>
        </w:rPr>
        <w:t xml:space="preserve">a </w:t>
      </w:r>
      <w:r w:rsidR="00723E46" w:rsidRPr="00700241">
        <w:rPr>
          <w:bCs/>
          <w:lang w:val="en-AU"/>
        </w:rPr>
        <w:t xml:space="preserve">signed legal agreement (for example: MoU, </w:t>
      </w:r>
      <w:proofErr w:type="spellStart"/>
      <w:r w:rsidR="00723E46" w:rsidRPr="00700241">
        <w:rPr>
          <w:bCs/>
          <w:lang w:val="en-AU"/>
        </w:rPr>
        <w:t>LoI</w:t>
      </w:r>
      <w:proofErr w:type="spellEnd"/>
      <w:r w:rsidR="00723E46" w:rsidRPr="00700241">
        <w:rPr>
          <w:bCs/>
          <w:lang w:val="en-AU"/>
        </w:rPr>
        <w:t>, partnership agreement, etc.) which may be binding or non-binding.</w:t>
      </w:r>
    </w:p>
    <w:p w14:paraId="13F025F5" w14:textId="2C16A918" w:rsidR="00070AAD" w:rsidRPr="00700241" w:rsidRDefault="00070AAD" w:rsidP="00070AAD">
      <w:pPr>
        <w:rPr>
          <w:bCs/>
          <w:lang w:val="en-AU"/>
        </w:rPr>
      </w:pPr>
      <w:r w:rsidRPr="00700241">
        <w:rPr>
          <w:bCs/>
          <w:lang w:val="en-AU"/>
        </w:rPr>
        <w:t xml:space="preserve">This indicator excludes contractual agreements </w:t>
      </w:r>
      <w:proofErr w:type="gramStart"/>
      <w:r w:rsidRPr="00700241">
        <w:rPr>
          <w:bCs/>
          <w:lang w:val="en-AU"/>
        </w:rPr>
        <w:t>with</w:t>
      </w:r>
      <w:r w:rsidR="004E1F16" w:rsidRPr="00700241">
        <w:rPr>
          <w:bCs/>
          <w:lang w:val="en-AU"/>
        </w:rPr>
        <w:t>:</w:t>
      </w:r>
      <w:proofErr w:type="gramEnd"/>
      <w:r w:rsidRPr="00700241">
        <w:rPr>
          <w:bCs/>
          <w:lang w:val="en-AU"/>
        </w:rPr>
        <w:t xml:space="preserve"> investors </w:t>
      </w:r>
      <w:r w:rsidR="00DD1503" w:rsidRPr="00700241">
        <w:rPr>
          <w:bCs/>
          <w:lang w:val="en-AU"/>
        </w:rPr>
        <w:t>in &amp;Green</w:t>
      </w:r>
      <w:r w:rsidR="004E1F16" w:rsidRPr="00700241">
        <w:rPr>
          <w:bCs/>
          <w:lang w:val="en-AU"/>
        </w:rPr>
        <w:t>;</w:t>
      </w:r>
      <w:r w:rsidRPr="00700241">
        <w:rPr>
          <w:bCs/>
          <w:lang w:val="en-AU"/>
        </w:rPr>
        <w:t xml:space="preserve"> </w:t>
      </w:r>
      <w:r w:rsidR="00DD1503" w:rsidRPr="00700241">
        <w:rPr>
          <w:bCs/>
          <w:lang w:val="en-AU"/>
        </w:rPr>
        <w:t>Clients</w:t>
      </w:r>
      <w:r w:rsidR="004E1F16" w:rsidRPr="00700241">
        <w:rPr>
          <w:bCs/>
          <w:lang w:val="en-AU"/>
        </w:rPr>
        <w:t>; and</w:t>
      </w:r>
      <w:r w:rsidRPr="00700241">
        <w:rPr>
          <w:bCs/>
          <w:lang w:val="en-AU"/>
        </w:rPr>
        <w:t xml:space="preserve"> specific service providers (i.e. consultancies). </w:t>
      </w:r>
    </w:p>
    <w:p w14:paraId="0D1346D5" w14:textId="0C24AE18" w:rsidR="00583663" w:rsidRPr="00583663" w:rsidRDefault="00070AAD" w:rsidP="00532BCC">
      <w:pPr>
        <w:rPr>
          <w:bCs/>
          <w:lang w:val="en-AU"/>
        </w:rPr>
      </w:pPr>
      <w:r w:rsidRPr="00700241">
        <w:rPr>
          <w:bCs/>
          <w:lang w:val="en-AU"/>
        </w:rPr>
        <w:t xml:space="preserve">This is a cumulative indicator for the portfolio and related management of the Fund. It includes partnerships that have ‘expired’, that is, a partnership remains included even after the expiry date of the agreement. </w:t>
      </w:r>
    </w:p>
    <w:tbl>
      <w:tblPr>
        <w:tblStyle w:val="TableGrid"/>
        <w:tblW w:w="8801" w:type="dxa"/>
        <w:tblLook w:val="04A0" w:firstRow="1" w:lastRow="0" w:firstColumn="1" w:lastColumn="0" w:noHBand="0" w:noVBand="1"/>
      </w:tblPr>
      <w:tblGrid>
        <w:gridCol w:w="3794"/>
        <w:gridCol w:w="1559"/>
        <w:gridCol w:w="1843"/>
        <w:gridCol w:w="1605"/>
      </w:tblGrid>
      <w:tr w:rsidR="001852A9" w:rsidRPr="00700241" w14:paraId="69193E23" w14:textId="77777777" w:rsidTr="007062DF">
        <w:trPr>
          <w:cnfStyle w:val="100000000000" w:firstRow="1" w:lastRow="0" w:firstColumn="0" w:lastColumn="0" w:oddVBand="0" w:evenVBand="0" w:oddHBand="0" w:evenHBand="0" w:firstRowFirstColumn="0" w:firstRowLastColumn="0" w:lastRowFirstColumn="0" w:lastRowLastColumn="0"/>
        </w:trPr>
        <w:tc>
          <w:tcPr>
            <w:tcW w:w="3794" w:type="dxa"/>
          </w:tcPr>
          <w:p w14:paraId="465FE6AF" w14:textId="4D9D625D" w:rsidR="001852A9" w:rsidRPr="00700241" w:rsidRDefault="001852A9" w:rsidP="001852A9">
            <w:pPr>
              <w:rPr>
                <w:bCs/>
                <w:lang w:val="en-AU"/>
              </w:rPr>
            </w:pPr>
            <w:r w:rsidRPr="00700241">
              <w:rPr>
                <w:bCs/>
                <w:lang w:val="en-AU"/>
              </w:rPr>
              <w:t>Data point</w:t>
            </w:r>
            <w:r w:rsidR="00532BCC" w:rsidRPr="00700241">
              <w:rPr>
                <w:bCs/>
                <w:lang w:val="en-AU"/>
              </w:rPr>
              <w:t>S</w:t>
            </w:r>
          </w:p>
        </w:tc>
        <w:tc>
          <w:tcPr>
            <w:tcW w:w="1559" w:type="dxa"/>
          </w:tcPr>
          <w:p w14:paraId="6821B172" w14:textId="175F0DC4" w:rsidR="001852A9" w:rsidRPr="00700241" w:rsidRDefault="007062DF" w:rsidP="001852A9">
            <w:pPr>
              <w:rPr>
                <w:bCs/>
                <w:lang w:val="en-AU"/>
              </w:rPr>
            </w:pPr>
            <w:r w:rsidRPr="00700241">
              <w:rPr>
                <w:bCs/>
                <w:lang w:val="en-AU"/>
              </w:rPr>
              <w:t>METRIC</w:t>
            </w:r>
          </w:p>
        </w:tc>
        <w:tc>
          <w:tcPr>
            <w:tcW w:w="1843" w:type="dxa"/>
          </w:tcPr>
          <w:p w14:paraId="6FA15580" w14:textId="77777777" w:rsidR="001852A9" w:rsidRPr="00700241" w:rsidRDefault="001852A9" w:rsidP="001852A9">
            <w:pPr>
              <w:rPr>
                <w:bCs/>
                <w:lang w:val="en-AU"/>
              </w:rPr>
            </w:pPr>
            <w:r w:rsidRPr="00700241">
              <w:rPr>
                <w:bCs/>
                <w:lang w:val="en-AU"/>
              </w:rPr>
              <w:t>Data source</w:t>
            </w:r>
          </w:p>
        </w:tc>
        <w:tc>
          <w:tcPr>
            <w:tcW w:w="1605" w:type="dxa"/>
          </w:tcPr>
          <w:p w14:paraId="1B5A0FB4" w14:textId="77777777" w:rsidR="001852A9" w:rsidRPr="00700241" w:rsidRDefault="001852A9" w:rsidP="001852A9">
            <w:pPr>
              <w:rPr>
                <w:bCs/>
                <w:lang w:val="en-AU"/>
              </w:rPr>
            </w:pPr>
            <w:r w:rsidRPr="00700241">
              <w:rPr>
                <w:bCs/>
                <w:lang w:val="en-AU"/>
              </w:rPr>
              <w:t>Owner</w:t>
            </w:r>
          </w:p>
        </w:tc>
      </w:tr>
      <w:tr w:rsidR="001852A9" w:rsidRPr="00700241" w14:paraId="0C40C354" w14:textId="77777777" w:rsidTr="007062DF">
        <w:tc>
          <w:tcPr>
            <w:tcW w:w="3794" w:type="dxa"/>
          </w:tcPr>
          <w:p w14:paraId="0871A514" w14:textId="5E9A19A3" w:rsidR="001852A9" w:rsidRPr="00700241" w:rsidRDefault="001852A9" w:rsidP="001852A9">
            <w:r w:rsidRPr="00700241">
              <w:t>Organisations which have signed a formal agreement with &amp;Green.</w:t>
            </w:r>
          </w:p>
        </w:tc>
        <w:tc>
          <w:tcPr>
            <w:tcW w:w="1559" w:type="dxa"/>
          </w:tcPr>
          <w:p w14:paraId="0AD69403" w14:textId="315795D8" w:rsidR="001852A9" w:rsidRPr="00700241" w:rsidRDefault="00532BCC" w:rsidP="00532BCC">
            <w:pPr>
              <w:jc w:val="center"/>
              <w:rPr>
                <w:lang w:val="en-AU"/>
              </w:rPr>
            </w:pPr>
            <w:r w:rsidRPr="00700241">
              <w:rPr>
                <w:lang w:val="en-AU"/>
              </w:rPr>
              <w:t>#</w:t>
            </w:r>
          </w:p>
          <w:p w14:paraId="64F8DCDA" w14:textId="77777777" w:rsidR="001852A9" w:rsidRPr="00700241" w:rsidRDefault="001852A9" w:rsidP="00532BCC">
            <w:pPr>
              <w:jc w:val="center"/>
              <w:rPr>
                <w:lang w:val="en-AU"/>
              </w:rPr>
            </w:pPr>
            <w:r w:rsidRPr="00700241">
              <w:rPr>
                <w:lang w:val="en-AU"/>
              </w:rPr>
              <w:t>(cumulative)</w:t>
            </w:r>
          </w:p>
        </w:tc>
        <w:tc>
          <w:tcPr>
            <w:tcW w:w="1843" w:type="dxa"/>
          </w:tcPr>
          <w:p w14:paraId="3A3D8604" w14:textId="77777777" w:rsidR="001852A9" w:rsidRPr="00700241" w:rsidRDefault="001852A9" w:rsidP="001852A9">
            <w:pPr>
              <w:rPr>
                <w:rStyle w:val="Wordboldgreen"/>
                <w:b w:val="0"/>
                <w:bCs/>
                <w:color w:val="auto"/>
                <w:lang w:val="en-AU"/>
              </w:rPr>
            </w:pPr>
            <w:r w:rsidRPr="00700241">
              <w:rPr>
                <w:rStyle w:val="Wordboldgreen"/>
                <w:b w:val="0"/>
                <w:bCs/>
                <w:color w:val="auto"/>
                <w:lang w:val="en-AU"/>
              </w:rPr>
              <w:t>Legal database</w:t>
            </w:r>
          </w:p>
        </w:tc>
        <w:tc>
          <w:tcPr>
            <w:tcW w:w="1605" w:type="dxa"/>
          </w:tcPr>
          <w:p w14:paraId="654B13BA" w14:textId="23DECD36" w:rsidR="001852A9" w:rsidRPr="00700241" w:rsidRDefault="012D6B2A" w:rsidP="6DEE8394">
            <w:pPr>
              <w:spacing w:line="259" w:lineRule="auto"/>
              <w:rPr>
                <w:lang w:val="en-AU"/>
              </w:rPr>
            </w:pPr>
            <w:r w:rsidRPr="012D6B2A">
              <w:rPr>
                <w:lang w:val="en-AU"/>
              </w:rPr>
              <w:t>&amp;Green</w:t>
            </w:r>
          </w:p>
        </w:tc>
      </w:tr>
    </w:tbl>
    <w:p w14:paraId="5866EFEF" w14:textId="77777777" w:rsidR="00583663" w:rsidRPr="00700241" w:rsidRDefault="00583663" w:rsidP="001852A9">
      <w:pPr>
        <w:rPr>
          <w:lang w:val="en-AU"/>
        </w:rPr>
      </w:pPr>
    </w:p>
    <w:p w14:paraId="50B36E02" w14:textId="4B3E8BC3" w:rsidR="001852A9" w:rsidRPr="00700241" w:rsidRDefault="001852A9" w:rsidP="001852A9">
      <w:pPr>
        <w:pStyle w:val="Heading2simple"/>
      </w:pPr>
      <w:bookmarkStart w:id="50" w:name="_Toc103271319"/>
      <w:r w:rsidRPr="00700241">
        <w:t>OPI 8.2a Technical Assistance budget</w:t>
      </w:r>
      <w:bookmarkEnd w:id="50"/>
    </w:p>
    <w:p w14:paraId="4BE67E5A" w14:textId="7E99E9B3" w:rsidR="001852A9" w:rsidRPr="00700241" w:rsidRDefault="001852A9" w:rsidP="001852A9">
      <w:pPr>
        <w:rPr>
          <w:lang w:val="en-AU"/>
        </w:rPr>
      </w:pPr>
      <w:r w:rsidRPr="00700241">
        <w:rPr>
          <w:lang w:val="en-AU"/>
        </w:rPr>
        <w:t xml:space="preserve">USD </w:t>
      </w:r>
      <w:r w:rsidR="00C23DED" w:rsidRPr="00700241">
        <w:rPr>
          <w:lang w:val="en-AU"/>
        </w:rPr>
        <w:t xml:space="preserve">of </w:t>
      </w:r>
      <w:r w:rsidRPr="00700241">
        <w:rPr>
          <w:lang w:val="en-AU"/>
        </w:rPr>
        <w:t xml:space="preserve">Technical Assistance </w:t>
      </w:r>
      <w:r w:rsidR="00C23DED" w:rsidRPr="00700241">
        <w:rPr>
          <w:lang w:val="en-AU"/>
        </w:rPr>
        <w:t>resources available to &amp;Green operations</w:t>
      </w:r>
    </w:p>
    <w:p w14:paraId="26A43EAB" w14:textId="21EB2FEB" w:rsidR="006F6927" w:rsidRPr="00700241" w:rsidRDefault="006F6927" w:rsidP="006F6927">
      <w:pPr>
        <w:rPr>
          <w:bCs/>
          <w:lang w:val="en-AU"/>
        </w:rPr>
      </w:pPr>
      <w:r w:rsidRPr="00700241">
        <w:rPr>
          <w:bCs/>
          <w:lang w:val="en-AU"/>
        </w:rPr>
        <w:t xml:space="preserve">OPI8.2a </w:t>
      </w:r>
      <w:r w:rsidR="00FF0CC7" w:rsidRPr="00700241">
        <w:rPr>
          <w:bCs/>
          <w:lang w:val="en-AU"/>
        </w:rPr>
        <w:t>reports</w:t>
      </w:r>
      <w:r w:rsidRPr="00700241">
        <w:rPr>
          <w:bCs/>
          <w:lang w:val="en-AU"/>
        </w:rPr>
        <w:t xml:space="preserve"> all funding that can be made available for TA projects within the &amp;Green TA account. TA funding is preserved in a </w:t>
      </w:r>
      <w:r w:rsidR="00C500BF" w:rsidRPr="00700241">
        <w:rPr>
          <w:bCs/>
          <w:lang w:val="en-AU"/>
        </w:rPr>
        <w:t xml:space="preserve">separate </w:t>
      </w:r>
      <w:r w:rsidRPr="00700241">
        <w:rPr>
          <w:bCs/>
          <w:lang w:val="en-AU"/>
        </w:rPr>
        <w:t xml:space="preserve">bank account managed by </w:t>
      </w:r>
      <w:r w:rsidR="00C500BF" w:rsidRPr="00700241">
        <w:rPr>
          <w:bCs/>
          <w:lang w:val="en-AU"/>
        </w:rPr>
        <w:t>&amp;</w:t>
      </w:r>
      <w:proofErr w:type="gramStart"/>
      <w:r w:rsidR="00C500BF" w:rsidRPr="00700241">
        <w:rPr>
          <w:bCs/>
          <w:lang w:val="en-AU"/>
        </w:rPr>
        <w:t>Green,</w:t>
      </w:r>
      <w:r w:rsidRPr="00700241">
        <w:rPr>
          <w:bCs/>
          <w:lang w:val="en-AU"/>
        </w:rPr>
        <w:t xml:space="preserve"> and</w:t>
      </w:r>
      <w:proofErr w:type="gramEnd"/>
      <w:r w:rsidRPr="00700241">
        <w:rPr>
          <w:bCs/>
          <w:lang w:val="en-AU"/>
        </w:rPr>
        <w:t xml:space="preserve"> can only be spent on projects eligible as per &amp;Green’s TA guidelines. </w:t>
      </w:r>
    </w:p>
    <w:p w14:paraId="046A0542" w14:textId="2964E164" w:rsidR="006F6927" w:rsidRPr="00700241" w:rsidRDefault="006F6927" w:rsidP="006F6927">
      <w:pPr>
        <w:rPr>
          <w:bCs/>
          <w:lang w:val="en-AU"/>
        </w:rPr>
      </w:pPr>
      <w:r w:rsidRPr="00700241">
        <w:rPr>
          <w:bCs/>
          <w:lang w:val="en-AU"/>
        </w:rPr>
        <w:t xml:space="preserve">The funds available for TA </w:t>
      </w:r>
      <w:r w:rsidR="00E45FC6" w:rsidRPr="00700241">
        <w:rPr>
          <w:bCs/>
          <w:lang w:val="en-AU"/>
        </w:rPr>
        <w:t xml:space="preserve">is </w:t>
      </w:r>
      <w:r w:rsidRPr="00700241">
        <w:rPr>
          <w:bCs/>
          <w:lang w:val="en-AU"/>
        </w:rPr>
        <w:t xml:space="preserve">the sum of all funding available in the TA account, </w:t>
      </w:r>
      <w:r w:rsidRPr="00700241">
        <w:rPr>
          <w:bCs/>
          <w:i/>
          <w:iCs/>
          <w:lang w:val="en-AU"/>
        </w:rPr>
        <w:t>minus</w:t>
      </w:r>
      <w:r w:rsidRPr="00700241">
        <w:rPr>
          <w:bCs/>
          <w:lang w:val="en-AU"/>
        </w:rPr>
        <w:t xml:space="preserve"> the TA funds that have been contracted and are therefore expected to be spent, </w:t>
      </w:r>
      <w:r w:rsidRPr="00700241">
        <w:rPr>
          <w:bCs/>
          <w:i/>
          <w:iCs/>
          <w:lang w:val="en-AU"/>
        </w:rPr>
        <w:t>plus</w:t>
      </w:r>
      <w:r w:rsidRPr="00700241">
        <w:rPr>
          <w:bCs/>
          <w:lang w:val="en-AU"/>
        </w:rPr>
        <w:t xml:space="preserve"> the TA funds that ha</w:t>
      </w:r>
      <w:r w:rsidR="00901AF7" w:rsidRPr="00700241">
        <w:rPr>
          <w:bCs/>
          <w:lang w:val="en-AU"/>
        </w:rPr>
        <w:t>ve</w:t>
      </w:r>
      <w:r w:rsidRPr="00700241">
        <w:rPr>
          <w:bCs/>
          <w:lang w:val="en-AU"/>
        </w:rPr>
        <w:t xml:space="preserve"> been contracted as reimbursable grants</w:t>
      </w:r>
      <w:r w:rsidR="00901AF7" w:rsidRPr="00700241">
        <w:rPr>
          <w:bCs/>
          <w:lang w:val="en-AU"/>
        </w:rPr>
        <w:t>,</w:t>
      </w:r>
      <w:r w:rsidRPr="00700241">
        <w:rPr>
          <w:bCs/>
          <w:lang w:val="en-AU"/>
        </w:rPr>
        <w:t xml:space="preserve"> and which are confirmed as receivables.</w:t>
      </w:r>
    </w:p>
    <w:tbl>
      <w:tblPr>
        <w:tblStyle w:val="TableGrid"/>
        <w:tblW w:w="8801" w:type="dxa"/>
        <w:tblLook w:val="04A0" w:firstRow="1" w:lastRow="0" w:firstColumn="1" w:lastColumn="0" w:noHBand="0" w:noVBand="1"/>
      </w:tblPr>
      <w:tblGrid>
        <w:gridCol w:w="3227"/>
        <w:gridCol w:w="1341"/>
        <w:gridCol w:w="2323"/>
        <w:gridCol w:w="1910"/>
      </w:tblGrid>
      <w:tr w:rsidR="001852A9" w:rsidRPr="00700241" w14:paraId="7300EB08" w14:textId="77777777" w:rsidTr="00583663">
        <w:trPr>
          <w:cnfStyle w:val="100000000000" w:firstRow="1" w:lastRow="0" w:firstColumn="0" w:lastColumn="0" w:oddVBand="0" w:evenVBand="0" w:oddHBand="0" w:evenHBand="0" w:firstRowFirstColumn="0" w:firstRowLastColumn="0" w:lastRowFirstColumn="0" w:lastRowLastColumn="0"/>
        </w:trPr>
        <w:tc>
          <w:tcPr>
            <w:tcW w:w="3227" w:type="dxa"/>
          </w:tcPr>
          <w:p w14:paraId="41996B70" w14:textId="43FEE206" w:rsidR="001852A9" w:rsidRPr="00700241" w:rsidRDefault="001852A9" w:rsidP="001852A9">
            <w:pPr>
              <w:rPr>
                <w:bCs/>
                <w:lang w:val="en-AU"/>
              </w:rPr>
            </w:pPr>
            <w:r w:rsidRPr="00700241">
              <w:rPr>
                <w:bCs/>
                <w:lang w:val="en-AU"/>
              </w:rPr>
              <w:t>Data point</w:t>
            </w:r>
            <w:r w:rsidR="00901AF7" w:rsidRPr="00700241">
              <w:rPr>
                <w:bCs/>
                <w:lang w:val="en-AU"/>
              </w:rPr>
              <w:t>S</w:t>
            </w:r>
          </w:p>
        </w:tc>
        <w:tc>
          <w:tcPr>
            <w:tcW w:w="1341" w:type="dxa"/>
          </w:tcPr>
          <w:p w14:paraId="35BB8174" w14:textId="61C08F5B" w:rsidR="001852A9" w:rsidRPr="00700241" w:rsidRDefault="00901AF7" w:rsidP="001852A9">
            <w:pPr>
              <w:rPr>
                <w:bCs/>
                <w:lang w:val="en-AU"/>
              </w:rPr>
            </w:pPr>
            <w:r w:rsidRPr="00700241">
              <w:rPr>
                <w:bCs/>
                <w:lang w:val="en-AU"/>
              </w:rPr>
              <w:t>METRIC</w:t>
            </w:r>
          </w:p>
        </w:tc>
        <w:tc>
          <w:tcPr>
            <w:tcW w:w="2323" w:type="dxa"/>
          </w:tcPr>
          <w:p w14:paraId="756209D7" w14:textId="77777777" w:rsidR="001852A9" w:rsidRPr="00700241" w:rsidRDefault="001852A9" w:rsidP="001852A9">
            <w:pPr>
              <w:rPr>
                <w:bCs/>
                <w:lang w:val="en-AU"/>
              </w:rPr>
            </w:pPr>
            <w:r w:rsidRPr="00700241">
              <w:rPr>
                <w:bCs/>
                <w:lang w:val="en-AU"/>
              </w:rPr>
              <w:t>Data source</w:t>
            </w:r>
          </w:p>
        </w:tc>
        <w:tc>
          <w:tcPr>
            <w:tcW w:w="1910" w:type="dxa"/>
          </w:tcPr>
          <w:p w14:paraId="4D2080FB" w14:textId="77777777" w:rsidR="001852A9" w:rsidRPr="00700241" w:rsidRDefault="001852A9" w:rsidP="001852A9">
            <w:pPr>
              <w:rPr>
                <w:bCs/>
                <w:lang w:val="en-AU"/>
              </w:rPr>
            </w:pPr>
            <w:r w:rsidRPr="00700241">
              <w:rPr>
                <w:bCs/>
                <w:lang w:val="en-AU"/>
              </w:rPr>
              <w:t>Owner</w:t>
            </w:r>
          </w:p>
        </w:tc>
      </w:tr>
      <w:tr w:rsidR="001852A9" w:rsidRPr="00700241" w14:paraId="3D6BDCEF" w14:textId="77777777" w:rsidTr="00583663">
        <w:tc>
          <w:tcPr>
            <w:tcW w:w="3227" w:type="dxa"/>
          </w:tcPr>
          <w:p w14:paraId="0545878C" w14:textId="1CF054B1" w:rsidR="001852A9" w:rsidRPr="00700241" w:rsidRDefault="001852A9" w:rsidP="001852A9">
            <w:r w:rsidRPr="00700241">
              <w:t xml:space="preserve">Funds available in the TA account of &amp;Green </w:t>
            </w:r>
          </w:p>
        </w:tc>
        <w:tc>
          <w:tcPr>
            <w:tcW w:w="1341" w:type="dxa"/>
          </w:tcPr>
          <w:p w14:paraId="576DC03A" w14:textId="78B61D6A" w:rsidR="001852A9" w:rsidRPr="00700241" w:rsidRDefault="00901AF7" w:rsidP="009C7935">
            <w:pPr>
              <w:jc w:val="center"/>
              <w:rPr>
                <w:lang w:val="en-AU"/>
              </w:rPr>
            </w:pPr>
            <w:r w:rsidRPr="00700241">
              <w:rPr>
                <w:lang w:val="en-AU"/>
              </w:rPr>
              <w:t>USD</w:t>
            </w:r>
          </w:p>
        </w:tc>
        <w:tc>
          <w:tcPr>
            <w:tcW w:w="2323" w:type="dxa"/>
          </w:tcPr>
          <w:p w14:paraId="28745E05" w14:textId="4AEDCD5C" w:rsidR="001852A9" w:rsidRPr="00700241" w:rsidRDefault="001852A9" w:rsidP="001852A9">
            <w:pPr>
              <w:rPr>
                <w:b/>
                <w:bCs/>
                <w:lang w:val="en-AU"/>
              </w:rPr>
            </w:pPr>
            <w:r w:rsidRPr="00700241">
              <w:rPr>
                <w:lang w:val="en-AU"/>
              </w:rPr>
              <w:t>Bank statement of &amp;Green TA account</w:t>
            </w:r>
          </w:p>
        </w:tc>
        <w:tc>
          <w:tcPr>
            <w:tcW w:w="1910" w:type="dxa"/>
          </w:tcPr>
          <w:p w14:paraId="13479D57" w14:textId="26E3FF57" w:rsidR="001852A9" w:rsidRPr="00700241" w:rsidRDefault="10E80059" w:rsidP="001852A9">
            <w:pPr>
              <w:rPr>
                <w:lang w:val="en-AU"/>
              </w:rPr>
            </w:pPr>
            <w:r w:rsidRPr="10E80059">
              <w:rPr>
                <w:lang w:val="en-AU"/>
              </w:rPr>
              <w:t xml:space="preserve">SAIL Ventures </w:t>
            </w:r>
          </w:p>
        </w:tc>
      </w:tr>
      <w:tr w:rsidR="001852A9" w:rsidRPr="00700241" w14:paraId="75424CB0" w14:textId="77777777" w:rsidTr="00583663">
        <w:tc>
          <w:tcPr>
            <w:tcW w:w="3227" w:type="dxa"/>
            <w:tcBorders>
              <w:bottom w:val="single" w:sz="4" w:space="0" w:color="F2F2F2" w:themeColor="background1" w:themeShade="F2"/>
            </w:tcBorders>
          </w:tcPr>
          <w:p w14:paraId="6E079DDB" w14:textId="77777777" w:rsidR="001852A9" w:rsidRPr="00700241" w:rsidRDefault="001852A9" w:rsidP="001852A9">
            <w:r w:rsidRPr="00700241">
              <w:t>TA funding contracted</w:t>
            </w:r>
          </w:p>
        </w:tc>
        <w:tc>
          <w:tcPr>
            <w:tcW w:w="1341" w:type="dxa"/>
            <w:tcBorders>
              <w:bottom w:val="single" w:sz="4" w:space="0" w:color="F2F2F2" w:themeColor="background1" w:themeShade="F2"/>
            </w:tcBorders>
          </w:tcPr>
          <w:p w14:paraId="353FBD04" w14:textId="489EC7F8" w:rsidR="001852A9" w:rsidRPr="00700241" w:rsidRDefault="001852A9" w:rsidP="009C7935">
            <w:pPr>
              <w:jc w:val="center"/>
              <w:rPr>
                <w:lang w:val="en-AU"/>
              </w:rPr>
            </w:pPr>
            <w:r w:rsidRPr="00700241">
              <w:rPr>
                <w:lang w:val="en-AU"/>
              </w:rPr>
              <w:t>(</w:t>
            </w:r>
            <w:r w:rsidR="00A74BB1" w:rsidRPr="00700241">
              <w:rPr>
                <w:lang w:val="en-AU"/>
              </w:rPr>
              <w:t>USD</w:t>
            </w:r>
            <w:r w:rsidRPr="00700241">
              <w:rPr>
                <w:lang w:val="en-AU"/>
              </w:rPr>
              <w:t>)</w:t>
            </w:r>
            <w:r w:rsidR="00A74BB1" w:rsidRPr="00700241">
              <w:rPr>
                <w:rStyle w:val="FootnoteReference"/>
                <w:lang w:val="en-AU"/>
              </w:rPr>
              <w:footnoteReference w:id="32"/>
            </w:r>
          </w:p>
        </w:tc>
        <w:tc>
          <w:tcPr>
            <w:tcW w:w="2323" w:type="dxa"/>
            <w:tcBorders>
              <w:bottom w:val="single" w:sz="4" w:space="0" w:color="F2F2F2" w:themeColor="background1" w:themeShade="F2"/>
            </w:tcBorders>
          </w:tcPr>
          <w:p w14:paraId="69431000" w14:textId="77777777" w:rsidR="001852A9" w:rsidRPr="00700241" w:rsidRDefault="001852A9" w:rsidP="001852A9">
            <w:pPr>
              <w:rPr>
                <w:b/>
                <w:bCs/>
                <w:lang w:val="en-AU"/>
              </w:rPr>
            </w:pPr>
            <w:r w:rsidRPr="00700241">
              <w:rPr>
                <w:lang w:val="en-AU"/>
              </w:rPr>
              <w:t>TA tracking sheet</w:t>
            </w:r>
          </w:p>
        </w:tc>
        <w:tc>
          <w:tcPr>
            <w:tcW w:w="1910" w:type="dxa"/>
            <w:tcBorders>
              <w:bottom w:val="single" w:sz="4" w:space="0" w:color="F2F2F2" w:themeColor="background1" w:themeShade="F2"/>
            </w:tcBorders>
          </w:tcPr>
          <w:p w14:paraId="4CC9D020" w14:textId="683B780F" w:rsidR="001852A9" w:rsidRPr="00700241" w:rsidRDefault="5B5B0467" w:rsidP="001852A9">
            <w:pPr>
              <w:rPr>
                <w:lang w:val="en-AU"/>
              </w:rPr>
            </w:pPr>
            <w:r w:rsidRPr="5B5B0467">
              <w:rPr>
                <w:lang w:val="en-AU"/>
              </w:rPr>
              <w:t xml:space="preserve">SAIL Ventures </w:t>
            </w:r>
          </w:p>
        </w:tc>
      </w:tr>
      <w:tr w:rsidR="001852A9" w:rsidRPr="00700241" w14:paraId="10B1809F" w14:textId="77777777" w:rsidTr="00583663">
        <w:tc>
          <w:tcPr>
            <w:tcW w:w="3227" w:type="dxa"/>
            <w:tcBorders>
              <w:bottom w:val="single" w:sz="4" w:space="0" w:color="auto"/>
            </w:tcBorders>
          </w:tcPr>
          <w:p w14:paraId="0B84FFD1" w14:textId="27E61029" w:rsidR="001852A9" w:rsidRPr="00700241" w:rsidRDefault="001852A9" w:rsidP="001852A9">
            <w:r w:rsidRPr="00700241">
              <w:t>TA f</w:t>
            </w:r>
            <w:r w:rsidR="00065B3D" w:rsidRPr="00700241">
              <w:t>unding</w:t>
            </w:r>
            <w:r w:rsidRPr="00700241">
              <w:t xml:space="preserve"> contracted as reimbursable grants, confirmed as receivables.</w:t>
            </w:r>
          </w:p>
        </w:tc>
        <w:tc>
          <w:tcPr>
            <w:tcW w:w="1341" w:type="dxa"/>
            <w:tcBorders>
              <w:bottom w:val="single" w:sz="4" w:space="0" w:color="auto"/>
            </w:tcBorders>
          </w:tcPr>
          <w:p w14:paraId="08569C6B" w14:textId="582C1EE1" w:rsidR="001852A9" w:rsidRPr="00700241" w:rsidRDefault="00A74BB1" w:rsidP="009C7935">
            <w:pPr>
              <w:jc w:val="center"/>
              <w:rPr>
                <w:lang w:val="en-AU"/>
              </w:rPr>
            </w:pPr>
            <w:r w:rsidRPr="00700241">
              <w:rPr>
                <w:lang w:val="en-AU"/>
              </w:rPr>
              <w:t>USD</w:t>
            </w:r>
          </w:p>
        </w:tc>
        <w:tc>
          <w:tcPr>
            <w:tcW w:w="2323" w:type="dxa"/>
            <w:tcBorders>
              <w:bottom w:val="single" w:sz="4" w:space="0" w:color="auto"/>
            </w:tcBorders>
          </w:tcPr>
          <w:p w14:paraId="7DBB5DC7" w14:textId="77777777" w:rsidR="001852A9" w:rsidRPr="00700241" w:rsidRDefault="001852A9" w:rsidP="001852A9">
            <w:pPr>
              <w:rPr>
                <w:lang w:val="en-AU"/>
              </w:rPr>
            </w:pPr>
            <w:r w:rsidRPr="00700241">
              <w:rPr>
                <w:lang w:val="en-AU"/>
              </w:rPr>
              <w:t xml:space="preserve">TA tracking sheet </w:t>
            </w:r>
          </w:p>
          <w:p w14:paraId="1809A23E" w14:textId="77777777" w:rsidR="001852A9" w:rsidRPr="00700241" w:rsidRDefault="001852A9" w:rsidP="001852A9">
            <w:pPr>
              <w:rPr>
                <w:b/>
                <w:bCs/>
                <w:lang w:val="en-AU"/>
              </w:rPr>
            </w:pPr>
          </w:p>
        </w:tc>
        <w:tc>
          <w:tcPr>
            <w:tcW w:w="1910" w:type="dxa"/>
            <w:tcBorders>
              <w:bottom w:val="single" w:sz="4" w:space="0" w:color="auto"/>
            </w:tcBorders>
          </w:tcPr>
          <w:p w14:paraId="44A1DD3F" w14:textId="4C79C2E5" w:rsidR="001852A9" w:rsidRPr="00700241" w:rsidRDefault="5B5B0467" w:rsidP="001852A9">
            <w:pPr>
              <w:rPr>
                <w:lang w:val="en-AU"/>
              </w:rPr>
            </w:pPr>
            <w:r w:rsidRPr="5B5B0467">
              <w:rPr>
                <w:lang w:val="en-AU"/>
              </w:rPr>
              <w:t xml:space="preserve">SAIL Ventures </w:t>
            </w:r>
          </w:p>
        </w:tc>
      </w:tr>
      <w:tr w:rsidR="001852A9" w:rsidRPr="00700241" w14:paraId="73282E05" w14:textId="77777777" w:rsidTr="00583663">
        <w:tc>
          <w:tcPr>
            <w:tcW w:w="3227" w:type="dxa"/>
            <w:tcBorders>
              <w:top w:val="single" w:sz="4" w:space="0" w:color="auto"/>
            </w:tcBorders>
          </w:tcPr>
          <w:p w14:paraId="04A01939" w14:textId="75592439" w:rsidR="001852A9" w:rsidRPr="00700241" w:rsidRDefault="008A3996" w:rsidP="001852A9">
            <w:pPr>
              <w:rPr>
                <w:rStyle w:val="Wordboldgreen"/>
                <w:lang w:val="en-AU"/>
              </w:rPr>
            </w:pPr>
            <w:r w:rsidRPr="00700241">
              <w:rPr>
                <w:rStyle w:val="Wordboldgreen"/>
                <w:lang w:val="en-AU"/>
              </w:rPr>
              <w:t>F</w:t>
            </w:r>
            <w:r w:rsidR="001852A9" w:rsidRPr="00700241">
              <w:rPr>
                <w:rStyle w:val="Wordboldgreen"/>
                <w:lang w:val="en-AU"/>
              </w:rPr>
              <w:t>unding available for TA</w:t>
            </w:r>
          </w:p>
        </w:tc>
        <w:tc>
          <w:tcPr>
            <w:tcW w:w="1341" w:type="dxa"/>
            <w:tcBorders>
              <w:top w:val="single" w:sz="4" w:space="0" w:color="auto"/>
            </w:tcBorders>
          </w:tcPr>
          <w:p w14:paraId="0CF461CC" w14:textId="6B3F23D1" w:rsidR="001852A9" w:rsidRPr="00700241" w:rsidRDefault="00A74BB1" w:rsidP="009C7935">
            <w:pPr>
              <w:jc w:val="center"/>
              <w:rPr>
                <w:rStyle w:val="Wordboldgreen"/>
                <w:lang w:val="en-AU"/>
              </w:rPr>
            </w:pPr>
            <w:r w:rsidRPr="00700241">
              <w:rPr>
                <w:b/>
                <w:noProof/>
                <w:color w:val="034427"/>
                <w:lang w:val="en-AU"/>
              </w:rPr>
              <w:t>USD</w:t>
            </w:r>
          </w:p>
        </w:tc>
        <w:tc>
          <w:tcPr>
            <w:tcW w:w="2323" w:type="dxa"/>
            <w:tcBorders>
              <w:top w:val="single" w:sz="4" w:space="0" w:color="auto"/>
            </w:tcBorders>
          </w:tcPr>
          <w:p w14:paraId="5DC73874" w14:textId="28AF9FD7" w:rsidR="001852A9" w:rsidRPr="00700241" w:rsidRDefault="001852A9" w:rsidP="001852A9">
            <w:pPr>
              <w:rPr>
                <w:rStyle w:val="Wordboldgreen"/>
                <w:lang w:val="en-AU"/>
              </w:rPr>
            </w:pPr>
            <w:r w:rsidRPr="00700241">
              <w:rPr>
                <w:rStyle w:val="Wordboldgreen"/>
                <w:lang w:val="en-AU"/>
              </w:rPr>
              <w:t xml:space="preserve">TA tracking sheet </w:t>
            </w:r>
          </w:p>
        </w:tc>
        <w:tc>
          <w:tcPr>
            <w:tcW w:w="1910" w:type="dxa"/>
            <w:tcBorders>
              <w:top w:val="single" w:sz="4" w:space="0" w:color="auto"/>
            </w:tcBorders>
          </w:tcPr>
          <w:p w14:paraId="3ECDAB0F" w14:textId="77CF9012" w:rsidR="001852A9" w:rsidRPr="00700241" w:rsidRDefault="001852A9" w:rsidP="001852A9">
            <w:pPr>
              <w:rPr>
                <w:b/>
                <w:bCs/>
                <w:lang w:val="en-AU"/>
              </w:rPr>
            </w:pPr>
          </w:p>
        </w:tc>
      </w:tr>
    </w:tbl>
    <w:p w14:paraId="70CA3D72" w14:textId="2EB18655" w:rsidR="00B8042A" w:rsidRPr="00700241" w:rsidRDefault="00B8042A">
      <w:pPr>
        <w:spacing w:after="100"/>
        <w:rPr>
          <w:rFonts w:eastAsiaTheme="minorEastAsia"/>
          <w:b/>
          <w:bCs/>
          <w:color w:val="808080"/>
          <w:spacing w:val="15"/>
          <w:lang w:val="en-IE"/>
        </w:rPr>
      </w:pPr>
    </w:p>
    <w:p w14:paraId="519E59EB" w14:textId="3FE510DD" w:rsidR="001852A9" w:rsidRPr="00700241" w:rsidRDefault="001852A9" w:rsidP="00564CAA">
      <w:pPr>
        <w:pStyle w:val="Heading2simple"/>
      </w:pPr>
      <w:bookmarkStart w:id="51" w:name="_Toc103271320"/>
      <w:r w:rsidRPr="00700241">
        <w:t>OPI 8.2b Technical Assistance budget allocated</w:t>
      </w:r>
      <w:bookmarkEnd w:id="51"/>
    </w:p>
    <w:p w14:paraId="3562E325" w14:textId="03C0E754" w:rsidR="001852A9" w:rsidRPr="00700241" w:rsidRDefault="001852A9" w:rsidP="001852A9">
      <w:r w:rsidRPr="00700241">
        <w:rPr>
          <w:lang w:val="en-AU"/>
        </w:rPr>
        <w:t xml:space="preserve">USD </w:t>
      </w:r>
      <w:r w:rsidR="001D1F37" w:rsidRPr="00700241">
        <w:rPr>
          <w:lang w:val="en-AU"/>
        </w:rPr>
        <w:t xml:space="preserve">of Technical Assistance resources </w:t>
      </w:r>
      <w:r w:rsidRPr="00700241">
        <w:t xml:space="preserve">allocated, by &amp;Green or by third parties, to technical assistance (TA) projects to support </w:t>
      </w:r>
      <w:r w:rsidR="004E3143" w:rsidRPr="00700241">
        <w:t>&amp;Green’s</w:t>
      </w:r>
      <w:r w:rsidRPr="00700241">
        <w:t xml:space="preserve"> operations.</w:t>
      </w:r>
    </w:p>
    <w:p w14:paraId="2DEB5882" w14:textId="5B8E071D" w:rsidR="004E3143" w:rsidRPr="00700241" w:rsidRDefault="007536D5" w:rsidP="004E3143">
      <w:r>
        <w:t>OPI8.2b</w:t>
      </w:r>
      <w:r w:rsidR="004E3143" w:rsidRPr="00700241">
        <w:t xml:space="preserve"> relates to all funding allocated to TA: completed, on-going or future TA projects, at </w:t>
      </w:r>
      <w:r w:rsidR="00250F3C" w:rsidRPr="00700241">
        <w:t>the &amp;Green</w:t>
      </w:r>
      <w:r w:rsidR="004E3143" w:rsidRPr="00700241">
        <w:t xml:space="preserve"> </w:t>
      </w:r>
      <w:r w:rsidR="00250F3C" w:rsidRPr="00700241">
        <w:t>f</w:t>
      </w:r>
      <w:r w:rsidR="004E3143" w:rsidRPr="00700241">
        <w:t xml:space="preserve">und level. This indicator is cumulative over time. </w:t>
      </w:r>
    </w:p>
    <w:p w14:paraId="35049B30" w14:textId="6A7FCCD0" w:rsidR="004E3143" w:rsidRPr="00AE18CA" w:rsidRDefault="004E3143" w:rsidP="004E3143">
      <w:r w:rsidRPr="00700241">
        <w:t xml:space="preserve">Projects can be categorised as TA projects </w:t>
      </w:r>
      <w:proofErr w:type="gramStart"/>
      <w:r w:rsidRPr="00700241">
        <w:t>provided</w:t>
      </w:r>
      <w:proofErr w:type="gramEnd"/>
      <w:r w:rsidRPr="00700241">
        <w:t xml:space="preserve"> they fit </w:t>
      </w:r>
      <w:r w:rsidRPr="005E6335">
        <w:t xml:space="preserve">the </w:t>
      </w:r>
      <w:r w:rsidRPr="005E6335">
        <w:rPr>
          <w:rStyle w:val="Wordboldgreen"/>
          <w:b w:val="0"/>
          <w:bCs/>
          <w:color w:val="auto"/>
        </w:rPr>
        <w:t>‘TA scope’</w:t>
      </w:r>
      <w:r w:rsidRPr="005E6335">
        <w:rPr>
          <w:b/>
          <w:bCs/>
        </w:rPr>
        <w:t xml:space="preserve"> </w:t>
      </w:r>
      <w:r w:rsidRPr="005E6335">
        <w:t>as</w:t>
      </w:r>
      <w:r w:rsidRPr="00700241">
        <w:t xml:space="preserve"> </w:t>
      </w:r>
      <w:r w:rsidRPr="00AE18CA">
        <w:t xml:space="preserve">defined in the TA guidelines, whether they are funded by &amp;Green or by third parties. </w:t>
      </w:r>
    </w:p>
    <w:p w14:paraId="180DFBF5" w14:textId="2731C4FB" w:rsidR="004E3143" w:rsidRPr="00AE18CA" w:rsidRDefault="004E3143" w:rsidP="004E3143">
      <w:r w:rsidRPr="00AE18CA">
        <w:t xml:space="preserve">For completed projects financed by &amp;Green, funds allocated are recorded as funds </w:t>
      </w:r>
      <w:r w:rsidRPr="00AE18CA">
        <w:rPr>
          <w:rStyle w:val="Wordboldgreen"/>
          <w:b w:val="0"/>
          <w:bCs/>
          <w:i/>
          <w:iCs/>
          <w:color w:val="auto"/>
        </w:rPr>
        <w:t>disbursed</w:t>
      </w:r>
      <w:r w:rsidRPr="00AE18CA">
        <w:t xml:space="preserve"> through the &amp;Green TA account. This may vary from contracted amounts.</w:t>
      </w:r>
    </w:p>
    <w:p w14:paraId="4E8D5908" w14:textId="29721DA9" w:rsidR="004E3143" w:rsidRPr="00AE18CA" w:rsidRDefault="004E3143" w:rsidP="004E3143">
      <w:r w:rsidRPr="00AE18CA">
        <w:t xml:space="preserve">For on-going or expected projects financed by &amp;Green, a </w:t>
      </w:r>
      <w:r w:rsidRPr="00AE18CA">
        <w:rPr>
          <w:rStyle w:val="Wordboldgreen"/>
          <w:b w:val="0"/>
          <w:bCs/>
          <w:color w:val="auto"/>
        </w:rPr>
        <w:t>TA contract</w:t>
      </w:r>
      <w:r w:rsidRPr="00AE18CA">
        <w:t xml:space="preserve"> must be signed</w:t>
      </w:r>
      <w:r w:rsidR="00D36A01" w:rsidRPr="00AE18CA">
        <w:t>,</w:t>
      </w:r>
      <w:r w:rsidRPr="00AE18CA">
        <w:t xml:space="preserve"> formally commit</w:t>
      </w:r>
      <w:r w:rsidR="00D265DF" w:rsidRPr="00AE18CA">
        <w:t>t</w:t>
      </w:r>
      <w:r w:rsidR="00D36A01" w:rsidRPr="00AE18CA">
        <w:t>ing</w:t>
      </w:r>
      <w:r w:rsidRPr="00AE18CA">
        <w:t xml:space="preserve"> the funds to a specific project. The amount recorded as TA allocated is the contracted amount. </w:t>
      </w:r>
    </w:p>
    <w:p w14:paraId="74F6F3AD" w14:textId="33FEBA84" w:rsidR="001852A9" w:rsidRPr="00700241" w:rsidRDefault="004E3143" w:rsidP="00E4221C">
      <w:r w:rsidRPr="00AE18CA">
        <w:t xml:space="preserve">For projects supported by third parties, funds allocated funds that have been </w:t>
      </w:r>
      <w:r w:rsidRPr="00AE18CA">
        <w:rPr>
          <w:rStyle w:val="Wordboldgreen"/>
          <w:b w:val="0"/>
          <w:bCs/>
          <w:color w:val="auto"/>
        </w:rPr>
        <w:t xml:space="preserve">reported as </w:t>
      </w:r>
      <w:r w:rsidRPr="00AE18CA">
        <w:rPr>
          <w:rStyle w:val="Wordboldgreen"/>
          <w:b w:val="0"/>
          <w:bCs/>
          <w:i/>
          <w:iCs/>
          <w:color w:val="auto"/>
        </w:rPr>
        <w:t>contracted or disbursed</w:t>
      </w:r>
      <w:r w:rsidRPr="00AE18CA">
        <w:t xml:space="preserve"> by either the </w:t>
      </w:r>
      <w:proofErr w:type="gramStart"/>
      <w:r w:rsidRPr="00AE18CA">
        <w:t>third party</w:t>
      </w:r>
      <w:proofErr w:type="gramEnd"/>
      <w:r w:rsidRPr="00AE18CA">
        <w:t xml:space="preserve"> financier or by </w:t>
      </w:r>
      <w:r w:rsidR="00F7259D" w:rsidRPr="00AE18CA">
        <w:t>&amp;Green’s</w:t>
      </w:r>
      <w:r w:rsidRPr="00AE18CA">
        <w:t xml:space="preserve"> </w:t>
      </w:r>
      <w:r w:rsidR="00F7259D" w:rsidRPr="00AE18CA">
        <w:t>C</w:t>
      </w:r>
      <w:r w:rsidRPr="00AE18CA">
        <w:t xml:space="preserve">lient </w:t>
      </w:r>
      <w:r w:rsidR="00F7259D" w:rsidRPr="00AE18CA">
        <w:t>that</w:t>
      </w:r>
      <w:r w:rsidRPr="00700241">
        <w:t xml:space="preserve"> is supported by the project</w:t>
      </w:r>
      <w:r w:rsidR="00002993" w:rsidRPr="00700241">
        <w:t>, see OPI8.2c below</w:t>
      </w:r>
      <w:r w:rsidRPr="00700241">
        <w:t>.</w:t>
      </w:r>
    </w:p>
    <w:tbl>
      <w:tblPr>
        <w:tblStyle w:val="TableGrid"/>
        <w:tblW w:w="9180" w:type="dxa"/>
        <w:tblLook w:val="04A0" w:firstRow="1" w:lastRow="0" w:firstColumn="1" w:lastColumn="0" w:noHBand="0" w:noVBand="1"/>
      </w:tblPr>
      <w:tblGrid>
        <w:gridCol w:w="4219"/>
        <w:gridCol w:w="992"/>
        <w:gridCol w:w="1843"/>
        <w:gridCol w:w="2126"/>
      </w:tblGrid>
      <w:tr w:rsidR="001852A9" w:rsidRPr="00700241" w14:paraId="7DA717B3" w14:textId="77777777" w:rsidTr="005E52A6">
        <w:trPr>
          <w:cnfStyle w:val="100000000000" w:firstRow="1" w:lastRow="0" w:firstColumn="0" w:lastColumn="0" w:oddVBand="0" w:evenVBand="0" w:oddHBand="0" w:evenHBand="0" w:firstRowFirstColumn="0" w:firstRowLastColumn="0" w:lastRowFirstColumn="0" w:lastRowLastColumn="0"/>
        </w:trPr>
        <w:tc>
          <w:tcPr>
            <w:tcW w:w="4219" w:type="dxa"/>
          </w:tcPr>
          <w:p w14:paraId="40EF37F2" w14:textId="740D2ED1" w:rsidR="001852A9" w:rsidRPr="00700241" w:rsidRDefault="001852A9" w:rsidP="001852A9">
            <w:pPr>
              <w:rPr>
                <w:bCs/>
                <w:lang w:val="en-AU"/>
              </w:rPr>
            </w:pPr>
            <w:r w:rsidRPr="00700241">
              <w:rPr>
                <w:bCs/>
                <w:lang w:val="en-AU"/>
              </w:rPr>
              <w:t>Data point</w:t>
            </w:r>
            <w:r w:rsidR="00F7259D" w:rsidRPr="00700241">
              <w:rPr>
                <w:bCs/>
                <w:lang w:val="en-AU"/>
              </w:rPr>
              <w:t>S</w:t>
            </w:r>
          </w:p>
        </w:tc>
        <w:tc>
          <w:tcPr>
            <w:tcW w:w="992" w:type="dxa"/>
          </w:tcPr>
          <w:p w14:paraId="344221BF" w14:textId="53751B94" w:rsidR="001852A9" w:rsidRPr="00700241" w:rsidRDefault="00F7259D" w:rsidP="001852A9">
            <w:pPr>
              <w:rPr>
                <w:bCs/>
                <w:lang w:val="en-AU"/>
              </w:rPr>
            </w:pPr>
            <w:r w:rsidRPr="00700241">
              <w:rPr>
                <w:bCs/>
                <w:lang w:val="en-AU"/>
              </w:rPr>
              <w:t>METRIC</w:t>
            </w:r>
          </w:p>
        </w:tc>
        <w:tc>
          <w:tcPr>
            <w:tcW w:w="1843" w:type="dxa"/>
          </w:tcPr>
          <w:p w14:paraId="68156644" w14:textId="77777777" w:rsidR="001852A9" w:rsidRPr="00700241" w:rsidRDefault="001852A9" w:rsidP="001852A9">
            <w:pPr>
              <w:rPr>
                <w:bCs/>
                <w:lang w:val="en-AU"/>
              </w:rPr>
            </w:pPr>
            <w:r w:rsidRPr="00700241">
              <w:rPr>
                <w:bCs/>
                <w:lang w:val="en-AU"/>
              </w:rPr>
              <w:t>Data source</w:t>
            </w:r>
          </w:p>
        </w:tc>
        <w:tc>
          <w:tcPr>
            <w:tcW w:w="2126" w:type="dxa"/>
          </w:tcPr>
          <w:p w14:paraId="18011C4B" w14:textId="77777777" w:rsidR="001852A9" w:rsidRPr="00700241" w:rsidRDefault="001852A9" w:rsidP="001852A9">
            <w:pPr>
              <w:rPr>
                <w:bCs/>
                <w:lang w:val="en-AU"/>
              </w:rPr>
            </w:pPr>
            <w:r w:rsidRPr="00700241">
              <w:rPr>
                <w:bCs/>
                <w:lang w:val="en-AU"/>
              </w:rPr>
              <w:t>Owner</w:t>
            </w:r>
          </w:p>
        </w:tc>
      </w:tr>
      <w:tr w:rsidR="001852A9" w:rsidRPr="00700241" w14:paraId="60CAB355" w14:textId="77777777" w:rsidTr="005E52A6">
        <w:tc>
          <w:tcPr>
            <w:tcW w:w="4219" w:type="dxa"/>
          </w:tcPr>
          <w:p w14:paraId="0E451F8C" w14:textId="77777777" w:rsidR="001852A9" w:rsidRPr="00700241" w:rsidRDefault="001852A9" w:rsidP="001852A9">
            <w:r w:rsidRPr="00700241">
              <w:t>Funding disbursed by &amp;Green to finance TA projects</w:t>
            </w:r>
          </w:p>
        </w:tc>
        <w:tc>
          <w:tcPr>
            <w:tcW w:w="992" w:type="dxa"/>
          </w:tcPr>
          <w:p w14:paraId="0CD7F888" w14:textId="4D1904B5" w:rsidR="001852A9" w:rsidRPr="00700241" w:rsidRDefault="00E4221C" w:rsidP="006E505B">
            <w:pPr>
              <w:jc w:val="center"/>
              <w:rPr>
                <w:lang w:val="en-AU"/>
              </w:rPr>
            </w:pPr>
            <w:r w:rsidRPr="00700241">
              <w:rPr>
                <w:lang w:val="en-AU"/>
              </w:rPr>
              <w:t>USD</w:t>
            </w:r>
          </w:p>
        </w:tc>
        <w:tc>
          <w:tcPr>
            <w:tcW w:w="1843" w:type="dxa"/>
          </w:tcPr>
          <w:p w14:paraId="5466357F" w14:textId="77777777" w:rsidR="001852A9" w:rsidRPr="00700241" w:rsidRDefault="001852A9" w:rsidP="001852A9">
            <w:pPr>
              <w:rPr>
                <w:lang w:val="en-AU"/>
              </w:rPr>
            </w:pPr>
            <w:r w:rsidRPr="00700241">
              <w:rPr>
                <w:lang w:val="en-AU"/>
              </w:rPr>
              <w:t xml:space="preserve">TA tracking sheet </w:t>
            </w:r>
          </w:p>
          <w:p w14:paraId="701F3CE6" w14:textId="77777777" w:rsidR="001852A9" w:rsidRPr="00700241" w:rsidRDefault="001852A9" w:rsidP="001852A9">
            <w:pPr>
              <w:rPr>
                <w:b/>
                <w:bCs/>
                <w:lang w:val="en-AU"/>
              </w:rPr>
            </w:pPr>
          </w:p>
        </w:tc>
        <w:tc>
          <w:tcPr>
            <w:tcW w:w="2126" w:type="dxa"/>
          </w:tcPr>
          <w:p w14:paraId="797035BE" w14:textId="46074F17" w:rsidR="001852A9" w:rsidRPr="00700241" w:rsidRDefault="00B70B91" w:rsidP="001852A9">
            <w:pPr>
              <w:rPr>
                <w:lang w:val="en-AU"/>
              </w:rPr>
            </w:pPr>
            <w:r>
              <w:rPr>
                <w:lang w:val="en-AU"/>
              </w:rPr>
              <w:t>Sail</w:t>
            </w:r>
            <w:r w:rsidR="3F72B072" w:rsidRPr="3F72B072">
              <w:rPr>
                <w:lang w:val="en-AU"/>
              </w:rPr>
              <w:t xml:space="preserve"> Ventures </w:t>
            </w:r>
          </w:p>
        </w:tc>
      </w:tr>
      <w:tr w:rsidR="001852A9" w:rsidRPr="00700241" w14:paraId="4A47F67F" w14:textId="77777777" w:rsidTr="005E52A6">
        <w:tc>
          <w:tcPr>
            <w:tcW w:w="4219" w:type="dxa"/>
            <w:tcBorders>
              <w:bottom w:val="single" w:sz="4" w:space="0" w:color="F2F2F2" w:themeColor="background1" w:themeShade="F2"/>
            </w:tcBorders>
          </w:tcPr>
          <w:p w14:paraId="5B4EA0B7" w14:textId="77777777" w:rsidR="001852A9" w:rsidRPr="00700241" w:rsidRDefault="001852A9" w:rsidP="001852A9">
            <w:r w:rsidRPr="00700241">
              <w:t>Funding contractually committed by &amp;Green to TA projects</w:t>
            </w:r>
          </w:p>
        </w:tc>
        <w:tc>
          <w:tcPr>
            <w:tcW w:w="992" w:type="dxa"/>
            <w:tcBorders>
              <w:bottom w:val="single" w:sz="4" w:space="0" w:color="F2F2F2" w:themeColor="background1" w:themeShade="F2"/>
            </w:tcBorders>
          </w:tcPr>
          <w:p w14:paraId="72786857" w14:textId="7CCEA094" w:rsidR="001852A9" w:rsidRPr="00700241" w:rsidRDefault="006E505B" w:rsidP="005E52A6">
            <w:pPr>
              <w:jc w:val="center"/>
              <w:rPr>
                <w:lang w:val="en-AU"/>
              </w:rPr>
            </w:pPr>
            <w:r w:rsidRPr="00700241">
              <w:rPr>
                <w:lang w:val="en-AU"/>
              </w:rPr>
              <w:t>USD</w:t>
            </w:r>
          </w:p>
        </w:tc>
        <w:tc>
          <w:tcPr>
            <w:tcW w:w="1843" w:type="dxa"/>
            <w:tcBorders>
              <w:bottom w:val="single" w:sz="4" w:space="0" w:color="F2F2F2" w:themeColor="background1" w:themeShade="F2"/>
            </w:tcBorders>
          </w:tcPr>
          <w:p w14:paraId="1047C5F9" w14:textId="77777777" w:rsidR="001852A9" w:rsidRPr="00700241" w:rsidRDefault="001852A9" w:rsidP="001852A9">
            <w:pPr>
              <w:rPr>
                <w:lang w:val="en-AU"/>
              </w:rPr>
            </w:pPr>
            <w:r w:rsidRPr="00700241">
              <w:rPr>
                <w:lang w:val="en-AU"/>
              </w:rPr>
              <w:t xml:space="preserve">TA tracking sheet </w:t>
            </w:r>
          </w:p>
          <w:p w14:paraId="2C829862" w14:textId="77777777" w:rsidR="001852A9" w:rsidRPr="00700241" w:rsidRDefault="001852A9" w:rsidP="001852A9">
            <w:pPr>
              <w:rPr>
                <w:lang w:val="en-AU"/>
              </w:rPr>
            </w:pPr>
          </w:p>
        </w:tc>
        <w:tc>
          <w:tcPr>
            <w:tcW w:w="2126" w:type="dxa"/>
            <w:tcBorders>
              <w:bottom w:val="single" w:sz="4" w:space="0" w:color="F2F2F2" w:themeColor="background1" w:themeShade="F2"/>
            </w:tcBorders>
          </w:tcPr>
          <w:p w14:paraId="291CA08C" w14:textId="42DB6A17" w:rsidR="001852A9" w:rsidRPr="00700241" w:rsidRDefault="743A48B3" w:rsidP="001852A9">
            <w:pPr>
              <w:rPr>
                <w:lang w:val="en-AU"/>
              </w:rPr>
            </w:pPr>
            <w:r w:rsidRPr="743A48B3">
              <w:rPr>
                <w:lang w:val="en-AU"/>
              </w:rPr>
              <w:t>SAIL Ventures</w:t>
            </w:r>
          </w:p>
        </w:tc>
      </w:tr>
      <w:tr w:rsidR="001852A9" w:rsidRPr="00700241" w14:paraId="07ED387A" w14:textId="77777777" w:rsidTr="005E52A6">
        <w:tc>
          <w:tcPr>
            <w:tcW w:w="4219" w:type="dxa"/>
            <w:tcBorders>
              <w:bottom w:val="single" w:sz="4" w:space="0" w:color="auto"/>
            </w:tcBorders>
          </w:tcPr>
          <w:p w14:paraId="45C84598" w14:textId="0AB9845B" w:rsidR="001852A9" w:rsidRPr="00700241" w:rsidRDefault="001852A9" w:rsidP="001852A9">
            <w:r w:rsidRPr="00700241">
              <w:t>Fund</w:t>
            </w:r>
            <w:r w:rsidR="00BC260D" w:rsidRPr="00700241">
              <w:t>s</w:t>
            </w:r>
            <w:r w:rsidRPr="00700241">
              <w:t xml:space="preserve"> committed by third parties to support TA projects directly contribut</w:t>
            </w:r>
            <w:r w:rsidR="00BC260D" w:rsidRPr="00700241">
              <w:t>ing</w:t>
            </w:r>
            <w:r w:rsidRPr="00700241">
              <w:t xml:space="preserve"> to implementing &amp;Green </w:t>
            </w:r>
            <w:r w:rsidR="00BC260D" w:rsidRPr="00700241">
              <w:t>transactions</w:t>
            </w:r>
          </w:p>
        </w:tc>
        <w:tc>
          <w:tcPr>
            <w:tcW w:w="992" w:type="dxa"/>
            <w:tcBorders>
              <w:bottom w:val="single" w:sz="4" w:space="0" w:color="auto"/>
            </w:tcBorders>
          </w:tcPr>
          <w:p w14:paraId="2F22C1CB" w14:textId="4ABC9C32" w:rsidR="001852A9" w:rsidRPr="00700241" w:rsidRDefault="00561FD0" w:rsidP="005E52A6">
            <w:pPr>
              <w:jc w:val="center"/>
              <w:rPr>
                <w:lang w:val="en-AU"/>
              </w:rPr>
            </w:pPr>
            <w:r w:rsidRPr="00700241">
              <w:rPr>
                <w:lang w:val="en-AU"/>
              </w:rPr>
              <w:t>USD</w:t>
            </w:r>
          </w:p>
        </w:tc>
        <w:tc>
          <w:tcPr>
            <w:tcW w:w="1843" w:type="dxa"/>
            <w:tcBorders>
              <w:bottom w:val="single" w:sz="4" w:space="0" w:color="auto"/>
            </w:tcBorders>
          </w:tcPr>
          <w:p w14:paraId="63715FF6" w14:textId="5BEFBD53" w:rsidR="001852A9" w:rsidRPr="00700241" w:rsidRDefault="001852A9" w:rsidP="001852A9">
            <w:pPr>
              <w:rPr>
                <w:lang w:val="en-AU"/>
              </w:rPr>
            </w:pPr>
            <w:r w:rsidRPr="00700241">
              <w:rPr>
                <w:lang w:val="en-AU"/>
              </w:rPr>
              <w:t>3</w:t>
            </w:r>
            <w:r w:rsidRPr="00700241">
              <w:rPr>
                <w:vertAlign w:val="superscript"/>
                <w:lang w:val="en-AU"/>
              </w:rPr>
              <w:t>rd</w:t>
            </w:r>
            <w:r w:rsidRPr="00700241">
              <w:rPr>
                <w:lang w:val="en-AU"/>
              </w:rPr>
              <w:t xml:space="preserve"> party funds or by the </w:t>
            </w:r>
            <w:r w:rsidR="00C662DB" w:rsidRPr="00700241">
              <w:rPr>
                <w:lang w:val="en-AU"/>
              </w:rPr>
              <w:t>C</w:t>
            </w:r>
            <w:r w:rsidRPr="00700241">
              <w:rPr>
                <w:lang w:val="en-AU"/>
              </w:rPr>
              <w:t>lient</w:t>
            </w:r>
          </w:p>
        </w:tc>
        <w:tc>
          <w:tcPr>
            <w:tcW w:w="2126" w:type="dxa"/>
            <w:tcBorders>
              <w:bottom w:val="single" w:sz="4" w:space="0" w:color="auto"/>
            </w:tcBorders>
          </w:tcPr>
          <w:p w14:paraId="0F7B4AB2" w14:textId="67C8C7AC" w:rsidR="001852A9" w:rsidRPr="00700241" w:rsidRDefault="2B608455" w:rsidP="001852A9">
            <w:pPr>
              <w:rPr>
                <w:lang w:val="en-AU"/>
              </w:rPr>
            </w:pPr>
            <w:r w:rsidRPr="2B608455">
              <w:rPr>
                <w:lang w:val="en-AU"/>
              </w:rPr>
              <w:t xml:space="preserve">SAIL Ventures </w:t>
            </w:r>
            <w:r w:rsidR="001852A9" w:rsidRPr="00700241">
              <w:rPr>
                <w:lang w:val="en-AU"/>
              </w:rPr>
              <w:t xml:space="preserve"> </w:t>
            </w:r>
          </w:p>
        </w:tc>
      </w:tr>
      <w:tr w:rsidR="001852A9" w:rsidRPr="00700241" w14:paraId="0D84E968" w14:textId="77777777" w:rsidTr="005E52A6">
        <w:tc>
          <w:tcPr>
            <w:tcW w:w="4219" w:type="dxa"/>
            <w:tcBorders>
              <w:top w:val="single" w:sz="4" w:space="0" w:color="auto"/>
            </w:tcBorders>
          </w:tcPr>
          <w:p w14:paraId="329C616F" w14:textId="44874F0A" w:rsidR="001852A9" w:rsidRPr="00700241" w:rsidRDefault="00C662DB" w:rsidP="001852A9">
            <w:pPr>
              <w:rPr>
                <w:rStyle w:val="Wordboldgreen"/>
              </w:rPr>
            </w:pPr>
            <w:r w:rsidRPr="00700241">
              <w:rPr>
                <w:rStyle w:val="Wordboldgreen"/>
                <w:lang w:val="en-AU"/>
              </w:rPr>
              <w:t xml:space="preserve">TA budget </w:t>
            </w:r>
            <w:r w:rsidR="001852A9" w:rsidRPr="00700241">
              <w:rPr>
                <w:rStyle w:val="Wordboldgreen"/>
                <w:lang w:val="en-AU"/>
              </w:rPr>
              <w:t xml:space="preserve">allocated </w:t>
            </w:r>
          </w:p>
        </w:tc>
        <w:tc>
          <w:tcPr>
            <w:tcW w:w="992" w:type="dxa"/>
            <w:tcBorders>
              <w:top w:val="single" w:sz="4" w:space="0" w:color="auto"/>
            </w:tcBorders>
          </w:tcPr>
          <w:p w14:paraId="3452B33F" w14:textId="647C7578" w:rsidR="001852A9" w:rsidRPr="00700241" w:rsidRDefault="00561FD0" w:rsidP="001852A9">
            <w:pPr>
              <w:rPr>
                <w:rStyle w:val="Wordboldgreen"/>
                <w:lang w:val="en-AU"/>
              </w:rPr>
            </w:pPr>
            <w:r w:rsidRPr="00700241">
              <w:rPr>
                <w:b/>
                <w:noProof/>
                <w:color w:val="034427"/>
                <w:lang w:val="en-AU"/>
              </w:rPr>
              <w:t>USD</w:t>
            </w:r>
          </w:p>
        </w:tc>
        <w:tc>
          <w:tcPr>
            <w:tcW w:w="1843" w:type="dxa"/>
            <w:tcBorders>
              <w:top w:val="single" w:sz="4" w:space="0" w:color="auto"/>
            </w:tcBorders>
          </w:tcPr>
          <w:p w14:paraId="63B33C25" w14:textId="77777777" w:rsidR="001852A9" w:rsidRPr="00700241" w:rsidRDefault="001852A9" w:rsidP="001852A9">
            <w:pPr>
              <w:rPr>
                <w:b/>
                <w:bCs/>
                <w:lang w:val="en-AU"/>
              </w:rPr>
            </w:pPr>
          </w:p>
        </w:tc>
        <w:tc>
          <w:tcPr>
            <w:tcW w:w="2126" w:type="dxa"/>
            <w:tcBorders>
              <w:top w:val="single" w:sz="4" w:space="0" w:color="auto"/>
            </w:tcBorders>
          </w:tcPr>
          <w:p w14:paraId="6E17437C" w14:textId="77777777" w:rsidR="001852A9" w:rsidRPr="00700241" w:rsidRDefault="001852A9" w:rsidP="001852A9">
            <w:pPr>
              <w:rPr>
                <w:b/>
                <w:bCs/>
                <w:lang w:val="en-AU"/>
              </w:rPr>
            </w:pPr>
          </w:p>
        </w:tc>
      </w:tr>
    </w:tbl>
    <w:p w14:paraId="54C3A012" w14:textId="77777777" w:rsidR="001852A9" w:rsidRPr="00700241" w:rsidRDefault="001852A9" w:rsidP="001852A9">
      <w:pPr>
        <w:rPr>
          <w:lang w:val="en-AU"/>
        </w:rPr>
      </w:pPr>
    </w:p>
    <w:p w14:paraId="6FE0B1C5" w14:textId="4D73DD30" w:rsidR="001852A9" w:rsidRPr="00700241" w:rsidRDefault="001852A9" w:rsidP="00564CAA">
      <w:pPr>
        <w:pStyle w:val="Heading2simple"/>
      </w:pPr>
      <w:bookmarkStart w:id="52" w:name="_Toc103271321"/>
      <w:r w:rsidRPr="00700241">
        <w:t>OPI 8.2c Technical Assistance budget mobilized</w:t>
      </w:r>
      <w:bookmarkEnd w:id="52"/>
    </w:p>
    <w:p w14:paraId="19ABAFD6" w14:textId="7D07A300" w:rsidR="001852A9" w:rsidRPr="00700241" w:rsidRDefault="000D5639" w:rsidP="001852A9">
      <w:r w:rsidRPr="00700241">
        <w:rPr>
          <w:lang w:val="en-AU"/>
        </w:rPr>
        <w:t>USD</w:t>
      </w:r>
      <w:r w:rsidRPr="00700241">
        <w:rPr>
          <w:b/>
          <w:bCs/>
          <w:lang w:val="en-AU"/>
        </w:rPr>
        <w:t xml:space="preserve"> </w:t>
      </w:r>
      <w:r w:rsidR="001852A9" w:rsidRPr="00700241">
        <w:t xml:space="preserve">of funding allocated by third parties to technical assistance (TA) projects to support </w:t>
      </w:r>
      <w:r w:rsidR="005D78E0" w:rsidRPr="00700241">
        <w:t>&amp;Green’s</w:t>
      </w:r>
      <w:r w:rsidR="001852A9" w:rsidRPr="00700241">
        <w:t xml:space="preserve"> operations.</w:t>
      </w:r>
    </w:p>
    <w:p w14:paraId="6B9E30CD" w14:textId="77777777" w:rsidR="00CA5799" w:rsidRPr="00700241" w:rsidRDefault="00CA5799" w:rsidP="00ED5AE1"/>
    <w:p w14:paraId="156AA072" w14:textId="654812E9" w:rsidR="00ED5AE1" w:rsidRPr="00700241" w:rsidRDefault="00CA5799" w:rsidP="00ED5AE1">
      <w:r w:rsidRPr="00700241">
        <w:t xml:space="preserve">OPI8.2c </w:t>
      </w:r>
      <w:r w:rsidR="00ED5AE1" w:rsidRPr="00700241">
        <w:t xml:space="preserve">relates to the funding allocated by third parties to completed or on-going TA projects, at </w:t>
      </w:r>
      <w:r w:rsidRPr="00700241">
        <w:t>the &amp;Green f</w:t>
      </w:r>
      <w:r w:rsidR="00ED5AE1" w:rsidRPr="00700241">
        <w:t>und level.</w:t>
      </w:r>
    </w:p>
    <w:p w14:paraId="4918298B" w14:textId="26FD0B4E" w:rsidR="00ED5AE1" w:rsidRPr="00CC09C3" w:rsidRDefault="00ED5AE1" w:rsidP="00ED5AE1">
      <w:r w:rsidRPr="00700241">
        <w:t xml:space="preserve">Projects </w:t>
      </w:r>
      <w:r w:rsidR="00BA0538" w:rsidRPr="00700241">
        <w:t>are</w:t>
      </w:r>
      <w:r w:rsidRPr="00700241">
        <w:t xml:space="preserve"> categorised as TA projects </w:t>
      </w:r>
      <w:r w:rsidR="00BA0538" w:rsidRPr="00700241">
        <w:t>if they</w:t>
      </w:r>
      <w:r w:rsidRPr="00700241">
        <w:t xml:space="preserve"> </w:t>
      </w:r>
      <w:r w:rsidRPr="00CC09C3">
        <w:t xml:space="preserve">fit the </w:t>
      </w:r>
      <w:r w:rsidRPr="00CC09C3">
        <w:rPr>
          <w:rStyle w:val="Wordboldgreen"/>
          <w:b w:val="0"/>
          <w:bCs/>
          <w:color w:val="auto"/>
        </w:rPr>
        <w:t>‘TA scope’</w:t>
      </w:r>
      <w:r w:rsidRPr="00CC09C3">
        <w:t xml:space="preserve"> as per TA guidelines. </w:t>
      </w:r>
      <w:r w:rsidR="00B00B7B" w:rsidRPr="00CC09C3">
        <w:t>TA budgets</w:t>
      </w:r>
      <w:r w:rsidRPr="00CC09C3">
        <w:t xml:space="preserve"> supported by third parties relate to funds that have been </w:t>
      </w:r>
      <w:r w:rsidRPr="00CC09C3">
        <w:rPr>
          <w:rStyle w:val="Wordboldgreen"/>
          <w:b w:val="0"/>
          <w:bCs/>
          <w:color w:val="auto"/>
        </w:rPr>
        <w:t>reported as</w:t>
      </w:r>
      <w:r w:rsidRPr="00CC09C3">
        <w:rPr>
          <w:rStyle w:val="Wordboldgreen"/>
          <w:b w:val="0"/>
          <w:bCs/>
          <w:i/>
          <w:iCs/>
          <w:color w:val="auto"/>
        </w:rPr>
        <w:t xml:space="preserve"> contracted or </w:t>
      </w:r>
      <w:r w:rsidR="00B00B7B" w:rsidRPr="00CC09C3">
        <w:rPr>
          <w:rStyle w:val="Wordboldgreen"/>
          <w:b w:val="0"/>
          <w:bCs/>
          <w:i/>
          <w:iCs/>
          <w:color w:val="auto"/>
        </w:rPr>
        <w:t>disbursed</w:t>
      </w:r>
      <w:r w:rsidRPr="00CC09C3">
        <w:t xml:space="preserve"> by either the </w:t>
      </w:r>
      <w:proofErr w:type="gramStart"/>
      <w:r w:rsidRPr="00CC09C3">
        <w:t>third party</w:t>
      </w:r>
      <w:proofErr w:type="gramEnd"/>
      <w:r w:rsidRPr="00CC09C3">
        <w:t xml:space="preserve"> financier or by </w:t>
      </w:r>
      <w:r w:rsidR="001C47F9" w:rsidRPr="00CC09C3">
        <w:t>&amp;Green’s</w:t>
      </w:r>
      <w:r w:rsidRPr="00CC09C3">
        <w:t xml:space="preserve"> </w:t>
      </w:r>
      <w:r w:rsidR="001C47F9" w:rsidRPr="00CC09C3">
        <w:t>C</w:t>
      </w:r>
      <w:r w:rsidRPr="00CC09C3">
        <w:t>lient supported by the project.</w:t>
      </w:r>
    </w:p>
    <w:tbl>
      <w:tblPr>
        <w:tblStyle w:val="TableGrid"/>
        <w:tblW w:w="8801" w:type="dxa"/>
        <w:tblLook w:val="04A0" w:firstRow="1" w:lastRow="0" w:firstColumn="1" w:lastColumn="0" w:noHBand="0" w:noVBand="1"/>
      </w:tblPr>
      <w:tblGrid>
        <w:gridCol w:w="4361"/>
        <w:gridCol w:w="992"/>
        <w:gridCol w:w="1843"/>
        <w:gridCol w:w="1605"/>
      </w:tblGrid>
      <w:tr w:rsidR="001852A9" w:rsidRPr="00700241" w14:paraId="6B2CE5A8" w14:textId="77777777" w:rsidTr="0054572B">
        <w:trPr>
          <w:cnfStyle w:val="100000000000" w:firstRow="1" w:lastRow="0" w:firstColumn="0" w:lastColumn="0" w:oddVBand="0" w:evenVBand="0" w:oddHBand="0" w:evenHBand="0" w:firstRowFirstColumn="0" w:firstRowLastColumn="0" w:lastRowFirstColumn="0" w:lastRowLastColumn="0"/>
        </w:trPr>
        <w:tc>
          <w:tcPr>
            <w:tcW w:w="4361" w:type="dxa"/>
          </w:tcPr>
          <w:p w14:paraId="2A4F6794" w14:textId="77777777" w:rsidR="001852A9" w:rsidRPr="00700241" w:rsidRDefault="001852A9" w:rsidP="001852A9">
            <w:pPr>
              <w:rPr>
                <w:bCs/>
                <w:lang w:val="en-AU"/>
              </w:rPr>
            </w:pPr>
            <w:r w:rsidRPr="00700241">
              <w:rPr>
                <w:bCs/>
                <w:lang w:val="en-AU"/>
              </w:rPr>
              <w:t>Data point</w:t>
            </w:r>
          </w:p>
        </w:tc>
        <w:tc>
          <w:tcPr>
            <w:tcW w:w="992" w:type="dxa"/>
          </w:tcPr>
          <w:p w14:paraId="434568A4" w14:textId="7B59921A" w:rsidR="001852A9" w:rsidRPr="00700241" w:rsidRDefault="001C47F9" w:rsidP="001852A9">
            <w:pPr>
              <w:rPr>
                <w:bCs/>
                <w:lang w:val="en-AU"/>
              </w:rPr>
            </w:pPr>
            <w:r w:rsidRPr="00700241">
              <w:rPr>
                <w:bCs/>
                <w:lang w:val="en-AU"/>
              </w:rPr>
              <w:t>METRIC</w:t>
            </w:r>
          </w:p>
        </w:tc>
        <w:tc>
          <w:tcPr>
            <w:tcW w:w="1843" w:type="dxa"/>
          </w:tcPr>
          <w:p w14:paraId="58CC272E" w14:textId="77777777" w:rsidR="001852A9" w:rsidRPr="00700241" w:rsidRDefault="001852A9" w:rsidP="001852A9">
            <w:pPr>
              <w:rPr>
                <w:bCs/>
                <w:lang w:val="en-AU"/>
              </w:rPr>
            </w:pPr>
            <w:r w:rsidRPr="00700241">
              <w:rPr>
                <w:bCs/>
                <w:lang w:val="en-AU"/>
              </w:rPr>
              <w:t>Data source</w:t>
            </w:r>
          </w:p>
        </w:tc>
        <w:tc>
          <w:tcPr>
            <w:tcW w:w="1605" w:type="dxa"/>
          </w:tcPr>
          <w:p w14:paraId="2B07F41E" w14:textId="77777777" w:rsidR="001852A9" w:rsidRPr="00700241" w:rsidRDefault="001852A9" w:rsidP="001852A9">
            <w:pPr>
              <w:rPr>
                <w:bCs/>
                <w:lang w:val="en-AU"/>
              </w:rPr>
            </w:pPr>
            <w:r w:rsidRPr="00700241">
              <w:rPr>
                <w:bCs/>
                <w:lang w:val="en-AU"/>
              </w:rPr>
              <w:t>Owner</w:t>
            </w:r>
          </w:p>
        </w:tc>
      </w:tr>
      <w:tr w:rsidR="001C47F9" w:rsidRPr="00700241" w14:paraId="50A2DD33" w14:textId="77777777" w:rsidTr="0054572B">
        <w:tc>
          <w:tcPr>
            <w:tcW w:w="4361" w:type="dxa"/>
            <w:tcBorders>
              <w:bottom w:val="single" w:sz="4" w:space="0" w:color="auto"/>
            </w:tcBorders>
          </w:tcPr>
          <w:p w14:paraId="3473582A" w14:textId="639F1FB4" w:rsidR="001C47F9" w:rsidRPr="00700241" w:rsidRDefault="001C47F9" w:rsidP="001C47F9">
            <w:r w:rsidRPr="00700241">
              <w:t>Funding committed by third parties to support TA projects that directly contribute to implementing &amp;Green investments</w:t>
            </w:r>
          </w:p>
        </w:tc>
        <w:tc>
          <w:tcPr>
            <w:tcW w:w="992" w:type="dxa"/>
            <w:tcBorders>
              <w:bottom w:val="single" w:sz="4" w:space="0" w:color="auto"/>
            </w:tcBorders>
          </w:tcPr>
          <w:p w14:paraId="480A2018" w14:textId="348F28A9" w:rsidR="001C47F9" w:rsidRPr="00700241" w:rsidRDefault="001C47F9" w:rsidP="001C47F9">
            <w:pPr>
              <w:jc w:val="center"/>
              <w:rPr>
                <w:lang w:val="en-AU"/>
              </w:rPr>
            </w:pPr>
            <w:r w:rsidRPr="00700241">
              <w:rPr>
                <w:lang w:val="en-AU"/>
              </w:rPr>
              <w:t>USD</w:t>
            </w:r>
          </w:p>
        </w:tc>
        <w:tc>
          <w:tcPr>
            <w:tcW w:w="1843" w:type="dxa"/>
            <w:tcBorders>
              <w:bottom w:val="single" w:sz="4" w:space="0" w:color="auto"/>
            </w:tcBorders>
          </w:tcPr>
          <w:p w14:paraId="477E1495" w14:textId="6B690051" w:rsidR="001C47F9" w:rsidRPr="00700241" w:rsidRDefault="001C47F9" w:rsidP="001C47F9">
            <w:pPr>
              <w:rPr>
                <w:lang w:val="en-AU"/>
              </w:rPr>
            </w:pPr>
            <w:r w:rsidRPr="00700241">
              <w:rPr>
                <w:lang w:val="en-AU"/>
              </w:rPr>
              <w:t>3</w:t>
            </w:r>
            <w:r w:rsidRPr="00700241">
              <w:rPr>
                <w:vertAlign w:val="superscript"/>
                <w:lang w:val="en-AU"/>
              </w:rPr>
              <w:t>rd</w:t>
            </w:r>
            <w:r w:rsidRPr="00700241">
              <w:rPr>
                <w:lang w:val="en-AU"/>
              </w:rPr>
              <w:t xml:space="preserve"> party funds or by the Client</w:t>
            </w:r>
          </w:p>
        </w:tc>
        <w:tc>
          <w:tcPr>
            <w:tcW w:w="1605" w:type="dxa"/>
            <w:tcBorders>
              <w:bottom w:val="single" w:sz="4" w:space="0" w:color="auto"/>
            </w:tcBorders>
          </w:tcPr>
          <w:p w14:paraId="4AE86621" w14:textId="0762BAD4" w:rsidR="001C47F9" w:rsidRPr="00700241" w:rsidRDefault="001C47F9" w:rsidP="001C47F9">
            <w:pPr>
              <w:rPr>
                <w:lang w:val="en-AU"/>
              </w:rPr>
            </w:pPr>
            <w:r w:rsidRPr="00700241">
              <w:rPr>
                <w:lang w:val="en-AU"/>
              </w:rPr>
              <w:t xml:space="preserve">Sail Ventures </w:t>
            </w:r>
          </w:p>
        </w:tc>
      </w:tr>
      <w:tr w:rsidR="001852A9" w:rsidRPr="00700241" w14:paraId="382BF0EE" w14:textId="77777777" w:rsidTr="0054572B">
        <w:tc>
          <w:tcPr>
            <w:tcW w:w="4361" w:type="dxa"/>
            <w:tcBorders>
              <w:top w:val="single" w:sz="4" w:space="0" w:color="auto"/>
            </w:tcBorders>
          </w:tcPr>
          <w:p w14:paraId="130CC5DF" w14:textId="36A86ED5" w:rsidR="001852A9" w:rsidRPr="00700241" w:rsidRDefault="001852A9" w:rsidP="001852A9">
            <w:pPr>
              <w:rPr>
                <w:rStyle w:val="Wordboldgreen"/>
              </w:rPr>
            </w:pPr>
            <w:r w:rsidRPr="00700241">
              <w:rPr>
                <w:rStyle w:val="Wordboldgreen"/>
                <w:lang w:val="en-AU"/>
              </w:rPr>
              <w:t>TA</w:t>
            </w:r>
            <w:r w:rsidR="0054572B" w:rsidRPr="00700241">
              <w:rPr>
                <w:rStyle w:val="Wordboldgreen"/>
                <w:lang w:val="en-AU"/>
              </w:rPr>
              <w:t xml:space="preserve"> budget mobilised</w:t>
            </w:r>
          </w:p>
        </w:tc>
        <w:tc>
          <w:tcPr>
            <w:tcW w:w="992" w:type="dxa"/>
            <w:tcBorders>
              <w:top w:val="single" w:sz="4" w:space="0" w:color="auto"/>
            </w:tcBorders>
          </w:tcPr>
          <w:p w14:paraId="6C0FB568" w14:textId="61774869" w:rsidR="001852A9" w:rsidRPr="00700241" w:rsidRDefault="0054572B" w:rsidP="001852A9">
            <w:pPr>
              <w:rPr>
                <w:rStyle w:val="Wordboldgreen"/>
                <w:lang w:val="en-AU"/>
              </w:rPr>
            </w:pPr>
            <w:r w:rsidRPr="00700241">
              <w:rPr>
                <w:rStyle w:val="Wordboldgreen"/>
                <w:lang w:val="en-AU"/>
              </w:rPr>
              <w:t>USD</w:t>
            </w:r>
          </w:p>
        </w:tc>
        <w:tc>
          <w:tcPr>
            <w:tcW w:w="1843" w:type="dxa"/>
            <w:tcBorders>
              <w:top w:val="single" w:sz="4" w:space="0" w:color="auto"/>
            </w:tcBorders>
          </w:tcPr>
          <w:p w14:paraId="31AF35DE" w14:textId="77777777" w:rsidR="001852A9" w:rsidRPr="00700241" w:rsidRDefault="001852A9" w:rsidP="001852A9">
            <w:pPr>
              <w:rPr>
                <w:b/>
                <w:bCs/>
                <w:lang w:val="en-AU"/>
              </w:rPr>
            </w:pPr>
          </w:p>
        </w:tc>
        <w:tc>
          <w:tcPr>
            <w:tcW w:w="1605" w:type="dxa"/>
            <w:tcBorders>
              <w:top w:val="single" w:sz="4" w:space="0" w:color="auto"/>
            </w:tcBorders>
          </w:tcPr>
          <w:p w14:paraId="29B24C75" w14:textId="77777777" w:rsidR="001852A9" w:rsidRPr="00700241" w:rsidRDefault="001852A9" w:rsidP="001852A9">
            <w:pPr>
              <w:rPr>
                <w:b/>
                <w:bCs/>
                <w:lang w:val="en-AU"/>
              </w:rPr>
            </w:pPr>
          </w:p>
        </w:tc>
      </w:tr>
    </w:tbl>
    <w:p w14:paraId="0B1A9615" w14:textId="77777777" w:rsidR="0054572B" w:rsidRPr="00700241" w:rsidRDefault="0054572B">
      <w:pPr>
        <w:spacing w:after="100"/>
      </w:pPr>
    </w:p>
    <w:p w14:paraId="0C9DF9CC" w14:textId="3ED1A102" w:rsidR="00633FDC" w:rsidRPr="00700241" w:rsidRDefault="00633FDC">
      <w:pPr>
        <w:spacing w:after="100"/>
        <w:rPr>
          <w:rFonts w:eastAsiaTheme="minorEastAsia"/>
          <w:b/>
          <w:bCs/>
          <w:color w:val="034427"/>
          <w:spacing w:val="15"/>
          <w:sz w:val="24"/>
          <w:szCs w:val="28"/>
          <w:lang w:val="en-IE"/>
        </w:rPr>
      </w:pPr>
      <w:r w:rsidRPr="00700241">
        <w:br w:type="page"/>
      </w:r>
    </w:p>
    <w:p w14:paraId="1EB71949" w14:textId="209C9573" w:rsidR="00B8042A" w:rsidRPr="00700241" w:rsidRDefault="00ED324A" w:rsidP="000A0F4A">
      <w:pPr>
        <w:pStyle w:val="GreenHeading1"/>
      </w:pPr>
      <w:bookmarkStart w:id="53" w:name="_Toc103271322"/>
      <w:r w:rsidRPr="00700241">
        <w:t>COMPLIANCE</w:t>
      </w:r>
      <w:bookmarkEnd w:id="53"/>
    </w:p>
    <w:p w14:paraId="034541E3" w14:textId="4D8A1CA1" w:rsidR="00861386" w:rsidRPr="00700241" w:rsidRDefault="00861386" w:rsidP="00861386">
      <w:pPr>
        <w:pStyle w:val="Body"/>
        <w:rPr>
          <w:lang w:val="en-AU"/>
        </w:rPr>
      </w:pPr>
      <w:r w:rsidRPr="00700241">
        <w:rPr>
          <w:lang w:val="en-AU"/>
        </w:rPr>
        <w:t>There is no KPI for Compliance. Four OPIs provide context:</w:t>
      </w:r>
    </w:p>
    <w:p w14:paraId="1FFE55AC" w14:textId="77777777" w:rsidR="002C5BE5" w:rsidRPr="00700241" w:rsidRDefault="002C5BE5" w:rsidP="002C5BE5">
      <w:pPr>
        <w:pStyle w:val="Body"/>
        <w:numPr>
          <w:ilvl w:val="0"/>
          <w:numId w:val="36"/>
        </w:numPr>
      </w:pPr>
      <w:r w:rsidRPr="00700241">
        <w:rPr>
          <w:lang w:val="en-AU"/>
        </w:rPr>
        <w:t>9</w:t>
      </w:r>
      <w:r w:rsidR="00861386" w:rsidRPr="00700241">
        <w:rPr>
          <w:lang w:val="en-AU"/>
        </w:rPr>
        <w:t xml:space="preserve">.1 </w:t>
      </w:r>
      <w:r w:rsidRPr="00700241">
        <w:t>Total targets met</w:t>
      </w:r>
    </w:p>
    <w:p w14:paraId="23B24DD3" w14:textId="3ACC4FB8" w:rsidR="002C5BE5" w:rsidRPr="00700241" w:rsidRDefault="002C5BE5" w:rsidP="002C5BE5">
      <w:pPr>
        <w:pStyle w:val="Body"/>
        <w:numPr>
          <w:ilvl w:val="0"/>
          <w:numId w:val="20"/>
        </w:numPr>
      </w:pPr>
      <w:r w:rsidRPr="00700241">
        <w:t>9.2 IFC PS compliance</w:t>
      </w:r>
    </w:p>
    <w:p w14:paraId="1398DE0F" w14:textId="01E77300" w:rsidR="002C5BE5" w:rsidRPr="00700241" w:rsidRDefault="002C5BE5" w:rsidP="002C5BE5">
      <w:pPr>
        <w:pStyle w:val="Body"/>
        <w:numPr>
          <w:ilvl w:val="0"/>
          <w:numId w:val="20"/>
        </w:numPr>
      </w:pPr>
      <w:r w:rsidRPr="00700241">
        <w:t xml:space="preserve">9.3 E&amp;S </w:t>
      </w:r>
      <w:r w:rsidR="00995324" w:rsidRPr="00700241">
        <w:t>A</w:t>
      </w:r>
      <w:r w:rsidRPr="00700241">
        <w:t xml:space="preserve">ction </w:t>
      </w:r>
      <w:r w:rsidR="00995324" w:rsidRPr="00700241">
        <w:t>P</w:t>
      </w:r>
      <w:r w:rsidRPr="00700241">
        <w:t>lan targets met</w:t>
      </w:r>
    </w:p>
    <w:p w14:paraId="7CEF8C2B" w14:textId="2041F182" w:rsidR="002C5BE5" w:rsidRPr="00700241" w:rsidRDefault="002C5BE5" w:rsidP="002C5BE5">
      <w:pPr>
        <w:pStyle w:val="Body"/>
        <w:numPr>
          <w:ilvl w:val="0"/>
          <w:numId w:val="20"/>
        </w:numPr>
      </w:pPr>
      <w:r w:rsidRPr="00700241">
        <w:t>9.4 NDPE compliance</w:t>
      </w:r>
    </w:p>
    <w:p w14:paraId="790FB72A" w14:textId="0B83DA4E" w:rsidR="00B8042A" w:rsidRPr="004112E9" w:rsidRDefault="00A11780" w:rsidP="00B8042A">
      <w:pPr>
        <w:pStyle w:val="Body"/>
      </w:pPr>
      <w:r w:rsidRPr="004112E9">
        <w:t xml:space="preserve">Each &amp;Green </w:t>
      </w:r>
      <w:r w:rsidR="00BB5EF0" w:rsidRPr="004112E9">
        <w:t>transaction</w:t>
      </w:r>
      <w:r w:rsidRPr="004112E9">
        <w:t xml:space="preserve"> ha</w:t>
      </w:r>
      <w:r w:rsidR="00AF00B8" w:rsidRPr="004112E9">
        <w:t>s</w:t>
      </w:r>
      <w:r w:rsidRPr="004112E9">
        <w:t xml:space="preserve"> Client specific </w:t>
      </w:r>
      <w:r w:rsidR="00AF00B8" w:rsidRPr="004112E9">
        <w:t>Environmental and Social A</w:t>
      </w:r>
      <w:r w:rsidR="00CA0430" w:rsidRPr="004112E9">
        <w:t xml:space="preserve">ction </w:t>
      </w:r>
      <w:r w:rsidR="00AF00B8" w:rsidRPr="004112E9">
        <w:t>P</w:t>
      </w:r>
      <w:r w:rsidR="00CA0430" w:rsidRPr="004112E9">
        <w:t xml:space="preserve">lans (ESAPs). The NDPE and IFC PS compliance are </w:t>
      </w:r>
      <w:r w:rsidR="005251A7" w:rsidRPr="004112E9">
        <w:t>requirements for all transactions</w:t>
      </w:r>
      <w:r w:rsidR="00B16152" w:rsidRPr="004112E9">
        <w:t xml:space="preserve">, but the </w:t>
      </w:r>
      <w:r w:rsidRPr="004112E9">
        <w:t>targets</w:t>
      </w:r>
      <w:r w:rsidR="00B16152" w:rsidRPr="004112E9">
        <w:t xml:space="preserve"> </w:t>
      </w:r>
      <w:r w:rsidR="00061196" w:rsidRPr="004112E9">
        <w:t xml:space="preserve">and milestones </w:t>
      </w:r>
      <w:r w:rsidR="00F75FC9" w:rsidRPr="004112E9">
        <w:t>on the journey to</w:t>
      </w:r>
      <w:r w:rsidR="00061196" w:rsidRPr="004112E9">
        <w:t xml:space="preserve"> compliance </w:t>
      </w:r>
      <w:r w:rsidR="00F75FC9" w:rsidRPr="004112E9">
        <w:t>may</w:t>
      </w:r>
      <w:r w:rsidR="00B16152" w:rsidRPr="004112E9">
        <w:t xml:space="preserve"> vary between </w:t>
      </w:r>
      <w:r w:rsidR="00F75FC9" w:rsidRPr="004112E9">
        <w:t>C</w:t>
      </w:r>
      <w:r w:rsidR="00B16152" w:rsidRPr="004112E9">
        <w:t xml:space="preserve">lients. </w:t>
      </w:r>
      <w:r w:rsidR="00D64CFC" w:rsidRPr="004112E9">
        <w:t>T</w:t>
      </w:r>
      <w:r w:rsidR="00B16152" w:rsidRPr="004112E9">
        <w:t>he</w:t>
      </w:r>
      <w:r w:rsidR="00A21F7B" w:rsidRPr="004112E9">
        <w:t xml:space="preserve">se OPIs </w:t>
      </w:r>
      <w:r w:rsidR="00F75FC9" w:rsidRPr="004112E9">
        <w:t xml:space="preserve">uniformly </w:t>
      </w:r>
      <w:r w:rsidR="007A425B" w:rsidRPr="004112E9">
        <w:t xml:space="preserve">report </w:t>
      </w:r>
      <w:r w:rsidR="001B58FE" w:rsidRPr="004112E9">
        <w:t xml:space="preserve">proportion (%) of </w:t>
      </w:r>
      <w:r w:rsidR="00061196" w:rsidRPr="004112E9">
        <w:t xml:space="preserve">targets </w:t>
      </w:r>
      <w:r w:rsidR="00442997" w:rsidRPr="004112E9">
        <w:t xml:space="preserve">and compliance met, while the targets and compliance milestones </w:t>
      </w:r>
      <w:r w:rsidR="00F75FC9" w:rsidRPr="004112E9">
        <w:t xml:space="preserve">themselves </w:t>
      </w:r>
      <w:r w:rsidR="00061196" w:rsidRPr="004112E9">
        <w:t xml:space="preserve">are </w:t>
      </w:r>
      <w:proofErr w:type="gramStart"/>
      <w:r w:rsidR="00BB5EF0" w:rsidRPr="004112E9">
        <w:t>transaction</w:t>
      </w:r>
      <w:r w:rsidR="00BF0C2E" w:rsidRPr="004112E9">
        <w:t>-specific</w:t>
      </w:r>
      <w:proofErr w:type="gramEnd"/>
      <w:r w:rsidR="00BF0C2E" w:rsidRPr="004112E9">
        <w:t xml:space="preserve">. </w:t>
      </w:r>
    </w:p>
    <w:p w14:paraId="329761A1" w14:textId="6B68685A" w:rsidR="00D023EB" w:rsidRDefault="00F070C0" w:rsidP="00B8042A">
      <w:pPr>
        <w:pStyle w:val="Body"/>
        <w:rPr>
          <w:color w:val="0070C0"/>
        </w:rPr>
      </w:pPr>
      <w:r w:rsidRPr="00257C94">
        <w:t xml:space="preserve">The portfolio of &amp;Green transactions are assessed against compliance annually. </w:t>
      </w:r>
      <w:r w:rsidR="00B17D87" w:rsidRPr="00257C94">
        <w:t>Each transaction is assessed individually</w:t>
      </w:r>
      <w:r w:rsidR="007A24F7" w:rsidRPr="00257C94">
        <w:t xml:space="preserve"> against their targets. The </w:t>
      </w:r>
      <w:r w:rsidR="00AC11F2" w:rsidRPr="00257C94">
        <w:t xml:space="preserve">portfolio results </w:t>
      </w:r>
      <w:r w:rsidR="00E84EC4" w:rsidRPr="00257C94">
        <w:t xml:space="preserve">are </w:t>
      </w:r>
      <w:r w:rsidR="00933258" w:rsidRPr="00257C94">
        <w:t>aggregated</w:t>
      </w:r>
      <w:r w:rsidR="007A24F7" w:rsidRPr="00257C94">
        <w:t xml:space="preserve"> </w:t>
      </w:r>
      <w:r w:rsidR="00E84EC4" w:rsidRPr="00257C94">
        <w:t>for OPI</w:t>
      </w:r>
      <w:r w:rsidR="006465C5" w:rsidRPr="00257C94">
        <w:t>s 9.2, 9.3 and 9.4</w:t>
      </w:r>
      <w:r w:rsidR="00E84EC4" w:rsidRPr="00257C94">
        <w:t xml:space="preserve"> as simple </w:t>
      </w:r>
      <w:r w:rsidR="005743B7" w:rsidRPr="00257C94">
        <w:t xml:space="preserve">(non-weighted) </w:t>
      </w:r>
      <w:r w:rsidR="00E84EC4" w:rsidRPr="00257C94">
        <w:t>averages</w:t>
      </w:r>
      <w:r w:rsidR="006465C5" w:rsidRPr="00257C94">
        <w:t xml:space="preserve"> </w:t>
      </w:r>
      <w:r w:rsidR="00933258" w:rsidRPr="00257C94">
        <w:t>of</w:t>
      </w:r>
      <w:r w:rsidR="006465C5" w:rsidRPr="00257C94">
        <w:t xml:space="preserve"> transactions</w:t>
      </w:r>
      <w:r w:rsidR="005743B7" w:rsidRPr="00700241">
        <w:rPr>
          <w:color w:val="0070C0"/>
        </w:rPr>
        <w:t xml:space="preserve">. </w:t>
      </w:r>
    </w:p>
    <w:p w14:paraId="104F7529" w14:textId="77777777" w:rsidR="005D1D6C" w:rsidRPr="00700241" w:rsidRDefault="005D1D6C" w:rsidP="00B8042A">
      <w:pPr>
        <w:pStyle w:val="Body"/>
        <w:rPr>
          <w:color w:val="0070C0"/>
        </w:rPr>
      </w:pPr>
    </w:p>
    <w:p w14:paraId="6D65C8EE" w14:textId="77777777" w:rsidR="00861386" w:rsidRPr="00700241" w:rsidRDefault="00861386" w:rsidP="00861386">
      <w:pPr>
        <w:pStyle w:val="Heading2simple"/>
      </w:pPr>
      <w:bookmarkStart w:id="54" w:name="_Toc103271323"/>
      <w:r w:rsidRPr="00700241">
        <w:t>OPI 9.1: Total targets met</w:t>
      </w:r>
      <w:bookmarkEnd w:id="54"/>
    </w:p>
    <w:p w14:paraId="3BB2919D" w14:textId="4A4E437E" w:rsidR="00D32A0B" w:rsidRPr="00700241" w:rsidRDefault="0068403C" w:rsidP="00861386">
      <w:pPr>
        <w:pStyle w:val="Body"/>
      </w:pPr>
      <w:r w:rsidRPr="00257C94">
        <w:t xml:space="preserve">% </w:t>
      </w:r>
      <w:proofErr w:type="gramStart"/>
      <w:r w:rsidR="00D06C71" w:rsidRPr="00257C94">
        <w:t>of</w:t>
      </w:r>
      <w:proofErr w:type="gramEnd"/>
      <w:r w:rsidR="00D06C71" w:rsidRPr="00257C94">
        <w:t xml:space="preserve"> </w:t>
      </w:r>
      <w:r w:rsidR="00D32A0B" w:rsidRPr="00257C94">
        <w:t>targets</w:t>
      </w:r>
      <w:r w:rsidR="00D32A0B" w:rsidRPr="00700241">
        <w:t xml:space="preserve"> met. </w:t>
      </w:r>
    </w:p>
    <w:p w14:paraId="74DA3AAF" w14:textId="5F237435" w:rsidR="00861386" w:rsidRPr="00700241" w:rsidRDefault="00C00715" w:rsidP="00861386">
      <w:pPr>
        <w:pStyle w:val="Body"/>
      </w:pPr>
      <w:r w:rsidRPr="00BC204F">
        <w:t xml:space="preserve">OPI9.1 is a simplified </w:t>
      </w:r>
      <w:r w:rsidR="00853738" w:rsidRPr="00BC204F">
        <w:t xml:space="preserve">summation of </w:t>
      </w:r>
      <w:r w:rsidR="001313A6" w:rsidRPr="00BC204F">
        <w:t xml:space="preserve">the proportion (%) of </w:t>
      </w:r>
      <w:r w:rsidR="00861386" w:rsidRPr="00BC204F">
        <w:t>targets</w:t>
      </w:r>
      <w:r w:rsidR="00861386" w:rsidRPr="00700241">
        <w:t xml:space="preserve"> met under OPI 9.2, 9.3 and 9.4.</w:t>
      </w:r>
      <w:r w:rsidR="00933258">
        <w:t xml:space="preserve"> </w:t>
      </w:r>
    </w:p>
    <w:p w14:paraId="060AF501" w14:textId="1A880D7C" w:rsidR="00861386" w:rsidRDefault="00933258" w:rsidP="00B4536D">
      <w:pPr>
        <w:pStyle w:val="CommentText"/>
      </w:pPr>
      <w:r>
        <w:t>It is an annual</w:t>
      </w:r>
      <w:r w:rsidR="00C5353B">
        <w:t xml:space="preserve"> overall</w:t>
      </w:r>
      <w:r>
        <w:t xml:space="preserve"> status </w:t>
      </w:r>
      <w:r w:rsidR="00C5353B">
        <w:t xml:space="preserve">that </w:t>
      </w:r>
      <w:r>
        <w:t xml:space="preserve">can increase or decrease (as </w:t>
      </w:r>
      <w:r w:rsidR="001951BA">
        <w:t xml:space="preserve">progress is made in transactions, and as </w:t>
      </w:r>
      <w:r>
        <w:t xml:space="preserve">new </w:t>
      </w:r>
      <w:r w:rsidR="001951BA">
        <w:t xml:space="preserve">transactions </w:t>
      </w:r>
      <w:r w:rsidR="00524D0A">
        <w:t>enter the portfolio</w:t>
      </w:r>
      <w:r w:rsidR="001951BA">
        <w:t xml:space="preserve"> respectively)</w:t>
      </w:r>
      <w:r w:rsidR="005F708A">
        <w:t>.</w:t>
      </w:r>
      <w:r w:rsidR="00B4536D">
        <w:t xml:space="preserve"> The relative importance of</w:t>
      </w:r>
      <w:r>
        <w:t xml:space="preserve"> </w:t>
      </w:r>
      <w:r w:rsidR="00F7541C" w:rsidRPr="00F7541C">
        <w:t xml:space="preserve">IFC PS </w:t>
      </w:r>
      <w:r w:rsidR="00075A2E">
        <w:t xml:space="preserve">compliance, </w:t>
      </w:r>
      <w:r w:rsidR="00436903" w:rsidRPr="00436903">
        <w:t xml:space="preserve">ESAP </w:t>
      </w:r>
      <w:r w:rsidR="00436903">
        <w:t xml:space="preserve">targets </w:t>
      </w:r>
      <w:r w:rsidR="00F7541C">
        <w:t xml:space="preserve">and </w:t>
      </w:r>
      <w:r>
        <w:t xml:space="preserve">NDPE compliance </w:t>
      </w:r>
      <w:r w:rsidR="001C4D20">
        <w:t>are assumed as equal, recognising the</w:t>
      </w:r>
      <w:r w:rsidR="0088444D">
        <w:t xml:space="preserve"> importance of each will vary with each transaction. </w:t>
      </w:r>
    </w:p>
    <w:p w14:paraId="0C137261" w14:textId="22ABE685" w:rsidR="00D25410" w:rsidRDefault="005538B7" w:rsidP="00B4536D">
      <w:pPr>
        <w:pStyle w:val="CommentText"/>
      </w:pPr>
      <w:r>
        <w:t xml:space="preserve">OPI9.1 is </w:t>
      </w:r>
      <w:r w:rsidR="0032736D">
        <w:t xml:space="preserve">a simple (unweighted) average of </w:t>
      </w:r>
      <w:r w:rsidR="002B7FAF" w:rsidRPr="002B7FAF">
        <w:t>OPI 9.2, 9.3 and 9.4.</w:t>
      </w:r>
    </w:p>
    <w:p w14:paraId="023B785E" w14:textId="77777777" w:rsidR="00D93C43" w:rsidRPr="00700241" w:rsidRDefault="00D93C43" w:rsidP="00B4536D">
      <w:pPr>
        <w:pStyle w:val="CommentText"/>
      </w:pPr>
    </w:p>
    <w:p w14:paraId="240F1610" w14:textId="7C20209F" w:rsidR="00B8042A" w:rsidRPr="00700241" w:rsidRDefault="00B8042A" w:rsidP="00B8042A">
      <w:pPr>
        <w:pStyle w:val="Heading2simple"/>
      </w:pPr>
      <w:bookmarkStart w:id="55" w:name="_Toc103271324"/>
      <w:r w:rsidRPr="00700241">
        <w:t>OPI 9.2: IFC PS compliance</w:t>
      </w:r>
      <w:bookmarkEnd w:id="55"/>
    </w:p>
    <w:p w14:paraId="28328791" w14:textId="7B1BFF0A" w:rsidR="00FB478E" w:rsidRPr="00700241" w:rsidRDefault="00E524C3" w:rsidP="00B8042A">
      <w:pPr>
        <w:pStyle w:val="Body"/>
      </w:pPr>
      <w:r w:rsidRPr="00A24A46">
        <w:t xml:space="preserve">% </w:t>
      </w:r>
      <w:proofErr w:type="gramStart"/>
      <w:r w:rsidRPr="00A24A46">
        <w:t>of</w:t>
      </w:r>
      <w:proofErr w:type="gramEnd"/>
      <w:r w:rsidRPr="00A24A46">
        <w:t xml:space="preserve"> transactions</w:t>
      </w:r>
      <w:r w:rsidR="00177419">
        <w:t>’</w:t>
      </w:r>
      <w:r w:rsidRPr="00700241">
        <w:t xml:space="preserve"> compliance with IFC Performance Standards.</w:t>
      </w:r>
    </w:p>
    <w:p w14:paraId="4963D1F6" w14:textId="77777777" w:rsidR="001C211A" w:rsidRDefault="00E524C3" w:rsidP="00B8042A">
      <w:pPr>
        <w:pStyle w:val="Body"/>
      </w:pPr>
      <w:r w:rsidRPr="00700241">
        <w:t>OPI9.2 s</w:t>
      </w:r>
      <w:r w:rsidR="00B8042A" w:rsidRPr="00700241">
        <w:t>ummarizes the number of transactions that have reached</w:t>
      </w:r>
      <w:r w:rsidR="007629F7" w:rsidRPr="00700241">
        <w:t xml:space="preserve"> and remain</w:t>
      </w:r>
      <w:r w:rsidR="00761FA8" w:rsidRPr="00700241">
        <w:t xml:space="preserve"> in</w:t>
      </w:r>
      <w:r w:rsidR="00B8042A" w:rsidRPr="00700241">
        <w:t xml:space="preserve"> compliance with IFC standards</w:t>
      </w:r>
      <w:r w:rsidR="00DB091A">
        <w:t xml:space="preserve">. </w:t>
      </w:r>
    </w:p>
    <w:p w14:paraId="78169C1A" w14:textId="37DD3B01" w:rsidR="00BC4D3D" w:rsidRDefault="00EB4876" w:rsidP="00B8042A">
      <w:pPr>
        <w:pStyle w:val="Body"/>
      </w:pPr>
      <w:r w:rsidRPr="00EB4876">
        <w:rPr>
          <w:lang w:val="en-GB"/>
        </w:rPr>
        <w:t>Every IFC PS must be addressed in every transaction.</w:t>
      </w:r>
      <w:r>
        <w:rPr>
          <w:lang w:val="en-GB"/>
        </w:rPr>
        <w:t xml:space="preserve"> </w:t>
      </w:r>
      <w:r w:rsidR="00F57637">
        <w:t xml:space="preserve">The importance </w:t>
      </w:r>
      <w:r w:rsidR="001C211A">
        <w:t xml:space="preserve">and relevance </w:t>
      </w:r>
      <w:r w:rsidR="00F57637">
        <w:t xml:space="preserve">of individual IFC PSs will </w:t>
      </w:r>
      <w:r w:rsidR="00D74C23">
        <w:t>vary between transactions</w:t>
      </w:r>
      <w:r w:rsidR="007433E1">
        <w:t>, and</w:t>
      </w:r>
      <w:r w:rsidR="00D871C0">
        <w:t xml:space="preserve"> d</w:t>
      </w:r>
      <w:r w:rsidR="00852317">
        <w:t>ifferent</w:t>
      </w:r>
      <w:r w:rsidR="007433E1" w:rsidRPr="007433E1">
        <w:rPr>
          <w:lang w:val="en-GB"/>
        </w:rPr>
        <w:t xml:space="preserve"> parameters may be monitored </w:t>
      </w:r>
      <w:r w:rsidR="00852317">
        <w:rPr>
          <w:lang w:val="en-GB"/>
        </w:rPr>
        <w:t xml:space="preserve">to assess </w:t>
      </w:r>
      <w:r w:rsidR="007433E1" w:rsidRPr="007433E1">
        <w:rPr>
          <w:lang w:val="en-GB"/>
        </w:rPr>
        <w:t>PS compliance</w:t>
      </w:r>
      <w:r w:rsidR="00D74C23">
        <w:t xml:space="preserve">. </w:t>
      </w:r>
      <w:r w:rsidR="00BC4D3D" w:rsidRPr="00BC4D3D">
        <w:rPr>
          <w:lang w:val="en-GB"/>
        </w:rPr>
        <w:t>In aggregating PS compliance</w:t>
      </w:r>
      <w:r w:rsidR="003E74D3">
        <w:rPr>
          <w:lang w:val="en-GB"/>
        </w:rPr>
        <w:t xml:space="preserve"> within a transaction</w:t>
      </w:r>
      <w:r w:rsidR="00BC4D3D" w:rsidRPr="00BC4D3D">
        <w:rPr>
          <w:lang w:val="en-GB"/>
        </w:rPr>
        <w:t>,</w:t>
      </w:r>
      <w:r w:rsidR="00AD06CE">
        <w:rPr>
          <w:lang w:val="en-GB"/>
        </w:rPr>
        <w:t xml:space="preserve"> the default is equal weighting per PS</w:t>
      </w:r>
      <w:r w:rsidR="00BD1442">
        <w:rPr>
          <w:lang w:val="en-GB"/>
        </w:rPr>
        <w:t>. W</w:t>
      </w:r>
      <w:r w:rsidR="00BC4D3D" w:rsidRPr="00BC4D3D">
        <w:rPr>
          <w:lang w:val="en-GB"/>
        </w:rPr>
        <w:t xml:space="preserve">eightings may </w:t>
      </w:r>
      <w:r w:rsidR="00BD1442">
        <w:rPr>
          <w:lang w:val="en-GB"/>
        </w:rPr>
        <w:t xml:space="preserve">vary </w:t>
      </w:r>
      <w:r w:rsidR="00BC4D3D" w:rsidRPr="00BC4D3D">
        <w:rPr>
          <w:lang w:val="en-GB"/>
        </w:rPr>
        <w:t xml:space="preserve">to reflect the relevance of each PS, when one or more PSs are disproportionately important (or, alternately, </w:t>
      </w:r>
      <w:r w:rsidR="00AD06CE">
        <w:rPr>
          <w:lang w:val="en-GB"/>
        </w:rPr>
        <w:t xml:space="preserve">less </w:t>
      </w:r>
      <w:r w:rsidR="00BC4D3D" w:rsidRPr="00BC4D3D">
        <w:rPr>
          <w:lang w:val="en-GB"/>
        </w:rPr>
        <w:t>significant) for the transaction.</w:t>
      </w:r>
      <w:r w:rsidR="00BC4D3D">
        <w:rPr>
          <w:lang w:val="en-GB"/>
        </w:rPr>
        <w:t xml:space="preserve"> </w:t>
      </w:r>
      <w:r w:rsidR="00D74C23">
        <w:t xml:space="preserve">The assessment of </w:t>
      </w:r>
      <w:r w:rsidR="00DB091A">
        <w:t>compliance</w:t>
      </w:r>
      <w:r w:rsidR="00B8042A" w:rsidRPr="00700241">
        <w:t xml:space="preserve"> </w:t>
      </w:r>
      <w:r w:rsidR="00D74C23">
        <w:t xml:space="preserve">per PS </w:t>
      </w:r>
      <w:r w:rsidR="005577FA">
        <w:t xml:space="preserve">and aggregation </w:t>
      </w:r>
      <w:r w:rsidR="000468F6">
        <w:t xml:space="preserve">of PSs </w:t>
      </w:r>
      <w:r w:rsidR="00D74C23">
        <w:t>is defined in each transaction</w:t>
      </w:r>
      <w:r w:rsidR="001C211A">
        <w:t>’</w:t>
      </w:r>
      <w:r w:rsidR="00D74C23">
        <w:t>s</w:t>
      </w:r>
      <w:r w:rsidR="00B8042A" w:rsidRPr="00700241">
        <w:t xml:space="preserve"> ESAP</w:t>
      </w:r>
      <w:r w:rsidR="0068403C" w:rsidRPr="00700241">
        <w:t>.</w:t>
      </w:r>
      <w:r w:rsidR="00023F0F">
        <w:t xml:space="preserve"> </w:t>
      </w:r>
    </w:p>
    <w:p w14:paraId="5A58980F" w14:textId="580AC749" w:rsidR="00A24A46" w:rsidRPr="00700241" w:rsidRDefault="005577FA" w:rsidP="00A24A46">
      <w:pPr>
        <w:pStyle w:val="Body"/>
      </w:pPr>
      <w:r>
        <w:t xml:space="preserve">Aggregation of </w:t>
      </w:r>
      <w:r w:rsidR="002758DC">
        <w:t xml:space="preserve">transactions to OPI9.2 is a simple (unweighted) average. </w:t>
      </w:r>
    </w:p>
    <w:p w14:paraId="12EA140A" w14:textId="6417BCA7" w:rsidR="005E1A70" w:rsidRPr="00700241" w:rsidRDefault="005E1A70" w:rsidP="00053A68">
      <w:pPr>
        <w:pStyle w:val="Body"/>
      </w:pPr>
    </w:p>
    <w:p w14:paraId="2DF666FF" w14:textId="47DD8AB2" w:rsidR="00B8042A" w:rsidRPr="0077422B" w:rsidRDefault="00B8042A" w:rsidP="00B8042A">
      <w:pPr>
        <w:pStyle w:val="Heading2simple"/>
      </w:pPr>
      <w:bookmarkStart w:id="56" w:name="_Toc103271325"/>
      <w:r w:rsidRPr="0077422B">
        <w:t xml:space="preserve">OPI 9.3: E&amp;S </w:t>
      </w:r>
      <w:r w:rsidR="0033601A" w:rsidRPr="0077422B">
        <w:t>A</w:t>
      </w:r>
      <w:r w:rsidRPr="0077422B">
        <w:t xml:space="preserve">ction </w:t>
      </w:r>
      <w:r w:rsidR="0033601A" w:rsidRPr="0077422B">
        <w:t>P</w:t>
      </w:r>
      <w:r w:rsidRPr="0077422B">
        <w:t>lan targets met</w:t>
      </w:r>
      <w:bookmarkEnd w:id="56"/>
    </w:p>
    <w:p w14:paraId="7155564A" w14:textId="36FF76C6" w:rsidR="00CB3A11" w:rsidRPr="00700241" w:rsidRDefault="00CB3A11" w:rsidP="00CB3A11">
      <w:pPr>
        <w:pStyle w:val="Body"/>
      </w:pPr>
      <w:r w:rsidRPr="0077422B">
        <w:t xml:space="preserve">% </w:t>
      </w:r>
      <w:proofErr w:type="gramStart"/>
      <w:r w:rsidRPr="0077422B">
        <w:t>of</w:t>
      </w:r>
      <w:proofErr w:type="gramEnd"/>
      <w:r w:rsidRPr="00700241">
        <w:t xml:space="preserve"> </w:t>
      </w:r>
      <w:r w:rsidR="008A564A" w:rsidRPr="00700241">
        <w:t>ESAP</w:t>
      </w:r>
      <w:r w:rsidR="00E94928" w:rsidRPr="00700241">
        <w:t xml:space="preserve"> targets </w:t>
      </w:r>
      <w:r w:rsidR="00C22F6B" w:rsidRPr="00700241">
        <w:t>met on time</w:t>
      </w:r>
      <w:r w:rsidRPr="00700241">
        <w:t>.</w:t>
      </w:r>
    </w:p>
    <w:p w14:paraId="32DA39A7" w14:textId="53964D93" w:rsidR="00B8042A" w:rsidRDefault="00C22F6B" w:rsidP="00B8042A">
      <w:pPr>
        <w:pStyle w:val="Body"/>
      </w:pPr>
      <w:r w:rsidRPr="00700241">
        <w:t>Each transaction has specific milestones</w:t>
      </w:r>
      <w:r w:rsidR="00406A5B" w:rsidRPr="00700241">
        <w:t>,</w:t>
      </w:r>
      <w:r w:rsidRPr="00700241">
        <w:t xml:space="preserve"> </w:t>
      </w:r>
      <w:proofErr w:type="gramStart"/>
      <w:r w:rsidRPr="00700241">
        <w:t>targets</w:t>
      </w:r>
      <w:proofErr w:type="gramEnd"/>
      <w:r w:rsidRPr="00700241">
        <w:t xml:space="preserve"> </w:t>
      </w:r>
      <w:r w:rsidR="00406A5B" w:rsidRPr="0068319E">
        <w:t xml:space="preserve">and timelines in </w:t>
      </w:r>
      <w:r w:rsidR="00C87A93" w:rsidRPr="0068319E">
        <w:t>its</w:t>
      </w:r>
      <w:r w:rsidR="002008FD" w:rsidRPr="0068319E">
        <w:t xml:space="preserve"> Environmental and Social Action Plan (ESAP). OPI9.3 s</w:t>
      </w:r>
      <w:r w:rsidR="00B8042A" w:rsidRPr="0068319E">
        <w:t xml:space="preserve">ummarizes the </w:t>
      </w:r>
      <w:r w:rsidR="00C87A93" w:rsidRPr="0068319E">
        <w:t>proportion</w:t>
      </w:r>
      <w:r w:rsidR="00B8042A" w:rsidRPr="0068319E">
        <w:t xml:space="preserve"> </w:t>
      </w:r>
      <w:r w:rsidR="00C9050D" w:rsidRPr="0068319E">
        <w:t xml:space="preserve">(as a %) </w:t>
      </w:r>
      <w:r w:rsidR="00B8042A" w:rsidRPr="0068319E">
        <w:t>of ESAP targets met on time.</w:t>
      </w:r>
      <w:r w:rsidR="00194DE3" w:rsidRPr="0068319E">
        <w:t xml:space="preserve"> This is assessed</w:t>
      </w:r>
      <w:r w:rsidR="1A4AB4FE" w:rsidRPr="0068319E">
        <w:t xml:space="preserve"> </w:t>
      </w:r>
      <w:r w:rsidR="3AB1A916" w:rsidRPr="0068319E">
        <w:t>during</w:t>
      </w:r>
      <w:r w:rsidR="1A4AB4FE" w:rsidRPr="0068319E">
        <w:t xml:space="preserve"> the</w:t>
      </w:r>
      <w:r w:rsidR="00194DE3" w:rsidRPr="0068319E">
        <w:t xml:space="preserve"> </w:t>
      </w:r>
      <w:r w:rsidR="67EDD1EA" w:rsidRPr="0068319E">
        <w:t>E&amp;S transaction, and for</w:t>
      </w:r>
      <w:r w:rsidR="00194DE3" w:rsidRPr="0068319E">
        <w:t xml:space="preserve"> each </w:t>
      </w:r>
      <w:r w:rsidR="267AD1A4" w:rsidRPr="0068319E">
        <w:t xml:space="preserve">&amp;Green </w:t>
      </w:r>
      <w:r w:rsidR="00194DE3" w:rsidRPr="0068319E">
        <w:t>annual report</w:t>
      </w:r>
      <w:r w:rsidR="00F663A8" w:rsidRPr="0068319E">
        <w:t>.</w:t>
      </w:r>
    </w:p>
    <w:p w14:paraId="6F433010" w14:textId="6499E88B" w:rsidR="00CD4B7D" w:rsidRPr="00700241" w:rsidRDefault="00CD4B7D" w:rsidP="00B8042A">
      <w:pPr>
        <w:pStyle w:val="Body"/>
        <w:rPr>
          <w:lang w:val="en-GB"/>
        </w:rPr>
      </w:pPr>
      <w:r>
        <w:t xml:space="preserve">Aggregations within and between transactions </w:t>
      </w:r>
      <w:r w:rsidR="00090964">
        <w:t xml:space="preserve">are unweighted. </w:t>
      </w:r>
    </w:p>
    <w:p w14:paraId="1F7C90AD" w14:textId="77777777" w:rsidR="00D31D1F" w:rsidRPr="00700241" w:rsidRDefault="00D31D1F" w:rsidP="00B8042A">
      <w:pPr>
        <w:pStyle w:val="Body"/>
        <w:rPr>
          <w:lang w:val="en-GB"/>
        </w:rPr>
      </w:pPr>
    </w:p>
    <w:p w14:paraId="4CD86364" w14:textId="0A20A690" w:rsidR="00B8042A" w:rsidRPr="00700241" w:rsidRDefault="00633FDC" w:rsidP="00633FDC">
      <w:pPr>
        <w:pStyle w:val="Heading2simple"/>
      </w:pPr>
      <w:bookmarkStart w:id="57" w:name="_Toc103271326"/>
      <w:r w:rsidRPr="00700241">
        <w:t>OPI 9.4: NDPE Compliance</w:t>
      </w:r>
      <w:bookmarkEnd w:id="57"/>
    </w:p>
    <w:p w14:paraId="675F8A5E" w14:textId="2794316B" w:rsidR="00633FDC" w:rsidRPr="00700241" w:rsidRDefault="00633FDC" w:rsidP="003642BD">
      <w:pPr>
        <w:pStyle w:val="Body"/>
        <w:rPr>
          <w:lang w:val="en-AU"/>
        </w:rPr>
      </w:pPr>
      <w:r w:rsidRPr="00700241">
        <w:rPr>
          <w:bCs w:val="0"/>
          <w:lang w:val="en-AU"/>
        </w:rPr>
        <w:t xml:space="preserve">% </w:t>
      </w:r>
      <w:proofErr w:type="gramStart"/>
      <w:r w:rsidRPr="00700241">
        <w:rPr>
          <w:bCs w:val="0"/>
          <w:lang w:val="en-AU"/>
        </w:rPr>
        <w:t>progress</w:t>
      </w:r>
      <w:proofErr w:type="gramEnd"/>
      <w:r w:rsidRPr="00700241">
        <w:rPr>
          <w:bCs w:val="0"/>
          <w:lang w:val="en-AU"/>
        </w:rPr>
        <w:t xml:space="preserve"> </w:t>
      </w:r>
      <w:r w:rsidRPr="00700241">
        <w:rPr>
          <w:lang w:val="en-AU"/>
        </w:rPr>
        <w:t>in implementing the &amp;Green NDPE policy.</w:t>
      </w:r>
    </w:p>
    <w:p w14:paraId="3A816B96" w14:textId="6F5C1CC9" w:rsidR="007D7763" w:rsidRPr="00700241" w:rsidRDefault="007D7763" w:rsidP="007D7763">
      <w:pPr>
        <w:pStyle w:val="Body"/>
        <w:rPr>
          <w:lang w:val="en-GB"/>
        </w:rPr>
      </w:pPr>
      <w:r w:rsidRPr="00700241">
        <w:rPr>
          <w:lang w:val="en-GB"/>
        </w:rPr>
        <w:t xml:space="preserve">This indicator </w:t>
      </w:r>
      <w:r w:rsidR="009A6D01">
        <w:rPr>
          <w:lang w:val="en-GB"/>
        </w:rPr>
        <w:t xml:space="preserve">monitors </w:t>
      </w:r>
      <w:r w:rsidR="003642BD" w:rsidRPr="00700241">
        <w:rPr>
          <w:lang w:val="en-GB"/>
        </w:rPr>
        <w:t>C</w:t>
      </w:r>
      <w:r w:rsidRPr="00700241">
        <w:rPr>
          <w:lang w:val="en-GB"/>
        </w:rPr>
        <w:t>lients</w:t>
      </w:r>
      <w:r w:rsidR="009A6D01">
        <w:rPr>
          <w:lang w:val="en-GB"/>
        </w:rPr>
        <w:t>’</w:t>
      </w:r>
      <w:r w:rsidRPr="00700241">
        <w:rPr>
          <w:lang w:val="en-GB"/>
        </w:rPr>
        <w:t xml:space="preserve"> progress in implementing </w:t>
      </w:r>
      <w:r w:rsidR="00075FBD">
        <w:rPr>
          <w:lang w:val="en-GB"/>
        </w:rPr>
        <w:t xml:space="preserve">their </w:t>
      </w:r>
      <w:r w:rsidRPr="00700241">
        <w:rPr>
          <w:lang w:val="en-GB"/>
        </w:rPr>
        <w:t xml:space="preserve">NDPE </w:t>
      </w:r>
      <w:r w:rsidR="00D023EB" w:rsidRPr="00700241">
        <w:rPr>
          <w:lang w:val="en-GB"/>
        </w:rPr>
        <w:t>commitment</w:t>
      </w:r>
      <w:r w:rsidR="00075FBD">
        <w:rPr>
          <w:lang w:val="en-GB"/>
        </w:rPr>
        <w:t>s</w:t>
      </w:r>
      <w:r w:rsidR="00D023EB" w:rsidRPr="00700241">
        <w:rPr>
          <w:lang w:val="en-GB"/>
        </w:rPr>
        <w:t xml:space="preserve"> </w:t>
      </w:r>
      <w:r w:rsidR="00075FBD">
        <w:rPr>
          <w:lang w:val="en-GB"/>
        </w:rPr>
        <w:t>from the time of approval</w:t>
      </w:r>
      <w:r w:rsidRPr="00700241">
        <w:rPr>
          <w:lang w:val="en-GB"/>
        </w:rPr>
        <w:t xml:space="preserve">. </w:t>
      </w:r>
    </w:p>
    <w:p w14:paraId="64838A11" w14:textId="463533E3" w:rsidR="006C2617" w:rsidRPr="00700241" w:rsidRDefault="007D7763" w:rsidP="007D7763">
      <w:pPr>
        <w:pStyle w:val="Body"/>
        <w:rPr>
          <w:lang w:val="en-GB"/>
        </w:rPr>
      </w:pPr>
      <w:r w:rsidRPr="00700241">
        <w:rPr>
          <w:lang w:val="en-GB"/>
        </w:rPr>
        <w:t xml:space="preserve">Progress is assessed against a matrix </w:t>
      </w:r>
      <w:r w:rsidR="00175EE0">
        <w:rPr>
          <w:lang w:val="en-GB"/>
        </w:rPr>
        <w:t>that</w:t>
      </w:r>
      <w:r w:rsidRPr="00700241">
        <w:rPr>
          <w:lang w:val="en-GB"/>
        </w:rPr>
        <w:t xml:space="preserve"> defines milestones ranging from 0 to 100% (on 20</w:t>
      </w:r>
      <w:r w:rsidR="005622BB">
        <w:rPr>
          <w:lang w:val="en-GB"/>
        </w:rPr>
        <w:t>%</w:t>
      </w:r>
      <w:r w:rsidRPr="00700241">
        <w:rPr>
          <w:lang w:val="en-GB"/>
        </w:rPr>
        <w:t xml:space="preserve">-point intervals), validated through a checklist of criteria. </w:t>
      </w:r>
    </w:p>
    <w:p w14:paraId="12092972" w14:textId="53FB0EA3" w:rsidR="007D7763" w:rsidRPr="00700241" w:rsidRDefault="007D7763" w:rsidP="007D7763">
      <w:pPr>
        <w:pStyle w:val="Body"/>
        <w:rPr>
          <w:lang w:val="en-GB"/>
        </w:rPr>
      </w:pPr>
      <w:r w:rsidRPr="00700241">
        <w:rPr>
          <w:lang w:val="en-GB"/>
        </w:rPr>
        <w:t xml:space="preserve">Progress milestones reflect stages of implementation </w:t>
      </w:r>
      <w:r w:rsidR="003B1DBE">
        <w:rPr>
          <w:lang w:val="en-GB"/>
        </w:rPr>
        <w:t>of</w:t>
      </w:r>
      <w:r w:rsidRPr="00700241">
        <w:rPr>
          <w:lang w:val="en-GB"/>
        </w:rPr>
        <w:t xml:space="preserve"> the &amp;Green NDPE policy: 0% reflects implementation of minimum requirements as per the NDPE (</w:t>
      </w:r>
      <w:proofErr w:type="gramStart"/>
      <w:r w:rsidRPr="00700241">
        <w:rPr>
          <w:lang w:val="en-GB"/>
        </w:rPr>
        <w:t>i.e.</w:t>
      </w:r>
      <w:proofErr w:type="gramEnd"/>
      <w:r w:rsidRPr="00700241">
        <w:rPr>
          <w:lang w:val="en-GB"/>
        </w:rPr>
        <w:t xml:space="preserve"> an NDPE has been published online at group level)</w:t>
      </w:r>
      <w:r w:rsidR="00547CAC">
        <w:rPr>
          <w:lang w:val="en-GB"/>
        </w:rPr>
        <w:t>.</w:t>
      </w:r>
      <w:r w:rsidRPr="00700241">
        <w:rPr>
          <w:lang w:val="en-GB"/>
        </w:rPr>
        <w:t xml:space="preserve"> 100% reflects the implementation of all requirements included in the NDPE policy.  </w:t>
      </w:r>
    </w:p>
    <w:p w14:paraId="0487A6A0" w14:textId="2E809A1E" w:rsidR="007D7763" w:rsidRPr="00700241" w:rsidRDefault="007D7763" w:rsidP="007D7763">
      <w:pPr>
        <w:pStyle w:val="Body"/>
        <w:rPr>
          <w:lang w:val="en-GB"/>
        </w:rPr>
      </w:pPr>
      <w:r w:rsidRPr="00700241">
        <w:rPr>
          <w:lang w:val="en-GB"/>
        </w:rPr>
        <w:t xml:space="preserve">A baseline must be established by &amp;Green before contracting, using the NDPE progress matrix. The baseline </w:t>
      </w:r>
      <w:r w:rsidR="003B1DBE">
        <w:rPr>
          <w:lang w:val="en-GB"/>
        </w:rPr>
        <w:t>is</w:t>
      </w:r>
      <w:r w:rsidRPr="00700241">
        <w:rPr>
          <w:lang w:val="en-GB"/>
        </w:rPr>
        <w:t xml:space="preserve"> set to coincide with the impact assessment base year</w:t>
      </w:r>
      <w:r w:rsidR="001D5681" w:rsidRPr="00700241">
        <w:rPr>
          <w:lang w:val="en-GB"/>
        </w:rPr>
        <w:t>:</w:t>
      </w:r>
      <w:r w:rsidRPr="00700241">
        <w:rPr>
          <w:lang w:val="en-GB"/>
        </w:rPr>
        <w:t xml:space="preserve"> the calendar year prior to the year of signing an investment.</w:t>
      </w:r>
    </w:p>
    <w:p w14:paraId="6310020B" w14:textId="05EA1626" w:rsidR="007D7763" w:rsidRPr="00700241" w:rsidRDefault="007D7763" w:rsidP="007D7763">
      <w:pPr>
        <w:pStyle w:val="Body"/>
        <w:rPr>
          <w:lang w:val="en-GB"/>
        </w:rPr>
      </w:pPr>
      <w:r w:rsidRPr="00700241">
        <w:rPr>
          <w:lang w:val="en-GB"/>
        </w:rPr>
        <w:t xml:space="preserve">Progress against the matrix milestones is assessed annually by Sail Ventures. </w:t>
      </w:r>
    </w:p>
    <w:p w14:paraId="20B076AA" w14:textId="6ED10A79" w:rsidR="00633FDC" w:rsidRPr="00700241" w:rsidRDefault="007D7763" w:rsidP="00AD514D">
      <w:pPr>
        <w:pStyle w:val="Body"/>
      </w:pPr>
      <w:r w:rsidRPr="00700241">
        <w:rPr>
          <w:lang w:val="en-GB"/>
        </w:rPr>
        <w:t xml:space="preserve">By monitoring all </w:t>
      </w:r>
      <w:r w:rsidR="00BB5EF0" w:rsidRPr="00700241">
        <w:rPr>
          <w:lang w:val="en-GB"/>
        </w:rPr>
        <w:t>transaction</w:t>
      </w:r>
      <w:r w:rsidR="001D5681" w:rsidRPr="00700241">
        <w:rPr>
          <w:lang w:val="en-GB"/>
        </w:rPr>
        <w:t xml:space="preserve">s </w:t>
      </w:r>
      <w:r w:rsidRPr="00700241">
        <w:rPr>
          <w:lang w:val="en-GB"/>
        </w:rPr>
        <w:t>against the same matrix and milestones, benchmark</w:t>
      </w:r>
      <w:r w:rsidR="00FE5E27" w:rsidRPr="00700241">
        <w:rPr>
          <w:lang w:val="en-GB"/>
        </w:rPr>
        <w:t>s</w:t>
      </w:r>
      <w:r w:rsidRPr="00700241">
        <w:rPr>
          <w:lang w:val="en-GB"/>
        </w:rPr>
        <w:t xml:space="preserve"> can be </w:t>
      </w:r>
      <w:r w:rsidR="00FE5E27" w:rsidRPr="00700241">
        <w:rPr>
          <w:lang w:val="en-GB"/>
        </w:rPr>
        <w:t>established for &amp;Green’s Clients</w:t>
      </w:r>
      <w:r w:rsidRPr="00700241">
        <w:rPr>
          <w:lang w:val="en-GB"/>
        </w:rPr>
        <w:t xml:space="preserve">, as well as an aggregation of </w:t>
      </w:r>
      <w:r w:rsidR="00FF5204" w:rsidRPr="00700241">
        <w:rPr>
          <w:lang w:val="en-GB"/>
        </w:rPr>
        <w:t xml:space="preserve">the status of </w:t>
      </w:r>
      <w:r w:rsidRPr="00700241">
        <w:rPr>
          <w:lang w:val="en-GB"/>
        </w:rPr>
        <w:t xml:space="preserve">all </w:t>
      </w:r>
      <w:r w:rsidR="00BB5EF0" w:rsidRPr="00700241">
        <w:rPr>
          <w:lang w:val="en-GB"/>
        </w:rPr>
        <w:t>transaction</w:t>
      </w:r>
      <w:r w:rsidR="00FF5204" w:rsidRPr="00700241">
        <w:rPr>
          <w:lang w:val="en-GB"/>
        </w:rPr>
        <w:t>s</w:t>
      </w:r>
      <w:r w:rsidRPr="00700241">
        <w:rPr>
          <w:lang w:val="en-GB"/>
        </w:rPr>
        <w:t xml:space="preserve"> </w:t>
      </w:r>
      <w:r w:rsidR="007F198E" w:rsidRPr="00700241">
        <w:rPr>
          <w:lang w:val="en-GB"/>
        </w:rPr>
        <w:t>in</w:t>
      </w:r>
      <w:r w:rsidRPr="00700241">
        <w:rPr>
          <w:lang w:val="en-GB"/>
        </w:rPr>
        <w:t xml:space="preserve"> </w:t>
      </w:r>
      <w:r w:rsidR="00FF5204" w:rsidRPr="00700241">
        <w:rPr>
          <w:lang w:val="en-GB"/>
        </w:rPr>
        <w:t xml:space="preserve">the &amp;Green </w:t>
      </w:r>
      <w:r w:rsidR="007F198E" w:rsidRPr="00700241">
        <w:rPr>
          <w:lang w:val="en-GB"/>
        </w:rPr>
        <w:t>portfolio</w:t>
      </w:r>
      <w:r w:rsidRPr="00700241">
        <w:rPr>
          <w:lang w:val="en-GB"/>
        </w:rPr>
        <w:t>.</w:t>
      </w:r>
    </w:p>
    <w:tbl>
      <w:tblPr>
        <w:tblStyle w:val="TableGrid"/>
        <w:tblW w:w="9039" w:type="dxa"/>
        <w:tblLook w:val="04A0" w:firstRow="1" w:lastRow="0" w:firstColumn="1" w:lastColumn="0" w:noHBand="0" w:noVBand="1"/>
      </w:tblPr>
      <w:tblGrid>
        <w:gridCol w:w="3276"/>
        <w:gridCol w:w="1228"/>
        <w:gridCol w:w="1350"/>
        <w:gridCol w:w="1728"/>
        <w:gridCol w:w="1457"/>
      </w:tblGrid>
      <w:tr w:rsidR="00151CCF" w:rsidRPr="00700241" w14:paraId="2DDD767B" w14:textId="77777777" w:rsidTr="00151CCF">
        <w:trPr>
          <w:cnfStyle w:val="100000000000" w:firstRow="1" w:lastRow="0" w:firstColumn="0" w:lastColumn="0" w:oddVBand="0" w:evenVBand="0" w:oddHBand="0" w:evenHBand="0" w:firstRowFirstColumn="0" w:firstRowLastColumn="0" w:lastRowFirstColumn="0" w:lastRowLastColumn="0"/>
        </w:trPr>
        <w:tc>
          <w:tcPr>
            <w:tcW w:w="3652" w:type="dxa"/>
          </w:tcPr>
          <w:p w14:paraId="2CC51F51" w14:textId="77777777" w:rsidR="00633FDC" w:rsidRPr="00700241" w:rsidRDefault="00633FDC" w:rsidP="00633FDC">
            <w:pPr>
              <w:pStyle w:val="Body"/>
              <w:rPr>
                <w:lang w:val="en-AU"/>
              </w:rPr>
            </w:pPr>
            <w:r w:rsidRPr="00700241">
              <w:rPr>
                <w:lang w:val="en-AU"/>
              </w:rPr>
              <w:t>Data point</w:t>
            </w:r>
          </w:p>
        </w:tc>
        <w:tc>
          <w:tcPr>
            <w:tcW w:w="709" w:type="dxa"/>
          </w:tcPr>
          <w:p w14:paraId="214F2BD0" w14:textId="77777777" w:rsidR="00633FDC" w:rsidRPr="00700241" w:rsidRDefault="00633FDC" w:rsidP="00633FDC">
            <w:pPr>
              <w:pStyle w:val="Body"/>
              <w:rPr>
                <w:lang w:val="en-AU"/>
              </w:rPr>
            </w:pPr>
            <w:r w:rsidRPr="00700241">
              <w:rPr>
                <w:lang w:val="en-AU"/>
              </w:rPr>
              <w:t>Baseline</w:t>
            </w:r>
          </w:p>
        </w:tc>
        <w:tc>
          <w:tcPr>
            <w:tcW w:w="1276" w:type="dxa"/>
          </w:tcPr>
          <w:p w14:paraId="755085AE" w14:textId="77777777" w:rsidR="00633FDC" w:rsidRPr="00700241" w:rsidRDefault="00633FDC" w:rsidP="00633FDC">
            <w:pPr>
              <w:pStyle w:val="Body"/>
              <w:rPr>
                <w:lang w:val="en-AU"/>
              </w:rPr>
            </w:pPr>
            <w:r w:rsidRPr="00700241">
              <w:rPr>
                <w:lang w:val="en-AU"/>
              </w:rPr>
              <w:t>Progress</w:t>
            </w:r>
          </w:p>
        </w:tc>
        <w:tc>
          <w:tcPr>
            <w:tcW w:w="1842" w:type="dxa"/>
          </w:tcPr>
          <w:p w14:paraId="2D254A1D" w14:textId="77777777" w:rsidR="00633FDC" w:rsidRPr="00700241" w:rsidRDefault="00633FDC" w:rsidP="00633FDC">
            <w:pPr>
              <w:pStyle w:val="Body"/>
              <w:rPr>
                <w:lang w:val="en-AU"/>
              </w:rPr>
            </w:pPr>
            <w:r w:rsidRPr="00700241">
              <w:rPr>
                <w:lang w:val="en-AU"/>
              </w:rPr>
              <w:t>Data source</w:t>
            </w:r>
          </w:p>
        </w:tc>
        <w:tc>
          <w:tcPr>
            <w:tcW w:w="1560" w:type="dxa"/>
          </w:tcPr>
          <w:p w14:paraId="0A991594" w14:textId="77777777" w:rsidR="00633FDC" w:rsidRPr="00700241" w:rsidRDefault="00633FDC" w:rsidP="00633FDC">
            <w:pPr>
              <w:pStyle w:val="Body"/>
              <w:rPr>
                <w:lang w:val="en-AU"/>
              </w:rPr>
            </w:pPr>
            <w:r w:rsidRPr="00700241">
              <w:rPr>
                <w:lang w:val="en-AU"/>
              </w:rPr>
              <w:t>Owner</w:t>
            </w:r>
          </w:p>
        </w:tc>
      </w:tr>
      <w:tr w:rsidR="00633FDC" w:rsidRPr="00700241" w14:paraId="7CAFF190" w14:textId="77777777" w:rsidTr="00151CCF">
        <w:tc>
          <w:tcPr>
            <w:tcW w:w="3652" w:type="dxa"/>
          </w:tcPr>
          <w:p w14:paraId="24170A80" w14:textId="77777777" w:rsidR="00633FDC" w:rsidRPr="00700241" w:rsidRDefault="00633FDC" w:rsidP="00633FDC">
            <w:pPr>
              <w:pStyle w:val="Body"/>
              <w:rPr>
                <w:lang w:val="en-GB"/>
              </w:rPr>
            </w:pPr>
            <w:r w:rsidRPr="00700241">
              <w:rPr>
                <w:lang w:val="en-GB"/>
              </w:rPr>
              <w:t>Assessment of progress against (pre-defined) NDPE implementation milestones</w:t>
            </w:r>
          </w:p>
        </w:tc>
        <w:tc>
          <w:tcPr>
            <w:tcW w:w="709" w:type="dxa"/>
          </w:tcPr>
          <w:p w14:paraId="22FAA4B9" w14:textId="2B812D72" w:rsidR="00633FDC" w:rsidRPr="00700241" w:rsidRDefault="00633FDC" w:rsidP="00151CCF">
            <w:pPr>
              <w:pStyle w:val="Body"/>
              <w:jc w:val="center"/>
              <w:rPr>
                <w:lang w:val="en-AU"/>
              </w:rPr>
            </w:pPr>
            <w:r w:rsidRPr="00700241">
              <w:rPr>
                <w:lang w:val="en-AU"/>
              </w:rPr>
              <w:t>%</w:t>
            </w:r>
          </w:p>
        </w:tc>
        <w:tc>
          <w:tcPr>
            <w:tcW w:w="1276" w:type="dxa"/>
          </w:tcPr>
          <w:p w14:paraId="57AE8062" w14:textId="15B93513" w:rsidR="00633FDC" w:rsidRPr="00700241" w:rsidRDefault="00633FDC" w:rsidP="00151CCF">
            <w:pPr>
              <w:pStyle w:val="Body"/>
              <w:jc w:val="center"/>
              <w:rPr>
                <w:lang w:val="en-AU"/>
              </w:rPr>
            </w:pPr>
            <w:r w:rsidRPr="00700241">
              <w:rPr>
                <w:lang w:val="en-AU"/>
              </w:rPr>
              <w:t>%</w:t>
            </w:r>
          </w:p>
        </w:tc>
        <w:tc>
          <w:tcPr>
            <w:tcW w:w="1842" w:type="dxa"/>
          </w:tcPr>
          <w:p w14:paraId="5C800817" w14:textId="77777777" w:rsidR="00633FDC" w:rsidRPr="00700241" w:rsidRDefault="00633FDC" w:rsidP="00633FDC">
            <w:pPr>
              <w:pStyle w:val="Body"/>
              <w:rPr>
                <w:lang w:val="en-AU"/>
              </w:rPr>
            </w:pPr>
            <w:r w:rsidRPr="00700241">
              <w:rPr>
                <w:lang w:val="en-AU"/>
              </w:rPr>
              <w:t>NDPE progress assessment tool</w:t>
            </w:r>
          </w:p>
        </w:tc>
        <w:tc>
          <w:tcPr>
            <w:tcW w:w="1560" w:type="dxa"/>
          </w:tcPr>
          <w:p w14:paraId="36C3480D" w14:textId="7A6B893F" w:rsidR="00633FDC" w:rsidRPr="00700241" w:rsidRDefault="00151CCF" w:rsidP="00633FDC">
            <w:pPr>
              <w:pStyle w:val="Body"/>
              <w:rPr>
                <w:lang w:val="en-AU"/>
              </w:rPr>
            </w:pPr>
            <w:r w:rsidRPr="00700241">
              <w:rPr>
                <w:lang w:val="en-AU"/>
              </w:rPr>
              <w:t>Sail Ventures</w:t>
            </w:r>
          </w:p>
        </w:tc>
      </w:tr>
    </w:tbl>
    <w:p w14:paraId="0B76BA0C" w14:textId="6D8EF341" w:rsidR="00633FDC" w:rsidRPr="00700241" w:rsidRDefault="00633FDC" w:rsidP="00C42CF0">
      <w:pPr>
        <w:pStyle w:val="Heading3"/>
        <w:numPr>
          <w:ilvl w:val="0"/>
          <w:numId w:val="0"/>
        </w:numPr>
        <w:rPr>
          <w:rFonts w:cs="Open Sans"/>
          <w:lang w:val="en-AU"/>
        </w:rPr>
      </w:pPr>
    </w:p>
    <w:p w14:paraId="7A3263EF" w14:textId="77777777" w:rsidR="000563D8" w:rsidRPr="00700241" w:rsidRDefault="000563D8" w:rsidP="000563D8">
      <w:pPr>
        <w:rPr>
          <w:lang w:val="en-AU"/>
        </w:rPr>
      </w:pPr>
    </w:p>
    <w:p w14:paraId="3D8A79E0" w14:textId="77777777" w:rsidR="000563D8" w:rsidRPr="00700241" w:rsidRDefault="000563D8" w:rsidP="000563D8">
      <w:pPr>
        <w:rPr>
          <w:lang w:val="en-AU"/>
        </w:rPr>
      </w:pPr>
    </w:p>
    <w:p w14:paraId="1FCE6BA0" w14:textId="77777777" w:rsidR="007F198E" w:rsidRPr="00700241" w:rsidRDefault="007F198E" w:rsidP="007F198E">
      <w:pPr>
        <w:rPr>
          <w:lang w:val="en-AU"/>
        </w:rPr>
      </w:pPr>
    </w:p>
    <w:sectPr w:rsidR="007F198E" w:rsidRPr="00700241" w:rsidSect="00D168CB">
      <w:headerReference w:type="default" r:id="rId15"/>
      <w:footerReference w:type="default" r:id="rId16"/>
      <w:headerReference w:type="first" r:id="rId17"/>
      <w:pgSz w:w="11906" w:h="16838" w:code="9"/>
      <w:pgMar w:top="2410" w:right="1440" w:bottom="992" w:left="1440"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645B8" w14:textId="77777777" w:rsidR="00CB5D08" w:rsidRPr="007B0B0B" w:rsidRDefault="00CB5D08" w:rsidP="007B0B0B">
      <w:r>
        <w:separator/>
      </w:r>
    </w:p>
    <w:p w14:paraId="5D6DA864" w14:textId="77777777" w:rsidR="00CB5D08" w:rsidRDefault="00CB5D08"/>
    <w:p w14:paraId="52E1EA9B" w14:textId="77777777" w:rsidR="00CB5D08" w:rsidRDefault="00CB5D08"/>
  </w:endnote>
  <w:endnote w:type="continuationSeparator" w:id="0">
    <w:p w14:paraId="44EF657C" w14:textId="77777777" w:rsidR="00CB5D08" w:rsidRPr="007B0B0B" w:rsidRDefault="00CB5D08" w:rsidP="007B0B0B">
      <w:r>
        <w:continuationSeparator/>
      </w:r>
    </w:p>
    <w:p w14:paraId="2F152C1A" w14:textId="77777777" w:rsidR="00CB5D08" w:rsidRDefault="00CB5D08"/>
    <w:p w14:paraId="5A49A40E" w14:textId="77777777" w:rsidR="00CB5D08" w:rsidRDefault="00CB5D08"/>
  </w:endnote>
  <w:endnote w:type="continuationNotice" w:id="1">
    <w:p w14:paraId="48304416" w14:textId="77777777" w:rsidR="00CB5D08" w:rsidRDefault="00CB5D08" w:rsidP="007B0B0B"/>
    <w:p w14:paraId="7EB0CD2A" w14:textId="77777777" w:rsidR="00CB5D08" w:rsidRDefault="00CB5D08"/>
    <w:p w14:paraId="5FBBC7E8" w14:textId="77777777" w:rsidR="00CB5D08" w:rsidRDefault="00CB5D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charset w:val="00"/>
    <w:family w:val="auto"/>
    <w:pitch w:val="variable"/>
    <w:sig w:usb0="2000020F" w:usb1="00000003"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Open Sans">
    <w:altName w:val="Segoe UI"/>
    <w:charset w:val="00"/>
    <w:family w:val="swiss"/>
    <w:pitch w:val="variable"/>
    <w:sig w:usb0="E00002EF" w:usb1="4000205B" w:usb2="00000028" w:usb3="00000000" w:csb0="0000019F" w:csb1="00000000"/>
  </w:font>
  <w:font w:name="Calibri">
    <w:panose1 w:val="020F0502020204030204"/>
    <w:charset w:val="00"/>
    <w:family w:val="swiss"/>
    <w:pitch w:val="variable"/>
    <w:sig w:usb0="E0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Yu Gothic"/>
    <w:panose1 w:val="00000000000000000000"/>
    <w:charset w:val="80"/>
    <w:family w:val="roman"/>
    <w:notTrueType/>
    <w:pitch w:val="default"/>
  </w:font>
  <w:font w:name="Arial Nova">
    <w:altName w:val="Arial"/>
    <w:charset w:val="00"/>
    <w:family w:val="swiss"/>
    <w:pitch w:val="variable"/>
    <w:sig w:usb0="0000028F" w:usb1="00000002" w:usb2="00000000" w:usb3="00000000" w:csb0="0000019F" w:csb1="00000000"/>
  </w:font>
  <w:font w:name="Georgia">
    <w:panose1 w:val="02040502050405020303"/>
    <w:charset w:val="00"/>
    <w:family w:val="roman"/>
    <w:pitch w:val="variable"/>
    <w:sig w:usb0="00000287" w:usb1="00000000" w:usb2="00000000" w:usb3="00000000" w:csb0="0000009F" w:csb1="00000000"/>
  </w:font>
  <w:font w:name="Roboto Light">
    <w:charset w:val="00"/>
    <w:family w:val="auto"/>
    <w:pitch w:val="variable"/>
    <w:sig w:usb0="E00002FF" w:usb1="5000205B" w:usb2="0000002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925880"/>
      <w:docPartObj>
        <w:docPartGallery w:val="Page Numbers (Bottom of Page)"/>
        <w:docPartUnique/>
      </w:docPartObj>
    </w:sdtPr>
    <w:sdtEndPr>
      <w:rPr>
        <w:noProof/>
      </w:rPr>
    </w:sdtEndPr>
    <w:sdtContent>
      <w:p w14:paraId="008A13C2" w14:textId="65AF03D2" w:rsidR="00BA4F36" w:rsidRDefault="00BA4F3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FAF14B2" w14:textId="77777777" w:rsidR="00B66D78" w:rsidRDefault="00B66D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4B394" w14:textId="77777777" w:rsidR="00CB5D08" w:rsidRPr="007B0B0B" w:rsidRDefault="00CB5D08" w:rsidP="007B0B0B">
      <w:r>
        <w:separator/>
      </w:r>
    </w:p>
  </w:footnote>
  <w:footnote w:type="continuationSeparator" w:id="0">
    <w:p w14:paraId="3D85BF86" w14:textId="77777777" w:rsidR="00CB5D08" w:rsidRPr="007B0B0B" w:rsidRDefault="00CB5D08" w:rsidP="007B0B0B">
      <w:r>
        <w:continuationSeparator/>
      </w:r>
    </w:p>
  </w:footnote>
  <w:footnote w:type="continuationNotice" w:id="1">
    <w:p w14:paraId="6623907A" w14:textId="77777777" w:rsidR="00CB5D08" w:rsidRPr="003F606B" w:rsidRDefault="00CB5D08" w:rsidP="003F606B">
      <w:pPr>
        <w:pStyle w:val="Footer"/>
      </w:pPr>
    </w:p>
  </w:footnote>
  <w:footnote w:id="2">
    <w:p w14:paraId="30C80EA1" w14:textId="77777777" w:rsidR="002B6812" w:rsidRPr="00BC74F3" w:rsidRDefault="002B6812" w:rsidP="00400F70">
      <w:pPr>
        <w:pStyle w:val="FootnoteText"/>
        <w:spacing w:before="0" w:after="0"/>
        <w:rPr>
          <w:szCs w:val="16"/>
        </w:rPr>
      </w:pPr>
      <w:r w:rsidRPr="00BC74F3">
        <w:rPr>
          <w:rStyle w:val="FootnoteReference"/>
          <w:rFonts w:eastAsiaTheme="minorEastAsia"/>
          <w:szCs w:val="16"/>
        </w:rPr>
        <w:footnoteRef/>
      </w:r>
      <w:r w:rsidRPr="00BC74F3">
        <w:rPr>
          <w:szCs w:val="16"/>
        </w:rPr>
        <w:t xml:space="preserve"> The Forest KPIs include protection of </w:t>
      </w:r>
      <w:r w:rsidRPr="00BC74F3">
        <w:rPr>
          <w:rFonts w:cstheme="minorHAnsi"/>
          <w:szCs w:val="16"/>
        </w:rPr>
        <w:t>peatlands</w:t>
      </w:r>
      <w:r>
        <w:rPr>
          <w:rFonts w:cstheme="minorHAnsi"/>
          <w:szCs w:val="16"/>
        </w:rPr>
        <w:t xml:space="preserve">. They </w:t>
      </w:r>
      <w:r w:rsidRPr="00BC74F3">
        <w:rPr>
          <w:rFonts w:cstheme="minorHAnsi"/>
          <w:szCs w:val="16"/>
        </w:rPr>
        <w:t xml:space="preserve">are not </w:t>
      </w:r>
      <w:r>
        <w:rPr>
          <w:rFonts w:cstheme="minorHAnsi"/>
          <w:szCs w:val="16"/>
        </w:rPr>
        <w:t xml:space="preserve">mentioned </w:t>
      </w:r>
      <w:r w:rsidRPr="00BC74F3">
        <w:rPr>
          <w:rFonts w:cstheme="minorHAnsi"/>
          <w:szCs w:val="16"/>
        </w:rPr>
        <w:t xml:space="preserve">in the indicators for </w:t>
      </w:r>
      <w:r>
        <w:rPr>
          <w:rFonts w:cstheme="minorHAnsi"/>
          <w:szCs w:val="16"/>
        </w:rPr>
        <w:t>brevity</w:t>
      </w:r>
      <w:r w:rsidRPr="00BC74F3">
        <w:rPr>
          <w:rFonts w:cstheme="minorHAnsi"/>
          <w:szCs w:val="16"/>
        </w:rPr>
        <w:t xml:space="preserve"> of communication.</w:t>
      </w:r>
    </w:p>
  </w:footnote>
  <w:footnote w:id="3">
    <w:p w14:paraId="2C10C0E7" w14:textId="77777777" w:rsidR="00C67A6F" w:rsidRPr="00BC74F3" w:rsidRDefault="00C67A6F" w:rsidP="001303A5">
      <w:pPr>
        <w:pStyle w:val="FootnoteText"/>
        <w:spacing w:before="0" w:after="0"/>
        <w:rPr>
          <w:szCs w:val="16"/>
        </w:rPr>
      </w:pPr>
      <w:r w:rsidRPr="00BC74F3">
        <w:rPr>
          <w:rStyle w:val="FootnoteReference"/>
          <w:rFonts w:eastAsiaTheme="minorEastAsia"/>
          <w:szCs w:val="16"/>
        </w:rPr>
        <w:footnoteRef/>
      </w:r>
      <w:r w:rsidRPr="00BC74F3">
        <w:rPr>
          <w:szCs w:val="16"/>
        </w:rPr>
        <w:t xml:space="preserve"> The Forest KPIs include protection of </w:t>
      </w:r>
      <w:r w:rsidRPr="00BC74F3">
        <w:rPr>
          <w:rFonts w:cstheme="minorHAnsi"/>
          <w:szCs w:val="16"/>
        </w:rPr>
        <w:t>peatlands</w:t>
      </w:r>
      <w:r>
        <w:rPr>
          <w:rFonts w:cstheme="minorHAnsi"/>
          <w:szCs w:val="16"/>
        </w:rPr>
        <w:t xml:space="preserve">. They </w:t>
      </w:r>
      <w:r w:rsidRPr="00BC74F3">
        <w:rPr>
          <w:rFonts w:cstheme="minorHAnsi"/>
          <w:szCs w:val="16"/>
        </w:rPr>
        <w:t xml:space="preserve">are not </w:t>
      </w:r>
      <w:r>
        <w:rPr>
          <w:rFonts w:cstheme="minorHAnsi"/>
          <w:szCs w:val="16"/>
        </w:rPr>
        <w:t xml:space="preserve">mentioned </w:t>
      </w:r>
      <w:r w:rsidRPr="00BC74F3">
        <w:rPr>
          <w:rFonts w:cstheme="minorHAnsi"/>
          <w:szCs w:val="16"/>
        </w:rPr>
        <w:t xml:space="preserve">in the indicators for </w:t>
      </w:r>
      <w:r>
        <w:rPr>
          <w:rFonts w:cstheme="minorHAnsi"/>
          <w:szCs w:val="16"/>
        </w:rPr>
        <w:t>brevity</w:t>
      </w:r>
      <w:r w:rsidRPr="00BC74F3">
        <w:rPr>
          <w:rFonts w:cstheme="minorHAnsi"/>
          <w:szCs w:val="16"/>
        </w:rPr>
        <w:t xml:space="preserve"> of communication.</w:t>
      </w:r>
    </w:p>
  </w:footnote>
  <w:footnote w:id="4">
    <w:p w14:paraId="41581A16" w14:textId="3FD87AEC" w:rsidR="00E64CD0" w:rsidRPr="004F3DC8" w:rsidRDefault="00E64CD0" w:rsidP="001A60A5">
      <w:pPr>
        <w:pStyle w:val="FootnoteText"/>
        <w:spacing w:before="0" w:after="0"/>
        <w:rPr>
          <w:szCs w:val="16"/>
          <w:lang w:val="en-AU"/>
        </w:rPr>
      </w:pPr>
      <w:r w:rsidRPr="004F3DC8">
        <w:rPr>
          <w:rStyle w:val="FootnoteReference"/>
          <w:szCs w:val="16"/>
        </w:rPr>
        <w:footnoteRef/>
      </w:r>
      <w:r w:rsidRPr="004F3DC8">
        <w:rPr>
          <w:szCs w:val="16"/>
        </w:rPr>
        <w:t xml:space="preserve"> </w:t>
      </w:r>
      <w:r w:rsidRPr="004F3DC8">
        <w:rPr>
          <w:szCs w:val="16"/>
          <w:lang w:val="en-AU"/>
        </w:rPr>
        <w:t xml:space="preserve">This </w:t>
      </w:r>
      <w:r w:rsidR="005A3BF3">
        <w:rPr>
          <w:szCs w:val="16"/>
          <w:lang w:val="en-AU"/>
        </w:rPr>
        <w:t>KPI and OPIs</w:t>
      </w:r>
      <w:r w:rsidR="008B5B8E">
        <w:rPr>
          <w:szCs w:val="16"/>
          <w:lang w:val="en-AU"/>
        </w:rPr>
        <w:t xml:space="preserve"> </w:t>
      </w:r>
      <w:r w:rsidRPr="004F3DC8">
        <w:rPr>
          <w:szCs w:val="16"/>
          <w:lang w:val="en-AU"/>
        </w:rPr>
        <w:t>include</w:t>
      </w:r>
      <w:r w:rsidR="008B5B8E">
        <w:rPr>
          <w:szCs w:val="16"/>
          <w:lang w:val="en-AU"/>
        </w:rPr>
        <w:t>s</w:t>
      </w:r>
      <w:r w:rsidRPr="004F3DC8">
        <w:rPr>
          <w:szCs w:val="16"/>
          <w:lang w:val="en-AU"/>
        </w:rPr>
        <w:t xml:space="preserve"> peatland conservation </w:t>
      </w:r>
      <w:r w:rsidR="005A3BF3">
        <w:rPr>
          <w:szCs w:val="16"/>
          <w:lang w:val="en-AU"/>
        </w:rPr>
        <w:t xml:space="preserve">and/or rehabilitation </w:t>
      </w:r>
      <w:r w:rsidRPr="004F3DC8">
        <w:rPr>
          <w:szCs w:val="16"/>
          <w:lang w:val="en-AU"/>
        </w:rPr>
        <w:t xml:space="preserve">where relevant. </w:t>
      </w:r>
    </w:p>
  </w:footnote>
  <w:footnote w:id="5">
    <w:p w14:paraId="7E194CDA" w14:textId="5AA9E8D8" w:rsidR="001A60A5" w:rsidRPr="001A60A5" w:rsidRDefault="001A60A5" w:rsidP="001A60A5">
      <w:pPr>
        <w:pStyle w:val="FootnoteText"/>
        <w:spacing w:before="0" w:after="0"/>
        <w:rPr>
          <w:lang w:val="en-AU"/>
        </w:rPr>
      </w:pPr>
      <w:r>
        <w:rPr>
          <w:rStyle w:val="FootnoteReference"/>
        </w:rPr>
        <w:footnoteRef/>
      </w:r>
      <w:r>
        <w:t xml:space="preserve"> </w:t>
      </w:r>
      <w:r>
        <w:rPr>
          <w:bCs/>
          <w:lang w:val="en-AU"/>
        </w:rPr>
        <w:t>For more detail r</w:t>
      </w:r>
      <w:proofErr w:type="spellStart"/>
      <w:r w:rsidRPr="00710D02">
        <w:t>efer</w:t>
      </w:r>
      <w:proofErr w:type="spellEnd"/>
      <w:r w:rsidRPr="00710D02">
        <w:t xml:space="preserve"> to the Tier C guidance document titled: </w:t>
      </w:r>
      <w:r w:rsidRPr="00710D02">
        <w:rPr>
          <w:i/>
          <w:iCs/>
        </w:rPr>
        <w:t xml:space="preserve">KPI2 </w:t>
      </w:r>
      <w:proofErr w:type="spellStart"/>
      <w:r w:rsidRPr="00710D02">
        <w:rPr>
          <w:i/>
          <w:iCs/>
        </w:rPr>
        <w:t>ForestProtect</w:t>
      </w:r>
      <w:proofErr w:type="spellEnd"/>
      <w:r w:rsidRPr="00710D02">
        <w:rPr>
          <w:i/>
          <w:iCs/>
        </w:rPr>
        <w:t xml:space="preserve"> </w:t>
      </w:r>
      <w:proofErr w:type="spellStart"/>
      <w:r w:rsidRPr="00710D02">
        <w:rPr>
          <w:i/>
          <w:iCs/>
        </w:rPr>
        <w:t>TierC</w:t>
      </w:r>
      <w:proofErr w:type="spellEnd"/>
      <w:r w:rsidRPr="00710D02">
        <w:rPr>
          <w:i/>
          <w:iCs/>
        </w:rPr>
        <w:t xml:space="preserve"> SOP Final 1Apr22.</w:t>
      </w:r>
    </w:p>
  </w:footnote>
  <w:footnote w:id="6">
    <w:p w14:paraId="19761E55" w14:textId="4BCD78DB" w:rsidR="000D6C7D" w:rsidRPr="00904FC8" w:rsidRDefault="000D6C7D" w:rsidP="00F9723E">
      <w:pPr>
        <w:pStyle w:val="FootnoteText"/>
        <w:spacing w:before="0" w:after="0"/>
        <w:rPr>
          <w:lang w:val="en-AU"/>
        </w:rPr>
      </w:pPr>
      <w:r w:rsidRPr="00A7152D">
        <w:rPr>
          <w:rStyle w:val="FootnoteReference"/>
          <w:szCs w:val="16"/>
        </w:rPr>
        <w:footnoteRef/>
      </w:r>
      <w:r w:rsidRPr="00A7152D">
        <w:rPr>
          <w:szCs w:val="16"/>
        </w:rPr>
        <w:t xml:space="preserve"> </w:t>
      </w:r>
      <w:r w:rsidRPr="00A7152D">
        <w:rPr>
          <w:szCs w:val="16"/>
          <w:lang w:val="en-AU"/>
        </w:rPr>
        <w:t>Forests are defined</w:t>
      </w:r>
      <w:r w:rsidR="001F1659">
        <w:rPr>
          <w:szCs w:val="16"/>
          <w:lang w:val="en-AU"/>
        </w:rPr>
        <w:t xml:space="preserve"> by each national government</w:t>
      </w:r>
      <w:r w:rsidRPr="00A7152D">
        <w:rPr>
          <w:szCs w:val="16"/>
          <w:lang w:val="en-AU"/>
        </w:rPr>
        <w:t xml:space="preserve"> on 4 criteria: crown cover, tree height, </w:t>
      </w:r>
      <w:proofErr w:type="gramStart"/>
      <w:r w:rsidRPr="00A7152D">
        <w:rPr>
          <w:szCs w:val="16"/>
          <w:lang w:val="en-AU"/>
        </w:rPr>
        <w:t>area</w:t>
      </w:r>
      <w:proofErr w:type="gramEnd"/>
      <w:r w:rsidRPr="00A7152D">
        <w:rPr>
          <w:szCs w:val="16"/>
          <w:lang w:val="en-AU"/>
        </w:rPr>
        <w:t xml:space="preserve"> and predominant land use. The FAO (and UNFCCC) definition </w:t>
      </w:r>
      <w:proofErr w:type="gramStart"/>
      <w:r w:rsidRPr="00A7152D">
        <w:rPr>
          <w:szCs w:val="16"/>
          <w:lang w:val="en-AU"/>
        </w:rPr>
        <w:t>is:</w:t>
      </w:r>
      <w:proofErr w:type="gramEnd"/>
      <w:r w:rsidRPr="00A7152D">
        <w:rPr>
          <w:szCs w:val="16"/>
          <w:lang w:val="en-AU"/>
        </w:rPr>
        <w:t xml:space="preserve"> </w:t>
      </w:r>
      <w:r w:rsidRPr="00A7152D">
        <w:rPr>
          <w:i/>
          <w:szCs w:val="16"/>
        </w:rPr>
        <w:t xml:space="preserve">Forest includes natural forests and forest plantations. It is used to refer to land with a tree canopy cover of more than 10%, height of more than 5m and area of more than 0.5 ha. Forests are determined both by the presence of trees and the absence of other predominant land uses. </w:t>
      </w:r>
      <w:r w:rsidRPr="00A7152D">
        <w:rPr>
          <w:iCs/>
          <w:szCs w:val="16"/>
        </w:rPr>
        <w:t xml:space="preserve"> From: </w:t>
      </w:r>
      <w:r w:rsidRPr="00A7152D">
        <w:rPr>
          <w:szCs w:val="16"/>
        </w:rPr>
        <w:t xml:space="preserve">FAO (2006): </w:t>
      </w:r>
      <w:hyperlink r:id="rId1" w:history="1">
        <w:r w:rsidRPr="00A7152D">
          <w:rPr>
            <w:rStyle w:val="Hyperlink"/>
            <w:szCs w:val="16"/>
          </w:rPr>
          <w:t>www.fao.org/forestry/fra2005</w:t>
        </w:r>
      </w:hyperlink>
      <w:r w:rsidRPr="00A7152D">
        <w:rPr>
          <w:szCs w:val="16"/>
          <w:lang w:val="en-AU"/>
        </w:rPr>
        <w:t>.</w:t>
      </w:r>
      <w:r w:rsidRPr="00D4102F">
        <w:rPr>
          <w:szCs w:val="16"/>
          <w:lang w:val="en-AU"/>
        </w:rPr>
        <w:t xml:space="preserve"> </w:t>
      </w:r>
    </w:p>
  </w:footnote>
  <w:footnote w:id="7">
    <w:p w14:paraId="05BFE815" w14:textId="5E08D5E5" w:rsidR="008E726C" w:rsidRPr="008E726C" w:rsidRDefault="008E726C" w:rsidP="00474B0C">
      <w:pPr>
        <w:pStyle w:val="FootnoteText"/>
        <w:spacing w:before="0" w:after="0"/>
        <w:rPr>
          <w:lang w:val="en-AU"/>
        </w:rPr>
      </w:pPr>
      <w:r>
        <w:rPr>
          <w:rStyle w:val="FootnoteReference"/>
        </w:rPr>
        <w:footnoteRef/>
      </w:r>
      <w:r>
        <w:t xml:space="preserve"> This approach </w:t>
      </w:r>
      <w:r w:rsidRPr="00380359">
        <w:rPr>
          <w:lang w:val="en-IE"/>
        </w:rPr>
        <w:t>is compatible with the calculation of emissions reductions compared to ‘Business as Usual’ scenarios</w:t>
      </w:r>
      <w:r w:rsidR="003C03A4">
        <w:rPr>
          <w:lang w:val="en-IE"/>
        </w:rPr>
        <w:t xml:space="preserve">, the </w:t>
      </w:r>
      <w:r w:rsidRPr="00380359">
        <w:rPr>
          <w:lang w:val="en-IE"/>
        </w:rPr>
        <w:t>approach for more than half of countries’ Nationally Determined Contribution commitments under the Paris Agreement.</w:t>
      </w:r>
    </w:p>
  </w:footnote>
  <w:footnote w:id="8">
    <w:p w14:paraId="04C65A72" w14:textId="565907EC" w:rsidR="008B13CF" w:rsidRPr="008B13CF" w:rsidRDefault="008B13CF" w:rsidP="00474B0C">
      <w:pPr>
        <w:pStyle w:val="FootnoteText"/>
        <w:spacing w:before="0" w:after="0"/>
        <w:rPr>
          <w:lang w:val="en-AU"/>
        </w:rPr>
      </w:pPr>
      <w:r>
        <w:rPr>
          <w:rStyle w:val="FootnoteReference"/>
        </w:rPr>
        <w:footnoteRef/>
      </w:r>
      <w:r>
        <w:t xml:space="preserve"> </w:t>
      </w:r>
      <w:r>
        <w:rPr>
          <w:lang w:val="en-AU"/>
        </w:rPr>
        <w:t>As well as Forest Reference Emissions Levels (FRELs) under the Paris Agreement.</w:t>
      </w:r>
    </w:p>
  </w:footnote>
  <w:footnote w:id="9">
    <w:p w14:paraId="4F0AF63E" w14:textId="224FC772" w:rsidR="00AD6FA9" w:rsidRPr="00F26BE7" w:rsidRDefault="00AD6FA9" w:rsidP="0034598A">
      <w:pPr>
        <w:pStyle w:val="FootnoteText"/>
        <w:spacing w:before="0" w:after="0"/>
        <w:rPr>
          <w:lang w:val="en-AU"/>
        </w:rPr>
      </w:pPr>
      <w:r>
        <w:rPr>
          <w:rStyle w:val="FootnoteReference"/>
        </w:rPr>
        <w:footnoteRef/>
      </w:r>
      <w:r>
        <w:t xml:space="preserve"> </w:t>
      </w:r>
      <w:r>
        <w:rPr>
          <w:bCs/>
          <w:lang w:val="en-IE"/>
        </w:rPr>
        <w:t xml:space="preserve">Within REDD+ approaches </w:t>
      </w:r>
      <w:r w:rsidRPr="00BB406C">
        <w:rPr>
          <w:bCs/>
          <w:lang w:val="en-IE"/>
        </w:rPr>
        <w:t>OPI 3.</w:t>
      </w:r>
      <w:r w:rsidR="00BB7B41">
        <w:rPr>
          <w:bCs/>
          <w:lang w:val="en-IE"/>
        </w:rPr>
        <w:t>2</w:t>
      </w:r>
      <w:r w:rsidRPr="00BB406C">
        <w:rPr>
          <w:bCs/>
          <w:lang w:val="en-IE"/>
        </w:rPr>
        <w:t xml:space="preserve"> </w:t>
      </w:r>
      <w:r>
        <w:rPr>
          <w:bCs/>
          <w:lang w:val="en-IE"/>
        </w:rPr>
        <w:t xml:space="preserve">reflects ‘enhanced sequestration’ </w:t>
      </w:r>
      <w:r w:rsidR="00BB7B41">
        <w:rPr>
          <w:bCs/>
          <w:lang w:val="en-IE"/>
        </w:rPr>
        <w:t xml:space="preserve">when a forest is protected. </w:t>
      </w:r>
    </w:p>
  </w:footnote>
  <w:footnote w:id="10">
    <w:p w14:paraId="5BFC863B" w14:textId="6438F096" w:rsidR="00FA7AD7" w:rsidRPr="00FA7AD7" w:rsidRDefault="00FA7AD7" w:rsidP="00474B0C">
      <w:pPr>
        <w:pStyle w:val="FootnoteText"/>
        <w:spacing w:before="0" w:after="0"/>
        <w:rPr>
          <w:lang w:val="en-AU"/>
        </w:rPr>
      </w:pPr>
      <w:r>
        <w:rPr>
          <w:rStyle w:val="FootnoteReference"/>
        </w:rPr>
        <w:footnoteRef/>
      </w:r>
      <w:r>
        <w:t xml:space="preserve"> </w:t>
      </w:r>
      <w:r>
        <w:rPr>
          <w:lang w:val="en-AU"/>
        </w:rPr>
        <w:t xml:space="preserve">UNFCCC: United Nations Framework Convention on Climate Change. IPCC: Intergovernmental Panel </w:t>
      </w:r>
      <w:r w:rsidR="008B13CF">
        <w:rPr>
          <w:lang w:val="en-AU"/>
        </w:rPr>
        <w:t>on Climate Change.</w:t>
      </w:r>
    </w:p>
  </w:footnote>
  <w:footnote w:id="11">
    <w:p w14:paraId="2477E3AA" w14:textId="2AEE81F6" w:rsidR="00633271" w:rsidRPr="00633271" w:rsidRDefault="00633271" w:rsidP="00633271">
      <w:pPr>
        <w:spacing w:before="0" w:after="0"/>
      </w:pPr>
      <w:r w:rsidRPr="00633271">
        <w:rPr>
          <w:sz w:val="16"/>
          <w:vertAlign w:val="superscript"/>
          <w:lang w:val="en-AU"/>
        </w:rPr>
        <w:footnoteRef/>
      </w:r>
      <w:r w:rsidRPr="00633271">
        <w:rPr>
          <w:sz w:val="16"/>
          <w:lang w:val="en-AU"/>
        </w:rPr>
        <w:t xml:space="preserve"> </w:t>
      </w:r>
      <w:r w:rsidRPr="00292DF4">
        <w:rPr>
          <w:sz w:val="16"/>
          <w:lang w:val="en-AU"/>
        </w:rPr>
        <w:t>The same assumptions are taken in national inventory assessments</w:t>
      </w:r>
      <w:r w:rsidRPr="00633271">
        <w:rPr>
          <w:sz w:val="16"/>
          <w:lang w:val="en-AU"/>
        </w:rPr>
        <w:t xml:space="preserve"> and FRELs</w:t>
      </w:r>
      <w:r w:rsidRPr="00292DF4">
        <w:rPr>
          <w:sz w:val="16"/>
          <w:lang w:val="en-AU"/>
        </w:rPr>
        <w:t xml:space="preserve">. There </w:t>
      </w:r>
      <w:r w:rsidRPr="00633271">
        <w:rPr>
          <w:sz w:val="16"/>
          <w:lang w:val="en-AU"/>
        </w:rPr>
        <w:t xml:space="preserve">will be </w:t>
      </w:r>
      <w:r w:rsidRPr="00292DF4">
        <w:rPr>
          <w:sz w:val="16"/>
          <w:lang w:val="en-AU"/>
        </w:rPr>
        <w:t>circumstances where these assumptions do not hold</w:t>
      </w:r>
      <w:r w:rsidRPr="00633271">
        <w:rPr>
          <w:sz w:val="16"/>
          <w:lang w:val="en-AU"/>
        </w:rPr>
        <w:t>, h</w:t>
      </w:r>
      <w:r w:rsidRPr="00292DF4">
        <w:rPr>
          <w:sz w:val="16"/>
          <w:lang w:val="en-AU"/>
        </w:rPr>
        <w:t xml:space="preserve">owever, averaged over the targeted (large) areas, these assumptions are valid. </w:t>
      </w:r>
    </w:p>
  </w:footnote>
  <w:footnote w:id="12">
    <w:p w14:paraId="785FE286" w14:textId="7EB397A8" w:rsidR="00B27F8A" w:rsidRPr="00FA7AD7" w:rsidRDefault="00B27F8A" w:rsidP="00B27F8A">
      <w:pPr>
        <w:pStyle w:val="FootnoteText"/>
        <w:spacing w:before="0" w:after="0"/>
        <w:rPr>
          <w:lang w:val="en-AU"/>
        </w:rPr>
      </w:pPr>
      <w:r>
        <w:rPr>
          <w:rStyle w:val="FootnoteReference"/>
        </w:rPr>
        <w:footnoteRef/>
      </w:r>
      <w:r>
        <w:t xml:space="preserve"> As for OPI2.2, IPCC Tier 2 or 3 </w:t>
      </w:r>
      <w:r w:rsidR="000A2A7C">
        <w:t xml:space="preserve">factors </w:t>
      </w:r>
      <w:r>
        <w:t xml:space="preserve">are used, conservatively selected, assuming initially significantly degraded forests. </w:t>
      </w:r>
    </w:p>
  </w:footnote>
  <w:footnote w:id="13">
    <w:p w14:paraId="559F96C5" w14:textId="7197BA64" w:rsidR="00F26BE7" w:rsidRPr="00F26BE7" w:rsidRDefault="00F26BE7" w:rsidP="00036091">
      <w:pPr>
        <w:pStyle w:val="FootnoteText"/>
        <w:spacing w:before="0" w:after="0"/>
        <w:rPr>
          <w:lang w:val="en-AU"/>
        </w:rPr>
      </w:pPr>
      <w:r>
        <w:rPr>
          <w:rStyle w:val="FootnoteReference"/>
        </w:rPr>
        <w:footnoteRef/>
      </w:r>
      <w:r>
        <w:t xml:space="preserve"> </w:t>
      </w:r>
      <w:r w:rsidR="00AE636A">
        <w:t>W</w:t>
      </w:r>
      <w:proofErr w:type="spellStart"/>
      <w:r w:rsidR="00C6085A" w:rsidRPr="00C6085A">
        <w:rPr>
          <w:bCs/>
          <w:lang w:val="en-IE"/>
        </w:rPr>
        <w:t>ithout</w:t>
      </w:r>
      <w:proofErr w:type="spellEnd"/>
      <w:r w:rsidR="00C6085A" w:rsidRPr="00C6085A">
        <w:rPr>
          <w:bCs/>
          <w:lang w:val="en-IE"/>
        </w:rPr>
        <w:t xml:space="preserve"> the use of a hypothetical </w:t>
      </w:r>
      <w:proofErr w:type="spellStart"/>
      <w:r w:rsidR="00C6085A" w:rsidRPr="00C6085A">
        <w:rPr>
          <w:bCs/>
          <w:lang w:val="en-IE"/>
        </w:rPr>
        <w:t>BaU</w:t>
      </w:r>
      <w:proofErr w:type="spellEnd"/>
      <w:r w:rsidR="00C6085A" w:rsidRPr="00C6085A">
        <w:rPr>
          <w:bCs/>
          <w:lang w:val="en-IE"/>
        </w:rPr>
        <w:t xml:space="preserve"> scenario required by REDD+ methodologies</w:t>
      </w:r>
      <w:r w:rsidR="00AE636A">
        <w:rPr>
          <w:bCs/>
          <w:lang w:val="en-IE"/>
        </w:rPr>
        <w:t xml:space="preserve">, </w:t>
      </w:r>
      <w:r w:rsidR="00BB406C" w:rsidRPr="00BB406C">
        <w:rPr>
          <w:bCs/>
          <w:lang w:val="en-IE"/>
        </w:rPr>
        <w:t xml:space="preserve">OPI 3.3 is related to </w:t>
      </w:r>
      <w:r>
        <w:rPr>
          <w:bCs/>
          <w:lang w:val="en-IE"/>
        </w:rPr>
        <w:t xml:space="preserve">avoided deforestation </w:t>
      </w:r>
      <w:r w:rsidR="00C6085A">
        <w:rPr>
          <w:bCs/>
          <w:lang w:val="en-IE"/>
        </w:rPr>
        <w:t>&amp;</w:t>
      </w:r>
      <w:r>
        <w:rPr>
          <w:bCs/>
          <w:lang w:val="en-IE"/>
        </w:rPr>
        <w:t xml:space="preserve"> OPI4.2, </w:t>
      </w:r>
      <w:r w:rsidRPr="009202D1">
        <w:rPr>
          <w:bCs/>
          <w:lang w:val="en-IE"/>
        </w:rPr>
        <w:t>recogni</w:t>
      </w:r>
      <w:r>
        <w:rPr>
          <w:bCs/>
          <w:lang w:val="en-IE"/>
        </w:rPr>
        <w:t>sing</w:t>
      </w:r>
      <w:r w:rsidRPr="009202D1">
        <w:rPr>
          <w:bCs/>
          <w:lang w:val="en-IE"/>
        </w:rPr>
        <w:t xml:space="preserve"> a conserved forest is </w:t>
      </w:r>
      <w:r>
        <w:rPr>
          <w:bCs/>
          <w:lang w:val="en-IE"/>
        </w:rPr>
        <w:t>(</w:t>
      </w:r>
      <w:r w:rsidRPr="009202D1">
        <w:rPr>
          <w:bCs/>
          <w:lang w:val="en-IE"/>
        </w:rPr>
        <w:t>in part</w:t>
      </w:r>
      <w:r>
        <w:rPr>
          <w:bCs/>
          <w:lang w:val="en-IE"/>
        </w:rPr>
        <w:t>)</w:t>
      </w:r>
      <w:r w:rsidRPr="009202D1">
        <w:rPr>
          <w:bCs/>
          <w:lang w:val="en-IE"/>
        </w:rPr>
        <w:t xml:space="preserve"> avoided deforestation</w:t>
      </w:r>
      <w:r>
        <w:rPr>
          <w:bCs/>
          <w:lang w:val="en-IE"/>
        </w:rPr>
        <w:t xml:space="preserve"> when forests are under threat</w:t>
      </w:r>
      <w:r w:rsidR="00C6085A">
        <w:rPr>
          <w:bCs/>
          <w:lang w:val="en-IE"/>
        </w:rPr>
        <w:t>.</w:t>
      </w:r>
    </w:p>
  </w:footnote>
  <w:footnote w:id="14">
    <w:p w14:paraId="757162AE" w14:textId="2EB1BE57" w:rsidR="000E5980" w:rsidRPr="000E5980" w:rsidRDefault="000E5980" w:rsidP="00036091">
      <w:pPr>
        <w:pStyle w:val="FootnoteText"/>
        <w:spacing w:before="0" w:after="0"/>
        <w:rPr>
          <w:lang w:val="en-AU"/>
        </w:rPr>
      </w:pPr>
      <w:r>
        <w:rPr>
          <w:rStyle w:val="FootnoteReference"/>
        </w:rPr>
        <w:footnoteRef/>
      </w:r>
      <w:r>
        <w:t xml:space="preserve"> P</w:t>
      </w:r>
      <w:proofErr w:type="spellStart"/>
      <w:r>
        <w:rPr>
          <w:bCs/>
          <w:lang w:val="en-IE"/>
        </w:rPr>
        <w:t>rovided</w:t>
      </w:r>
      <w:proofErr w:type="spellEnd"/>
      <w:r>
        <w:rPr>
          <w:bCs/>
          <w:lang w:val="en-IE"/>
        </w:rPr>
        <w:t xml:space="preserve"> there are no reversals or changes in circumstances</w:t>
      </w:r>
      <w:r w:rsidR="008A5CFF">
        <w:rPr>
          <w:bCs/>
          <w:lang w:val="en-IE"/>
        </w:rPr>
        <w:t>.</w:t>
      </w:r>
    </w:p>
  </w:footnote>
  <w:footnote w:id="15">
    <w:p w14:paraId="00279703" w14:textId="61252750" w:rsidR="00FC6546" w:rsidRPr="00FC6546" w:rsidRDefault="00FC6546" w:rsidP="00A821F9">
      <w:pPr>
        <w:pStyle w:val="FootnoteText"/>
        <w:spacing w:before="0" w:after="0"/>
        <w:rPr>
          <w:lang w:val="en-AU"/>
        </w:rPr>
      </w:pPr>
      <w:r>
        <w:rPr>
          <w:rStyle w:val="FootnoteReference"/>
        </w:rPr>
        <w:footnoteRef/>
      </w:r>
      <w:r>
        <w:t xml:space="preserve"> Note this indicator is also used as an input to OPI3.1.</w:t>
      </w:r>
    </w:p>
  </w:footnote>
  <w:footnote w:id="16">
    <w:p w14:paraId="25CE59D5" w14:textId="0707584D" w:rsidR="001B4E43" w:rsidRPr="001B4E43" w:rsidRDefault="001B4E43" w:rsidP="00A821F9">
      <w:pPr>
        <w:pStyle w:val="FootnoteText"/>
        <w:spacing w:before="0" w:after="0"/>
        <w:rPr>
          <w:lang w:val="en-AU"/>
        </w:rPr>
      </w:pPr>
      <w:r>
        <w:rPr>
          <w:rStyle w:val="FootnoteReference"/>
        </w:rPr>
        <w:footnoteRef/>
      </w:r>
      <w:r>
        <w:t xml:space="preserve"> T</w:t>
      </w:r>
      <w:proofErr w:type="spellStart"/>
      <w:r>
        <w:rPr>
          <w:bCs/>
          <w:lang w:val="en-IE"/>
        </w:rPr>
        <w:t>hat</w:t>
      </w:r>
      <w:proofErr w:type="spellEnd"/>
      <w:r>
        <w:rPr>
          <w:bCs/>
          <w:lang w:val="en-IE"/>
        </w:rPr>
        <w:t xml:space="preserve"> is, expansion of agricultural land and Land Use Change from forest to agriculture.</w:t>
      </w:r>
    </w:p>
  </w:footnote>
  <w:footnote w:id="17">
    <w:p w14:paraId="05D4E050" w14:textId="1EF2F0AE" w:rsidR="007910C3" w:rsidRPr="00A44E70" w:rsidRDefault="007910C3" w:rsidP="00921537">
      <w:pPr>
        <w:pStyle w:val="FootnoteText"/>
        <w:spacing w:before="0" w:after="0"/>
        <w:rPr>
          <w:lang w:val="en-AU"/>
        </w:rPr>
      </w:pPr>
      <w:r w:rsidRPr="008922C4">
        <w:rPr>
          <w:rStyle w:val="FootnoteReference"/>
          <w:szCs w:val="16"/>
        </w:rPr>
        <w:footnoteRef/>
      </w:r>
      <w:r w:rsidRPr="008922C4">
        <w:rPr>
          <w:szCs w:val="16"/>
        </w:rPr>
        <w:t xml:space="preserve"> </w:t>
      </w:r>
      <w:r w:rsidRPr="008922C4">
        <w:rPr>
          <w:szCs w:val="16"/>
          <w:lang w:val="en-AU"/>
        </w:rPr>
        <w:t xml:space="preserve">See: </w:t>
      </w:r>
      <w:hyperlink r:id="rId2" w:history="1">
        <w:r w:rsidRPr="008922C4">
          <w:rPr>
            <w:rStyle w:val="Hyperlink"/>
            <w:szCs w:val="16"/>
          </w:rPr>
          <w:t>https://www.goldstandard.org/articles/value-change</w:t>
        </w:r>
      </w:hyperlink>
      <w:r w:rsidRPr="008922C4">
        <w:rPr>
          <w:szCs w:val="16"/>
        </w:rPr>
        <w:t xml:space="preserve"> </w:t>
      </w:r>
      <w:r>
        <w:rPr>
          <w:szCs w:val="16"/>
        </w:rPr>
        <w:t>&amp;</w:t>
      </w:r>
      <w:r w:rsidRPr="007F39B0">
        <w:rPr>
          <w:sz w:val="14"/>
          <w:szCs w:val="14"/>
        </w:rPr>
        <w:t xml:space="preserve"> </w:t>
      </w:r>
      <w:hyperlink r:id="rId3" w:history="1">
        <w:r w:rsidRPr="007F39B0">
          <w:rPr>
            <w:rStyle w:val="Hyperlink"/>
            <w:sz w:val="14"/>
            <w:szCs w:val="14"/>
          </w:rPr>
          <w:t>https://sciencebasedtargets.org/sectors/forest-land-and-agriculture</w:t>
        </w:r>
      </w:hyperlink>
    </w:p>
  </w:footnote>
  <w:footnote w:id="18">
    <w:p w14:paraId="6E9C26A3" w14:textId="5E9E965F" w:rsidR="007C6A29" w:rsidRPr="007C6A29" w:rsidRDefault="007C6A29" w:rsidP="00534B48">
      <w:pPr>
        <w:pStyle w:val="FootnoteText"/>
        <w:spacing w:before="0" w:after="0"/>
        <w:rPr>
          <w:lang w:val="en-AU"/>
        </w:rPr>
      </w:pPr>
      <w:r>
        <w:rPr>
          <w:rStyle w:val="FootnoteReference"/>
        </w:rPr>
        <w:footnoteRef/>
      </w:r>
      <w:r>
        <w:t xml:space="preserve"> </w:t>
      </w:r>
      <w:r>
        <w:rPr>
          <w:lang w:val="en-AU"/>
        </w:rPr>
        <w:t>As for OPI</w:t>
      </w:r>
      <w:r w:rsidR="00D3189E">
        <w:rPr>
          <w:lang w:val="en-AU"/>
        </w:rPr>
        <w:t>3.2 and 3.3</w:t>
      </w:r>
      <w:r>
        <w:rPr>
          <w:lang w:val="en-AU"/>
        </w:rPr>
        <w:t xml:space="preserve">, IPCC Tier 2 and 3 factors are used. </w:t>
      </w:r>
    </w:p>
  </w:footnote>
  <w:footnote w:id="19">
    <w:p w14:paraId="79B912E1" w14:textId="2B701669" w:rsidR="00D972E2" w:rsidRPr="00D972E2" w:rsidRDefault="00D972E2" w:rsidP="00A74DAE">
      <w:pPr>
        <w:pStyle w:val="FootnoteText"/>
        <w:spacing w:before="0" w:after="0"/>
        <w:rPr>
          <w:lang w:val="en-AU"/>
        </w:rPr>
      </w:pPr>
      <w:r>
        <w:rPr>
          <w:rStyle w:val="FootnoteReference"/>
        </w:rPr>
        <w:footnoteRef/>
      </w:r>
      <w:r>
        <w:t xml:space="preserve"> </w:t>
      </w:r>
      <w:r>
        <w:rPr>
          <w:lang w:val="en-AU"/>
        </w:rPr>
        <w:t xml:space="preserve">Since </w:t>
      </w:r>
      <w:r w:rsidR="000A2848">
        <w:rPr>
          <w:lang w:val="en-AU"/>
        </w:rPr>
        <w:t xml:space="preserve">any yield over previous zero yield returns an ‘infinite’ </w:t>
      </w:r>
      <w:r w:rsidR="00DE63E5">
        <w:rPr>
          <w:lang w:val="en-AU"/>
        </w:rPr>
        <w:t xml:space="preserve">% </w:t>
      </w:r>
      <w:r w:rsidR="000A2848">
        <w:rPr>
          <w:lang w:val="en-AU"/>
        </w:rPr>
        <w:t xml:space="preserve">result, which </w:t>
      </w:r>
      <w:r w:rsidR="00DE63E5">
        <w:rPr>
          <w:lang w:val="en-AU"/>
        </w:rPr>
        <w:t xml:space="preserve">distorts portfolio reporting. </w:t>
      </w:r>
    </w:p>
  </w:footnote>
  <w:footnote w:id="20">
    <w:p w14:paraId="5BE2833D" w14:textId="24DDA1BB" w:rsidR="004022B9" w:rsidRPr="004022B9" w:rsidRDefault="004022B9" w:rsidP="00982F65">
      <w:pPr>
        <w:pStyle w:val="FootnoteText"/>
        <w:spacing w:before="0" w:after="0"/>
        <w:rPr>
          <w:lang w:val="en-AU"/>
        </w:rPr>
      </w:pPr>
      <w:r>
        <w:rPr>
          <w:rStyle w:val="FootnoteReference"/>
        </w:rPr>
        <w:footnoteRef/>
      </w:r>
      <w:r>
        <w:t xml:space="preserve"> </w:t>
      </w:r>
      <w:r>
        <w:rPr>
          <w:lang w:val="en-AU"/>
        </w:rPr>
        <w:t xml:space="preserve">See: </w:t>
      </w:r>
      <w:hyperlink r:id="rId4" w:history="1">
        <w:r w:rsidRPr="009010C4">
          <w:rPr>
            <w:rStyle w:val="Hyperlink"/>
            <w:bCs/>
            <w:lang w:val="en-AU"/>
          </w:rPr>
          <w:t>https://www.greenclimate.fund/document/integrated-results-management-framework</w:t>
        </w:r>
      </w:hyperlink>
      <w:r>
        <w:rPr>
          <w:bCs/>
          <w:lang w:val="en-AU"/>
        </w:rPr>
        <w:t xml:space="preserve"> and </w:t>
      </w:r>
      <w:hyperlink r:id="rId5" w:history="1">
        <w:r w:rsidRPr="009010C4">
          <w:rPr>
            <w:rStyle w:val="Hyperlink"/>
            <w:bCs/>
            <w:lang w:val="en-AU"/>
          </w:rPr>
          <w:t>https://www.greenclimate.fund/sites/default/files/document/gcf-programming-manual.pdf</w:t>
        </w:r>
      </w:hyperlink>
    </w:p>
  </w:footnote>
  <w:footnote w:id="21">
    <w:p w14:paraId="4DDA9D88" w14:textId="5E390D24" w:rsidR="00EC55F9" w:rsidRPr="00E16E2D" w:rsidRDefault="00EC55F9" w:rsidP="00EC55F9">
      <w:pPr>
        <w:pStyle w:val="FootnoteText"/>
        <w:spacing w:before="0" w:after="0"/>
        <w:rPr>
          <w:lang w:val="en-AU"/>
        </w:rPr>
      </w:pPr>
      <w:r>
        <w:rPr>
          <w:rStyle w:val="FootnoteReference"/>
        </w:rPr>
        <w:footnoteRef/>
      </w:r>
      <w:r>
        <w:t xml:space="preserve"> </w:t>
      </w:r>
      <w:r>
        <w:rPr>
          <w:lang w:val="en-AU"/>
        </w:rPr>
        <w:t>See OPI6.</w:t>
      </w:r>
      <w:r w:rsidR="00A000A7">
        <w:rPr>
          <w:lang w:val="en-AU"/>
        </w:rPr>
        <w:t>1</w:t>
      </w:r>
      <w:r>
        <w:rPr>
          <w:lang w:val="en-AU"/>
        </w:rPr>
        <w:t xml:space="preserve"> for definition of livelihood. </w:t>
      </w:r>
    </w:p>
  </w:footnote>
  <w:footnote w:id="22">
    <w:p w14:paraId="7E0D5681" w14:textId="5489F0ED" w:rsidR="00EE5F39" w:rsidRPr="002C5576" w:rsidRDefault="00EE5F39">
      <w:pPr>
        <w:pStyle w:val="FootnoteText"/>
        <w:rPr>
          <w:lang w:val="en-AU"/>
        </w:rPr>
      </w:pPr>
      <w:r>
        <w:rPr>
          <w:rStyle w:val="FootnoteReference"/>
        </w:rPr>
        <w:footnoteRef/>
      </w:r>
      <w:r>
        <w:t xml:space="preserve"> </w:t>
      </w:r>
      <w:r w:rsidR="00690FB7">
        <w:rPr>
          <w:lang w:val="en-AU"/>
        </w:rPr>
        <w:t xml:space="preserve">OPI6.5b indirect jobs supported is not yet included. When available it will be included on the same basis as </w:t>
      </w:r>
      <w:r w:rsidR="00AC2F14">
        <w:rPr>
          <w:lang w:val="en-AU"/>
        </w:rPr>
        <w:t>OPI6.5a.</w:t>
      </w:r>
    </w:p>
  </w:footnote>
  <w:footnote w:id="23">
    <w:p w14:paraId="0DF71E14" w14:textId="2C6DEBCC" w:rsidR="00826157" w:rsidRPr="00826157" w:rsidRDefault="00826157" w:rsidP="003C459B">
      <w:pPr>
        <w:pStyle w:val="FootnoteText"/>
        <w:spacing w:before="0" w:after="0"/>
      </w:pPr>
      <w:r>
        <w:rPr>
          <w:rStyle w:val="FootnoteReference"/>
        </w:rPr>
        <w:footnoteRef/>
      </w:r>
      <w:r>
        <w:t xml:space="preserve"> Note that indirect jobs supported (OPI6.5b) is not </w:t>
      </w:r>
      <w:r w:rsidR="005B5BE1">
        <w:t>(</w:t>
      </w:r>
      <w:r>
        <w:t>yet</w:t>
      </w:r>
      <w:r w:rsidR="005B5BE1">
        <w:t>)</w:t>
      </w:r>
      <w:r>
        <w:t xml:space="preserve"> included in </w:t>
      </w:r>
      <w:r w:rsidR="00310B89">
        <w:t xml:space="preserve">calculations. </w:t>
      </w:r>
    </w:p>
  </w:footnote>
  <w:footnote w:id="24">
    <w:p w14:paraId="2DE9BA19" w14:textId="2FE9A6E3" w:rsidR="005040C7" w:rsidRPr="005040C7" w:rsidRDefault="005040C7" w:rsidP="00AE666E">
      <w:pPr>
        <w:pStyle w:val="FootnoteText"/>
        <w:spacing w:before="0" w:after="0"/>
        <w:rPr>
          <w:lang w:val="en-AU"/>
        </w:rPr>
      </w:pPr>
      <w:r>
        <w:rPr>
          <w:rStyle w:val="FootnoteReference"/>
        </w:rPr>
        <w:footnoteRef/>
      </w:r>
      <w:r>
        <w:t xml:space="preserve"> </w:t>
      </w:r>
      <w:r>
        <w:rPr>
          <w:lang w:val="en-AU"/>
        </w:rPr>
        <w:t>Where possible, gender data is collected directly through transactions</w:t>
      </w:r>
      <w:r w:rsidR="00B53D2A">
        <w:rPr>
          <w:lang w:val="en-AU"/>
        </w:rPr>
        <w:t>. Where this is not (yet) possible, best available data</w:t>
      </w:r>
      <w:r w:rsidR="00C769AE">
        <w:rPr>
          <w:lang w:val="en-AU"/>
        </w:rPr>
        <w:t xml:space="preserve">, such as location specific </w:t>
      </w:r>
      <w:r w:rsidR="00EB18AF">
        <w:rPr>
          <w:lang w:val="en-AU"/>
        </w:rPr>
        <w:t>credible censuses,</w:t>
      </w:r>
      <w:r w:rsidR="00B53D2A">
        <w:rPr>
          <w:lang w:val="en-AU"/>
        </w:rPr>
        <w:t xml:space="preserve"> are used to estimate gender disaggregation. </w:t>
      </w:r>
    </w:p>
  </w:footnote>
  <w:footnote w:id="25">
    <w:p w14:paraId="673A3A7E" w14:textId="77777777" w:rsidR="007948DE" w:rsidRPr="00016789" w:rsidRDefault="007948DE" w:rsidP="00AE666E">
      <w:pPr>
        <w:pStyle w:val="FootnoteText"/>
        <w:spacing w:before="0" w:after="0"/>
        <w:rPr>
          <w:lang w:val="en-AU"/>
        </w:rPr>
      </w:pPr>
      <w:r w:rsidRPr="003051B5">
        <w:rPr>
          <w:rStyle w:val="FootnoteReference"/>
          <w:szCs w:val="16"/>
        </w:rPr>
        <w:footnoteRef/>
      </w:r>
      <w:r w:rsidRPr="003051B5">
        <w:rPr>
          <w:szCs w:val="16"/>
        </w:rPr>
        <w:t xml:space="preserve"> </w:t>
      </w:r>
      <w:hyperlink r:id="rId6" w:history="1">
        <w:r w:rsidRPr="003051B5">
          <w:rPr>
            <w:rStyle w:val="Hyperlink"/>
            <w:szCs w:val="16"/>
          </w:rPr>
          <w:t>https://iris.thegiin.org/glossary/</w:t>
        </w:r>
      </w:hyperlink>
      <w:r>
        <w:rPr>
          <w:szCs w:val="16"/>
        </w:rPr>
        <w:t xml:space="preserve"> </w:t>
      </w:r>
    </w:p>
  </w:footnote>
  <w:footnote w:id="26">
    <w:p w14:paraId="3FE2D21C" w14:textId="77777777" w:rsidR="007948DE" w:rsidRPr="00016789" w:rsidRDefault="007948DE" w:rsidP="00AE666E">
      <w:pPr>
        <w:pStyle w:val="FootnoteText"/>
        <w:spacing w:before="0" w:after="0"/>
        <w:rPr>
          <w:lang w:val="en-AU"/>
        </w:rPr>
      </w:pPr>
      <w:r w:rsidRPr="00BE13C2">
        <w:rPr>
          <w:rStyle w:val="FootnoteReference"/>
          <w:szCs w:val="16"/>
        </w:rPr>
        <w:footnoteRef/>
      </w:r>
      <w:r w:rsidRPr="00016789">
        <w:rPr>
          <w:szCs w:val="16"/>
          <w:lang w:val="en-AU"/>
        </w:rPr>
        <w:t xml:space="preserve"> </w:t>
      </w:r>
      <w:hyperlink r:id="rId7" w:history="1">
        <w:r w:rsidRPr="00016789">
          <w:rPr>
            <w:rStyle w:val="Hyperlink"/>
            <w:szCs w:val="16"/>
            <w:lang w:val="en-AU"/>
          </w:rPr>
          <w:t>https://iris.thegiin.org/metric/5.0/pi3687/</w:t>
        </w:r>
      </w:hyperlink>
      <w:r w:rsidRPr="00016789">
        <w:rPr>
          <w:szCs w:val="16"/>
          <w:lang w:val="en-AU"/>
        </w:rPr>
        <w:t xml:space="preserve"> </w:t>
      </w:r>
    </w:p>
  </w:footnote>
  <w:footnote w:id="27">
    <w:p w14:paraId="7BA349F2" w14:textId="77777777" w:rsidR="007948DE" w:rsidRPr="001C2807" w:rsidRDefault="007948DE" w:rsidP="00AE666E">
      <w:pPr>
        <w:pStyle w:val="FootnoteText"/>
        <w:spacing w:before="0" w:after="0"/>
        <w:rPr>
          <w:szCs w:val="16"/>
        </w:rPr>
      </w:pPr>
      <w:r w:rsidRPr="00424B03">
        <w:rPr>
          <w:rStyle w:val="FootnoteReference"/>
          <w:szCs w:val="16"/>
        </w:rPr>
        <w:footnoteRef/>
      </w:r>
      <w:r w:rsidRPr="00424B03">
        <w:rPr>
          <w:szCs w:val="16"/>
        </w:rPr>
        <w:t xml:space="preserve"> </w:t>
      </w:r>
      <w:hyperlink r:id="rId8" w:history="1">
        <w:r w:rsidRPr="00424B03">
          <w:rPr>
            <w:rStyle w:val="Hyperlink"/>
            <w:szCs w:val="16"/>
          </w:rPr>
          <w:t>https://www.jointimpactmodel.org/</w:t>
        </w:r>
      </w:hyperlink>
    </w:p>
  </w:footnote>
  <w:footnote w:id="28">
    <w:p w14:paraId="4C0332C5" w14:textId="77777777" w:rsidR="00771D69" w:rsidRPr="00016789" w:rsidRDefault="00771D69" w:rsidP="001228D5">
      <w:pPr>
        <w:pStyle w:val="FootnoteText"/>
        <w:spacing w:before="0" w:after="0"/>
        <w:rPr>
          <w:lang w:val="en-AU"/>
        </w:rPr>
      </w:pPr>
      <w:r>
        <w:rPr>
          <w:rStyle w:val="FootnoteReference"/>
        </w:rPr>
        <w:footnoteRef/>
      </w:r>
      <w:r>
        <w:t xml:space="preserve"> </w:t>
      </w:r>
      <w:r w:rsidRPr="003D7BB4">
        <w:t>https://accountability-framework.org/the-framework/contents/definitions/</w:t>
      </w:r>
    </w:p>
  </w:footnote>
  <w:footnote w:id="29">
    <w:p w14:paraId="66924603" w14:textId="77777777" w:rsidR="00704407" w:rsidRPr="00016789" w:rsidRDefault="00704407" w:rsidP="001228D5">
      <w:pPr>
        <w:pStyle w:val="FootnoteText"/>
        <w:spacing w:before="0" w:after="0"/>
        <w:rPr>
          <w:lang w:val="en-AU"/>
        </w:rPr>
      </w:pPr>
      <w:r>
        <w:rPr>
          <w:rStyle w:val="FootnoteReference"/>
        </w:rPr>
        <w:footnoteRef/>
      </w:r>
      <w:r>
        <w:t xml:space="preserve"> </w:t>
      </w:r>
      <w:r w:rsidRPr="003D7BB4">
        <w:t>https://accountability-framework.org/the-framework/contents/definitions/</w:t>
      </w:r>
    </w:p>
  </w:footnote>
  <w:footnote w:id="30">
    <w:p w14:paraId="20E21DFE" w14:textId="77777777" w:rsidR="00975730" w:rsidRPr="00016789" w:rsidRDefault="00975730" w:rsidP="00EB6CDF">
      <w:pPr>
        <w:pStyle w:val="FootnoteText"/>
        <w:spacing w:before="0" w:after="0"/>
        <w:rPr>
          <w:szCs w:val="16"/>
          <w:lang w:val="en-AU"/>
        </w:rPr>
      </w:pPr>
      <w:r w:rsidRPr="00BE13C2">
        <w:rPr>
          <w:rStyle w:val="FootnoteReference"/>
          <w:szCs w:val="16"/>
        </w:rPr>
        <w:footnoteRef/>
      </w:r>
      <w:r w:rsidRPr="00BE13C2">
        <w:rPr>
          <w:szCs w:val="16"/>
        </w:rPr>
        <w:t xml:space="preserve"> </w:t>
      </w:r>
      <w:hyperlink r:id="rId9" w:history="1">
        <w:r w:rsidRPr="00BE13C2">
          <w:rPr>
            <w:rStyle w:val="Hyperlink"/>
            <w:szCs w:val="16"/>
          </w:rPr>
          <w:t>https://unhabitat.org/secure-land-rights-for-all</w:t>
        </w:r>
      </w:hyperlink>
      <w:r w:rsidRPr="00BE13C2">
        <w:rPr>
          <w:szCs w:val="16"/>
        </w:rPr>
        <w:t xml:space="preserve"> </w:t>
      </w:r>
    </w:p>
  </w:footnote>
  <w:footnote w:id="31">
    <w:p w14:paraId="540D1320" w14:textId="45B6D0B9" w:rsidR="001D241D" w:rsidRPr="001D241D" w:rsidRDefault="001D241D" w:rsidP="00092F92">
      <w:pPr>
        <w:pStyle w:val="FootnoteText"/>
        <w:spacing w:before="0" w:after="0"/>
        <w:rPr>
          <w:lang w:val="en-AU"/>
        </w:rPr>
      </w:pPr>
      <w:r>
        <w:rPr>
          <w:rStyle w:val="FootnoteReference"/>
        </w:rPr>
        <w:footnoteRef/>
      </w:r>
      <w:r>
        <w:t xml:space="preserve"> </w:t>
      </w:r>
      <w:r>
        <w:rPr>
          <w:lang w:val="en-AU"/>
        </w:rPr>
        <w:t xml:space="preserve">This is a cross-check data </w:t>
      </w:r>
      <w:proofErr w:type="gramStart"/>
      <w:r>
        <w:rPr>
          <w:lang w:val="en-AU"/>
        </w:rPr>
        <w:t>point, and</w:t>
      </w:r>
      <w:proofErr w:type="gramEnd"/>
      <w:r>
        <w:rPr>
          <w:lang w:val="en-AU"/>
        </w:rPr>
        <w:t xml:space="preserve"> is not additive to</w:t>
      </w:r>
      <w:r w:rsidR="000B1A90">
        <w:rPr>
          <w:lang w:val="en-AU"/>
        </w:rPr>
        <w:t xml:space="preserve"> the Client’s data. </w:t>
      </w:r>
    </w:p>
  </w:footnote>
  <w:footnote w:id="32">
    <w:p w14:paraId="05800E70" w14:textId="383DAF3B" w:rsidR="00A74BB1" w:rsidRPr="00A74BB1" w:rsidRDefault="00A74BB1">
      <w:pPr>
        <w:pStyle w:val="FootnoteText"/>
        <w:rPr>
          <w:lang w:val="en-AU"/>
        </w:rPr>
      </w:pPr>
      <w:r>
        <w:rPr>
          <w:rStyle w:val="FootnoteReference"/>
        </w:rPr>
        <w:footnoteRef/>
      </w:r>
      <w:r>
        <w:t xml:space="preserve"> </w:t>
      </w:r>
      <w:r>
        <w:rPr>
          <w:lang w:val="en-AU"/>
        </w:rPr>
        <w:t xml:space="preserve">Entered as a negative value.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84001" w14:textId="77777777" w:rsidR="00AC2066" w:rsidRDefault="007B3985">
    <w:pPr>
      <w:pStyle w:val="Header"/>
    </w:pPr>
    <w:r>
      <w:rPr>
        <w:noProof/>
      </w:rPr>
      <w:pict w14:anchorId="7A1B9738">
        <v:rect id="Rectangle 21" o:spid="_x0000_s1027" style="position:absolute;margin-left:344.25pt;margin-top:-4.75pt;width:534.75pt;height:73.05pt;z-index:251658244;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" fillcolor="white [3212]" stroked="f" strokeweight="1pt"/>
      </w:pict>
    </w:r>
    <w:r w:rsidR="00B2628F" w:rsidRPr="00F24776">
      <w:rPr>
        <w:noProof/>
      </w:rPr>
      <w:drawing>
        <wp:anchor distT="0" distB="0" distL="114300" distR="114300" simplePos="0" relativeHeight="251658240" behindDoc="1" locked="0" layoutInCell="1" allowOverlap="1" wp14:anchorId="0F8525ED" wp14:editId="020C9BD7">
          <wp:simplePos x="0" y="0"/>
          <wp:positionH relativeFrom="page">
            <wp:posOffset>3138805</wp:posOffset>
          </wp:positionH>
          <wp:positionV relativeFrom="paragraph">
            <wp:posOffset>-448310</wp:posOffset>
          </wp:positionV>
          <wp:extent cx="7553325" cy="1261956"/>
          <wp:effectExtent l="0" t="0" r="0" b="0"/>
          <wp:wrapNone/>
          <wp:docPr id="1" name="Picture 1" descr="Rectang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Rectangl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7553325" cy="1261956"/>
                  </a:xfrm>
                  <a:prstGeom prst="rect">
                    <a:avLst/>
                  </a:prstGeom>
                </pic:spPr>
              </pic:pic>
            </a:graphicData>
          </a:graphic>
          <wp14:sizeRelH relativeFrom="page">
            <wp14:pctWidth>0</wp14:pctWidth>
          </wp14:sizeRelH>
          <wp14:sizeRelV relativeFrom="page">
            <wp14:pctHeight>0</wp14:pctHeight>
          </wp14:sizeRelV>
        </wp:anchor>
      </w:drawing>
    </w:r>
    <w:r>
      <w:rPr>
        <w:noProof/>
      </w:rPr>
      <w:pict w14:anchorId="38C3370F">
        <v:shapetype id="_x0000_t202" coordsize="21600,21600" o:spt="202" path="m,l,21600r21600,l21600,xe">
          <v:stroke joinstyle="miter"/>
          <v:path gradientshapeok="t" o:connecttype="rect"/>
        </v:shapetype>
        <v:shape id="Text Box 6" o:spid="_x0000_s1026" type="#_x0000_t202" style="position:absolute;margin-left:0;margin-top:0;width:556.7pt;height:79.5pt;rotation:-45;z-index:-251658237;visibility:visible;mso-position-horizontal:center;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" o:allowincell="f" filled="f" stroked="f">
          <v:stroke joinstyle="round"/>
          <o:lock v:ext="edit" shapetype="t"/>
          <v:textbox style="mso-next-textbox:#Text Box 6;mso-fit-shape-to-text:t">
            <w:txbxContent>
              <w:p w14:paraId="63E1930D" w14:textId="77777777" w:rsidR="00B66D78" w:rsidRPr="005A1942" w:rsidRDefault="00B66D78" w:rsidP="00B66D78">
                <w:pPr>
                  <w:jc w:val="center"/>
                  <w:rPr>
                    <w:rFonts w:ascii="Arial" w:hAnsi="Arial" w:cs="Arial"/>
                    <w:color w:val="C0C0C0"/>
                    <w:sz w:val="2"/>
                    <w:szCs w:val="2"/>
                    <w:lang w:val="en-US"/>
                  </w:rPr>
                </w:pPr>
                <w:r w:rsidRPr="005A1942">
                  <w:rPr>
                    <w:rFonts w:ascii="Arial" w:hAnsi="Arial" w:cs="Arial"/>
                    <w:color w:val="C0C0C0"/>
                    <w:sz w:val="2"/>
                    <w:szCs w:val="2"/>
                    <w:lang w:val="en-US"/>
                  </w:rPr>
                  <w:t>DRAFT TEMPLATE</w:t>
                </w:r>
              </w:p>
            </w:txbxContent>
          </v:textbox>
          <w10:wrap anchorx="margin" anchory="margin"/>
        </v:shape>
      </w:pict>
    </w:r>
    <w:r>
      <w:rPr>
        <w:noProof/>
      </w:rPr>
      <w:pict w14:anchorId="34241DE2">
        <v:rect id="Rectangle 22" o:spid="_x0000_s1025" style="position:absolute;margin-left:344.5pt;margin-top:-4.65pt;width:154.9pt;height:73.1pt;z-index:25165824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" fillcolor="white [3212]" stroked="f" strokeweight="1pt"/>
      </w:pict>
    </w:r>
    <w:r w:rsidR="00B2628F" w:rsidRPr="00F24776">
      <w:rPr>
        <w:noProof/>
      </w:rPr>
      <w:drawing>
        <wp:anchor distT="0" distB="0" distL="114300" distR="114300" simplePos="0" relativeHeight="251658241" behindDoc="1" locked="0" layoutInCell="1" allowOverlap="1" wp14:anchorId="689B3300" wp14:editId="25008747">
          <wp:simplePos x="0" y="0"/>
          <wp:positionH relativeFrom="page">
            <wp:posOffset>0</wp:posOffset>
          </wp:positionH>
          <wp:positionV relativeFrom="paragraph">
            <wp:posOffset>-448945</wp:posOffset>
          </wp:positionV>
          <wp:extent cx="7553325" cy="1261956"/>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sset 1 2.jpg"/>
                  <pic:cNvPicPr/>
                </pic:nvPicPr>
                <pic:blipFill>
                  <a:blip r:embed="rId1">
                    <a:extLst>
                      <a:ext uri="{28A0092B-C50C-407E-A947-70E740481C1C}">
                        <a14:useLocalDpi xmlns:a14="http://schemas.microsoft.com/office/drawing/2010/main" val="0"/>
                      </a:ext>
                    </a:extLst>
                  </a:blip>
                  <a:stretch>
                    <a:fillRect/>
                  </a:stretch>
                </pic:blipFill>
                <pic:spPr>
                  <a:xfrm>
                    <a:off x="0" y="0"/>
                    <a:ext cx="7553325" cy="1261956"/>
                  </a:xfrm>
                  <a:prstGeom prst="rect">
                    <a:avLst/>
                  </a:prstGeom>
                </pic:spPr>
              </pic:pic>
            </a:graphicData>
          </a:graphic>
          <wp14:sizeRelH relativeFrom="page">
            <wp14:pctWidth>0</wp14:pctWidth>
          </wp14:sizeRelH>
          <wp14:sizeRelV relativeFrom="page">
            <wp14:pctHeight>0</wp14:pctHeight>
          </wp14:sizeRelV>
        </wp:anchor>
      </w:drawing>
    </w:r>
    <w:r w:rsidR="00AC2066">
      <w:t xml:space="preserve">  </w:t>
    </w:r>
  </w:p>
  <w:p w14:paraId="379C3C62" w14:textId="77777777" w:rsidR="00AC2066" w:rsidRDefault="00AC2066">
    <w:pPr>
      <w:pStyle w:val="Header"/>
    </w:pPr>
  </w:p>
  <w:p w14:paraId="7FC54328" w14:textId="77777777" w:rsidR="00AC2066" w:rsidRPr="007B0B0B" w:rsidRDefault="00C30885" w:rsidP="007B0B0B">
    <w:pPr>
      <w:pStyle w:val="Header"/>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3B955" w14:textId="77777777" w:rsidR="00AC2066" w:rsidRPr="007B0B0B" w:rsidRDefault="00B66D78" w:rsidP="00B66D78">
    <w:pPr>
      <w:pStyle w:val="Header"/>
    </w:pPr>
    <w:r>
      <w:rPr>
        <w:noProof/>
      </w:rPr>
      <w:drawing>
        <wp:anchor distT="0" distB="0" distL="114300" distR="114300" simplePos="0" relativeHeight="251658245" behindDoc="0" locked="0" layoutInCell="1" allowOverlap="1" wp14:anchorId="2052876F" wp14:editId="19228298">
          <wp:simplePos x="0" y="0"/>
          <wp:positionH relativeFrom="page">
            <wp:posOffset>-38100</wp:posOffset>
          </wp:positionH>
          <wp:positionV relativeFrom="page">
            <wp:posOffset>0</wp:posOffset>
          </wp:positionV>
          <wp:extent cx="7580630" cy="1428750"/>
          <wp:effectExtent l="0" t="0" r="1270" b="0"/>
          <wp:wrapSquare wrapText="bothSides"/>
          <wp:docPr id="5" name="Picture 5"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7580630" cy="1428750"/>
                  </a:xfrm>
                  <a:prstGeom prst="rect">
                    <a:avLst/>
                  </a:prstGeom>
                </pic:spPr>
              </pic:pic>
            </a:graphicData>
          </a:graphic>
          <wp14:sizeRelH relativeFrom="margin">
            <wp14:pctWidth>0</wp14:pctWidth>
          </wp14:sizeRelH>
          <wp14:sizeRelV relativeFrom="margin">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textHash int2:hashCode="hKc5F3q843fnjX" int2:id="3GKgio6K">
      <int2:state int2:value="Rejected" int2:type="LegacyProofing"/>
    </int2:textHash>
    <int2:textHash int2:hashCode="ViDxVPNQQTW6hu" int2:id="B7tk6OVT">
      <int2:state int2:value="Rejected" int2:type="LegacyProofing"/>
    </int2:textHash>
    <int2:textHash int2:hashCode="lEqn7Ct9r0Wmn1" int2:id="HJiEpWSB">
      <int2:state int2:value="Rejected" int2:type="LegacyProofing"/>
    </int2:textHash>
    <int2:textHash int2:hashCode="S7dKFlh8MGj7ec" int2:id="WcFZggBR">
      <int2:state int2:value="Rejected" int2:type="LegacyProofing"/>
    </int2:textHash>
    <int2:textHash int2:hashCode="tNAjBTQIazdDtb" int2:id="XYe6aLoz">
      <int2:state int2:value="Rejected" int2:type="LegacyProofing"/>
    </int2:textHash>
    <int2:textHash int2:hashCode="BC3EUS+j05HFFw" int2:id="bpdgG1fh">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023FC"/>
    <w:multiLevelType w:val="hybridMultilevel"/>
    <w:tmpl w:val="0CBA93EC"/>
    <w:lvl w:ilvl="0" w:tplc="EB2CBAA6">
      <w:numFmt w:val="bullet"/>
      <w:lvlText w:val="-"/>
      <w:lvlJc w:val="left"/>
      <w:pPr>
        <w:ind w:left="454" w:hanging="170"/>
      </w:pPr>
      <w:rPr>
        <w:rFonts w:ascii="Montserrat" w:hAnsi="Montserrat" w:cs="Times New Roman" w:hint="default"/>
        <w:b w:val="0"/>
        <w:i w:val="0"/>
        <w:color w:val="auto"/>
        <w:sz w:val="20"/>
      </w:rPr>
    </w:lvl>
    <w:lvl w:ilvl="1" w:tplc="1C090003" w:tentative="1">
      <w:start w:val="1"/>
      <w:numFmt w:val="bullet"/>
      <w:lvlText w:val="o"/>
      <w:lvlJc w:val="left"/>
      <w:pPr>
        <w:ind w:left="1222" w:hanging="360"/>
      </w:pPr>
      <w:rPr>
        <w:rFonts w:ascii="Courier New" w:hAnsi="Courier New" w:cs="Courier New" w:hint="default"/>
      </w:rPr>
    </w:lvl>
    <w:lvl w:ilvl="2" w:tplc="1C090005" w:tentative="1">
      <w:start w:val="1"/>
      <w:numFmt w:val="bullet"/>
      <w:lvlText w:val=""/>
      <w:lvlJc w:val="left"/>
      <w:pPr>
        <w:ind w:left="1942" w:hanging="360"/>
      </w:pPr>
      <w:rPr>
        <w:rFonts w:ascii="Wingdings" w:hAnsi="Wingdings" w:hint="default"/>
      </w:rPr>
    </w:lvl>
    <w:lvl w:ilvl="3" w:tplc="1C090001" w:tentative="1">
      <w:start w:val="1"/>
      <w:numFmt w:val="bullet"/>
      <w:lvlText w:val=""/>
      <w:lvlJc w:val="left"/>
      <w:pPr>
        <w:ind w:left="2662" w:hanging="360"/>
      </w:pPr>
      <w:rPr>
        <w:rFonts w:ascii="Symbol" w:hAnsi="Symbol" w:hint="default"/>
      </w:rPr>
    </w:lvl>
    <w:lvl w:ilvl="4" w:tplc="1C090003" w:tentative="1">
      <w:start w:val="1"/>
      <w:numFmt w:val="bullet"/>
      <w:lvlText w:val="o"/>
      <w:lvlJc w:val="left"/>
      <w:pPr>
        <w:ind w:left="3382" w:hanging="360"/>
      </w:pPr>
      <w:rPr>
        <w:rFonts w:ascii="Courier New" w:hAnsi="Courier New" w:cs="Courier New" w:hint="default"/>
      </w:rPr>
    </w:lvl>
    <w:lvl w:ilvl="5" w:tplc="1C090005" w:tentative="1">
      <w:start w:val="1"/>
      <w:numFmt w:val="bullet"/>
      <w:lvlText w:val=""/>
      <w:lvlJc w:val="left"/>
      <w:pPr>
        <w:ind w:left="4102" w:hanging="360"/>
      </w:pPr>
      <w:rPr>
        <w:rFonts w:ascii="Wingdings" w:hAnsi="Wingdings" w:hint="default"/>
      </w:rPr>
    </w:lvl>
    <w:lvl w:ilvl="6" w:tplc="1C090001" w:tentative="1">
      <w:start w:val="1"/>
      <w:numFmt w:val="bullet"/>
      <w:lvlText w:val=""/>
      <w:lvlJc w:val="left"/>
      <w:pPr>
        <w:ind w:left="4822" w:hanging="360"/>
      </w:pPr>
      <w:rPr>
        <w:rFonts w:ascii="Symbol" w:hAnsi="Symbol" w:hint="default"/>
      </w:rPr>
    </w:lvl>
    <w:lvl w:ilvl="7" w:tplc="1C090003" w:tentative="1">
      <w:start w:val="1"/>
      <w:numFmt w:val="bullet"/>
      <w:lvlText w:val="o"/>
      <w:lvlJc w:val="left"/>
      <w:pPr>
        <w:ind w:left="5542" w:hanging="360"/>
      </w:pPr>
      <w:rPr>
        <w:rFonts w:ascii="Courier New" w:hAnsi="Courier New" w:cs="Courier New" w:hint="default"/>
      </w:rPr>
    </w:lvl>
    <w:lvl w:ilvl="8" w:tplc="1C090005" w:tentative="1">
      <w:start w:val="1"/>
      <w:numFmt w:val="bullet"/>
      <w:lvlText w:val=""/>
      <w:lvlJc w:val="left"/>
      <w:pPr>
        <w:ind w:left="6262" w:hanging="360"/>
      </w:pPr>
      <w:rPr>
        <w:rFonts w:ascii="Wingdings" w:hAnsi="Wingdings" w:hint="default"/>
      </w:rPr>
    </w:lvl>
  </w:abstractNum>
  <w:abstractNum w:abstractNumId="1" w15:restartNumberingAfterBreak="0">
    <w:nsid w:val="026504A5"/>
    <w:multiLevelType w:val="hybridMultilevel"/>
    <w:tmpl w:val="854A0742"/>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9583102"/>
    <w:multiLevelType w:val="hybridMultilevel"/>
    <w:tmpl w:val="69F679D0"/>
    <w:lvl w:ilvl="0" w:tplc="A6547E36">
      <w:start w:val="5"/>
      <w:numFmt w:val="bullet"/>
      <w:lvlText w:val="-"/>
      <w:lvlJc w:val="left"/>
      <w:pPr>
        <w:ind w:left="720" w:hanging="360"/>
      </w:pPr>
      <w:rPr>
        <w:rFonts w:ascii="Arial" w:eastAsia="MS Mincho"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A452484"/>
    <w:multiLevelType w:val="hybridMultilevel"/>
    <w:tmpl w:val="21647A80"/>
    <w:lvl w:ilvl="0" w:tplc="C53C33EE">
      <w:start w:val="1"/>
      <w:numFmt w:val="bullet"/>
      <w:lvlText w:val=""/>
      <w:lvlJc w:val="left"/>
      <w:pPr>
        <w:tabs>
          <w:tab w:val="num" w:pos="223"/>
        </w:tabs>
        <w:ind w:left="223" w:hanging="223"/>
      </w:pPr>
      <w:rPr>
        <w:rFonts w:ascii="Symbol" w:hAnsi="Symbol" w:hint="default"/>
      </w:rPr>
    </w:lvl>
    <w:lvl w:ilvl="1" w:tplc="08090003" w:tentative="1">
      <w:start w:val="1"/>
      <w:numFmt w:val="bullet"/>
      <w:lvlText w:val="o"/>
      <w:lvlJc w:val="left"/>
      <w:pPr>
        <w:tabs>
          <w:tab w:val="num" w:pos="873"/>
        </w:tabs>
        <w:ind w:left="873" w:hanging="360"/>
      </w:pPr>
      <w:rPr>
        <w:rFonts w:ascii="Courier New" w:hAnsi="Courier New" w:cs="Courier New" w:hint="default"/>
      </w:rPr>
    </w:lvl>
    <w:lvl w:ilvl="2" w:tplc="08090005" w:tentative="1">
      <w:start w:val="1"/>
      <w:numFmt w:val="bullet"/>
      <w:lvlText w:val=""/>
      <w:lvlJc w:val="left"/>
      <w:pPr>
        <w:tabs>
          <w:tab w:val="num" w:pos="1593"/>
        </w:tabs>
        <w:ind w:left="1593" w:hanging="360"/>
      </w:pPr>
      <w:rPr>
        <w:rFonts w:ascii="Wingdings" w:hAnsi="Wingdings" w:hint="default"/>
      </w:rPr>
    </w:lvl>
    <w:lvl w:ilvl="3" w:tplc="08090001" w:tentative="1">
      <w:start w:val="1"/>
      <w:numFmt w:val="bullet"/>
      <w:lvlText w:val=""/>
      <w:lvlJc w:val="left"/>
      <w:pPr>
        <w:tabs>
          <w:tab w:val="num" w:pos="2313"/>
        </w:tabs>
        <w:ind w:left="2313" w:hanging="360"/>
      </w:pPr>
      <w:rPr>
        <w:rFonts w:ascii="Symbol" w:hAnsi="Symbol" w:hint="default"/>
      </w:rPr>
    </w:lvl>
    <w:lvl w:ilvl="4" w:tplc="08090003" w:tentative="1">
      <w:start w:val="1"/>
      <w:numFmt w:val="bullet"/>
      <w:lvlText w:val="o"/>
      <w:lvlJc w:val="left"/>
      <w:pPr>
        <w:tabs>
          <w:tab w:val="num" w:pos="3033"/>
        </w:tabs>
        <w:ind w:left="3033" w:hanging="360"/>
      </w:pPr>
      <w:rPr>
        <w:rFonts w:ascii="Courier New" w:hAnsi="Courier New" w:cs="Courier New" w:hint="default"/>
      </w:rPr>
    </w:lvl>
    <w:lvl w:ilvl="5" w:tplc="08090005" w:tentative="1">
      <w:start w:val="1"/>
      <w:numFmt w:val="bullet"/>
      <w:lvlText w:val=""/>
      <w:lvlJc w:val="left"/>
      <w:pPr>
        <w:tabs>
          <w:tab w:val="num" w:pos="3753"/>
        </w:tabs>
        <w:ind w:left="3753" w:hanging="360"/>
      </w:pPr>
      <w:rPr>
        <w:rFonts w:ascii="Wingdings" w:hAnsi="Wingdings" w:hint="default"/>
      </w:rPr>
    </w:lvl>
    <w:lvl w:ilvl="6" w:tplc="08090001" w:tentative="1">
      <w:start w:val="1"/>
      <w:numFmt w:val="bullet"/>
      <w:lvlText w:val=""/>
      <w:lvlJc w:val="left"/>
      <w:pPr>
        <w:tabs>
          <w:tab w:val="num" w:pos="4473"/>
        </w:tabs>
        <w:ind w:left="4473" w:hanging="360"/>
      </w:pPr>
      <w:rPr>
        <w:rFonts w:ascii="Symbol" w:hAnsi="Symbol" w:hint="default"/>
      </w:rPr>
    </w:lvl>
    <w:lvl w:ilvl="7" w:tplc="08090003" w:tentative="1">
      <w:start w:val="1"/>
      <w:numFmt w:val="bullet"/>
      <w:lvlText w:val="o"/>
      <w:lvlJc w:val="left"/>
      <w:pPr>
        <w:tabs>
          <w:tab w:val="num" w:pos="5193"/>
        </w:tabs>
        <w:ind w:left="5193" w:hanging="360"/>
      </w:pPr>
      <w:rPr>
        <w:rFonts w:ascii="Courier New" w:hAnsi="Courier New" w:cs="Courier New" w:hint="default"/>
      </w:rPr>
    </w:lvl>
    <w:lvl w:ilvl="8" w:tplc="08090005" w:tentative="1">
      <w:start w:val="1"/>
      <w:numFmt w:val="bullet"/>
      <w:lvlText w:val=""/>
      <w:lvlJc w:val="left"/>
      <w:pPr>
        <w:tabs>
          <w:tab w:val="num" w:pos="5913"/>
        </w:tabs>
        <w:ind w:left="5913" w:hanging="360"/>
      </w:pPr>
      <w:rPr>
        <w:rFonts w:ascii="Wingdings" w:hAnsi="Wingdings" w:hint="default"/>
      </w:rPr>
    </w:lvl>
  </w:abstractNum>
  <w:abstractNum w:abstractNumId="4" w15:restartNumberingAfterBreak="0">
    <w:nsid w:val="0B433330"/>
    <w:multiLevelType w:val="hybridMultilevel"/>
    <w:tmpl w:val="C76E582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C773009"/>
    <w:multiLevelType w:val="hybridMultilevel"/>
    <w:tmpl w:val="FF7CE2C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139462B"/>
    <w:multiLevelType w:val="hybridMultilevel"/>
    <w:tmpl w:val="4552BA6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3E2571D"/>
    <w:multiLevelType w:val="hybridMultilevel"/>
    <w:tmpl w:val="84704FCE"/>
    <w:lvl w:ilvl="0" w:tplc="412A50FC">
      <w:start w:val="1"/>
      <w:numFmt w:val="bullet"/>
      <w:pStyle w:val="Bulletsecondary"/>
      <w:lvlText w:val=""/>
      <w:lvlJc w:val="left"/>
      <w:pPr>
        <w:ind w:left="1800" w:hanging="360"/>
      </w:pPr>
      <w:rPr>
        <w:rFonts w:ascii="Wingdings" w:hAnsi="Wingdings" w:hint="default"/>
      </w:rPr>
    </w:lvl>
    <w:lvl w:ilvl="1" w:tplc="20000003" w:tentative="1">
      <w:start w:val="1"/>
      <w:numFmt w:val="bullet"/>
      <w:lvlText w:val="o"/>
      <w:lvlJc w:val="left"/>
      <w:pPr>
        <w:ind w:left="2520" w:hanging="360"/>
      </w:pPr>
      <w:rPr>
        <w:rFonts w:ascii="Courier New" w:hAnsi="Courier New" w:cs="Courier New" w:hint="default"/>
      </w:rPr>
    </w:lvl>
    <w:lvl w:ilvl="2" w:tplc="20000005" w:tentative="1">
      <w:start w:val="1"/>
      <w:numFmt w:val="bullet"/>
      <w:lvlText w:val=""/>
      <w:lvlJc w:val="left"/>
      <w:pPr>
        <w:ind w:left="3240" w:hanging="360"/>
      </w:pPr>
      <w:rPr>
        <w:rFonts w:ascii="Wingdings" w:hAnsi="Wingdings" w:hint="default"/>
      </w:rPr>
    </w:lvl>
    <w:lvl w:ilvl="3" w:tplc="20000001" w:tentative="1">
      <w:start w:val="1"/>
      <w:numFmt w:val="bullet"/>
      <w:lvlText w:val=""/>
      <w:lvlJc w:val="left"/>
      <w:pPr>
        <w:ind w:left="3960" w:hanging="360"/>
      </w:pPr>
      <w:rPr>
        <w:rFonts w:ascii="Symbol" w:hAnsi="Symbol" w:hint="default"/>
      </w:rPr>
    </w:lvl>
    <w:lvl w:ilvl="4" w:tplc="20000003" w:tentative="1">
      <w:start w:val="1"/>
      <w:numFmt w:val="bullet"/>
      <w:lvlText w:val="o"/>
      <w:lvlJc w:val="left"/>
      <w:pPr>
        <w:ind w:left="4680" w:hanging="360"/>
      </w:pPr>
      <w:rPr>
        <w:rFonts w:ascii="Courier New" w:hAnsi="Courier New" w:cs="Courier New" w:hint="default"/>
      </w:rPr>
    </w:lvl>
    <w:lvl w:ilvl="5" w:tplc="20000005" w:tentative="1">
      <w:start w:val="1"/>
      <w:numFmt w:val="bullet"/>
      <w:lvlText w:val=""/>
      <w:lvlJc w:val="left"/>
      <w:pPr>
        <w:ind w:left="5400" w:hanging="360"/>
      </w:pPr>
      <w:rPr>
        <w:rFonts w:ascii="Wingdings" w:hAnsi="Wingdings" w:hint="default"/>
      </w:rPr>
    </w:lvl>
    <w:lvl w:ilvl="6" w:tplc="20000001" w:tentative="1">
      <w:start w:val="1"/>
      <w:numFmt w:val="bullet"/>
      <w:lvlText w:val=""/>
      <w:lvlJc w:val="left"/>
      <w:pPr>
        <w:ind w:left="6120" w:hanging="360"/>
      </w:pPr>
      <w:rPr>
        <w:rFonts w:ascii="Symbol" w:hAnsi="Symbol" w:hint="default"/>
      </w:rPr>
    </w:lvl>
    <w:lvl w:ilvl="7" w:tplc="20000003" w:tentative="1">
      <w:start w:val="1"/>
      <w:numFmt w:val="bullet"/>
      <w:lvlText w:val="o"/>
      <w:lvlJc w:val="left"/>
      <w:pPr>
        <w:ind w:left="6840" w:hanging="360"/>
      </w:pPr>
      <w:rPr>
        <w:rFonts w:ascii="Courier New" w:hAnsi="Courier New" w:cs="Courier New" w:hint="default"/>
      </w:rPr>
    </w:lvl>
    <w:lvl w:ilvl="8" w:tplc="20000005" w:tentative="1">
      <w:start w:val="1"/>
      <w:numFmt w:val="bullet"/>
      <w:lvlText w:val=""/>
      <w:lvlJc w:val="left"/>
      <w:pPr>
        <w:ind w:left="7560" w:hanging="360"/>
      </w:pPr>
      <w:rPr>
        <w:rFonts w:ascii="Wingdings" w:hAnsi="Wingdings" w:hint="default"/>
      </w:rPr>
    </w:lvl>
  </w:abstractNum>
  <w:abstractNum w:abstractNumId="8" w15:restartNumberingAfterBreak="0">
    <w:nsid w:val="26943ABA"/>
    <w:multiLevelType w:val="hybridMultilevel"/>
    <w:tmpl w:val="D66816C0"/>
    <w:lvl w:ilvl="0" w:tplc="C53C33EE">
      <w:start w:val="1"/>
      <w:numFmt w:val="bullet"/>
      <w:lvlText w:val=""/>
      <w:lvlJc w:val="left"/>
      <w:pPr>
        <w:tabs>
          <w:tab w:val="num" w:pos="223"/>
        </w:tabs>
        <w:ind w:left="223" w:hanging="223"/>
      </w:pPr>
      <w:rPr>
        <w:rFonts w:ascii="Symbol" w:hAnsi="Symbol" w:hint="default"/>
      </w:rPr>
    </w:lvl>
    <w:lvl w:ilvl="1" w:tplc="08090003" w:tentative="1">
      <w:start w:val="1"/>
      <w:numFmt w:val="bullet"/>
      <w:lvlText w:val="o"/>
      <w:lvlJc w:val="left"/>
      <w:pPr>
        <w:tabs>
          <w:tab w:val="num" w:pos="873"/>
        </w:tabs>
        <w:ind w:left="873" w:hanging="360"/>
      </w:pPr>
      <w:rPr>
        <w:rFonts w:ascii="Courier New" w:hAnsi="Courier New" w:cs="Courier New" w:hint="default"/>
      </w:rPr>
    </w:lvl>
    <w:lvl w:ilvl="2" w:tplc="08090005" w:tentative="1">
      <w:start w:val="1"/>
      <w:numFmt w:val="bullet"/>
      <w:lvlText w:val=""/>
      <w:lvlJc w:val="left"/>
      <w:pPr>
        <w:tabs>
          <w:tab w:val="num" w:pos="1593"/>
        </w:tabs>
        <w:ind w:left="1593" w:hanging="360"/>
      </w:pPr>
      <w:rPr>
        <w:rFonts w:ascii="Wingdings" w:hAnsi="Wingdings" w:hint="default"/>
      </w:rPr>
    </w:lvl>
    <w:lvl w:ilvl="3" w:tplc="08090001" w:tentative="1">
      <w:start w:val="1"/>
      <w:numFmt w:val="bullet"/>
      <w:lvlText w:val=""/>
      <w:lvlJc w:val="left"/>
      <w:pPr>
        <w:tabs>
          <w:tab w:val="num" w:pos="2313"/>
        </w:tabs>
        <w:ind w:left="2313" w:hanging="360"/>
      </w:pPr>
      <w:rPr>
        <w:rFonts w:ascii="Symbol" w:hAnsi="Symbol" w:hint="default"/>
      </w:rPr>
    </w:lvl>
    <w:lvl w:ilvl="4" w:tplc="08090003" w:tentative="1">
      <w:start w:val="1"/>
      <w:numFmt w:val="bullet"/>
      <w:lvlText w:val="o"/>
      <w:lvlJc w:val="left"/>
      <w:pPr>
        <w:tabs>
          <w:tab w:val="num" w:pos="3033"/>
        </w:tabs>
        <w:ind w:left="3033" w:hanging="360"/>
      </w:pPr>
      <w:rPr>
        <w:rFonts w:ascii="Courier New" w:hAnsi="Courier New" w:cs="Courier New" w:hint="default"/>
      </w:rPr>
    </w:lvl>
    <w:lvl w:ilvl="5" w:tplc="08090005" w:tentative="1">
      <w:start w:val="1"/>
      <w:numFmt w:val="bullet"/>
      <w:lvlText w:val=""/>
      <w:lvlJc w:val="left"/>
      <w:pPr>
        <w:tabs>
          <w:tab w:val="num" w:pos="3753"/>
        </w:tabs>
        <w:ind w:left="3753" w:hanging="360"/>
      </w:pPr>
      <w:rPr>
        <w:rFonts w:ascii="Wingdings" w:hAnsi="Wingdings" w:hint="default"/>
      </w:rPr>
    </w:lvl>
    <w:lvl w:ilvl="6" w:tplc="08090001" w:tentative="1">
      <w:start w:val="1"/>
      <w:numFmt w:val="bullet"/>
      <w:lvlText w:val=""/>
      <w:lvlJc w:val="left"/>
      <w:pPr>
        <w:tabs>
          <w:tab w:val="num" w:pos="4473"/>
        </w:tabs>
        <w:ind w:left="4473" w:hanging="360"/>
      </w:pPr>
      <w:rPr>
        <w:rFonts w:ascii="Symbol" w:hAnsi="Symbol" w:hint="default"/>
      </w:rPr>
    </w:lvl>
    <w:lvl w:ilvl="7" w:tplc="08090003" w:tentative="1">
      <w:start w:val="1"/>
      <w:numFmt w:val="bullet"/>
      <w:lvlText w:val="o"/>
      <w:lvlJc w:val="left"/>
      <w:pPr>
        <w:tabs>
          <w:tab w:val="num" w:pos="5193"/>
        </w:tabs>
        <w:ind w:left="5193" w:hanging="360"/>
      </w:pPr>
      <w:rPr>
        <w:rFonts w:ascii="Courier New" w:hAnsi="Courier New" w:cs="Courier New" w:hint="default"/>
      </w:rPr>
    </w:lvl>
    <w:lvl w:ilvl="8" w:tplc="08090005" w:tentative="1">
      <w:start w:val="1"/>
      <w:numFmt w:val="bullet"/>
      <w:lvlText w:val=""/>
      <w:lvlJc w:val="left"/>
      <w:pPr>
        <w:tabs>
          <w:tab w:val="num" w:pos="5913"/>
        </w:tabs>
        <w:ind w:left="5913" w:hanging="360"/>
      </w:pPr>
      <w:rPr>
        <w:rFonts w:ascii="Wingdings" w:hAnsi="Wingdings" w:hint="default"/>
      </w:rPr>
    </w:lvl>
  </w:abstractNum>
  <w:abstractNum w:abstractNumId="9" w15:restartNumberingAfterBreak="0">
    <w:nsid w:val="2C1C7769"/>
    <w:multiLevelType w:val="multilevel"/>
    <w:tmpl w:val="8DF09200"/>
    <w:lvl w:ilvl="0">
      <w:start w:val="2"/>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357E6296"/>
    <w:multiLevelType w:val="hybridMultilevel"/>
    <w:tmpl w:val="B66271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71018C2"/>
    <w:multiLevelType w:val="hybridMultilevel"/>
    <w:tmpl w:val="F9D85FB6"/>
    <w:lvl w:ilvl="0" w:tplc="C53C33EE">
      <w:start w:val="1"/>
      <w:numFmt w:val="bullet"/>
      <w:lvlText w:val=""/>
      <w:lvlJc w:val="left"/>
      <w:pPr>
        <w:tabs>
          <w:tab w:val="num" w:pos="223"/>
        </w:tabs>
        <w:ind w:left="223" w:hanging="223"/>
      </w:pPr>
      <w:rPr>
        <w:rFonts w:ascii="Symbol" w:hAnsi="Symbol" w:hint="default"/>
      </w:rPr>
    </w:lvl>
    <w:lvl w:ilvl="1" w:tplc="08090003" w:tentative="1">
      <w:start w:val="1"/>
      <w:numFmt w:val="bullet"/>
      <w:lvlText w:val="o"/>
      <w:lvlJc w:val="left"/>
      <w:pPr>
        <w:tabs>
          <w:tab w:val="num" w:pos="873"/>
        </w:tabs>
        <w:ind w:left="873" w:hanging="360"/>
      </w:pPr>
      <w:rPr>
        <w:rFonts w:ascii="Courier New" w:hAnsi="Courier New" w:cs="Courier New" w:hint="default"/>
      </w:rPr>
    </w:lvl>
    <w:lvl w:ilvl="2" w:tplc="08090005" w:tentative="1">
      <w:start w:val="1"/>
      <w:numFmt w:val="bullet"/>
      <w:lvlText w:val=""/>
      <w:lvlJc w:val="left"/>
      <w:pPr>
        <w:tabs>
          <w:tab w:val="num" w:pos="1593"/>
        </w:tabs>
        <w:ind w:left="1593" w:hanging="360"/>
      </w:pPr>
      <w:rPr>
        <w:rFonts w:ascii="Wingdings" w:hAnsi="Wingdings" w:hint="default"/>
      </w:rPr>
    </w:lvl>
    <w:lvl w:ilvl="3" w:tplc="08090001" w:tentative="1">
      <w:start w:val="1"/>
      <w:numFmt w:val="bullet"/>
      <w:lvlText w:val=""/>
      <w:lvlJc w:val="left"/>
      <w:pPr>
        <w:tabs>
          <w:tab w:val="num" w:pos="2313"/>
        </w:tabs>
        <w:ind w:left="2313" w:hanging="360"/>
      </w:pPr>
      <w:rPr>
        <w:rFonts w:ascii="Symbol" w:hAnsi="Symbol" w:hint="default"/>
      </w:rPr>
    </w:lvl>
    <w:lvl w:ilvl="4" w:tplc="08090003" w:tentative="1">
      <w:start w:val="1"/>
      <w:numFmt w:val="bullet"/>
      <w:lvlText w:val="o"/>
      <w:lvlJc w:val="left"/>
      <w:pPr>
        <w:tabs>
          <w:tab w:val="num" w:pos="3033"/>
        </w:tabs>
        <w:ind w:left="3033" w:hanging="360"/>
      </w:pPr>
      <w:rPr>
        <w:rFonts w:ascii="Courier New" w:hAnsi="Courier New" w:cs="Courier New" w:hint="default"/>
      </w:rPr>
    </w:lvl>
    <w:lvl w:ilvl="5" w:tplc="08090005" w:tentative="1">
      <w:start w:val="1"/>
      <w:numFmt w:val="bullet"/>
      <w:lvlText w:val=""/>
      <w:lvlJc w:val="left"/>
      <w:pPr>
        <w:tabs>
          <w:tab w:val="num" w:pos="3753"/>
        </w:tabs>
        <w:ind w:left="3753" w:hanging="360"/>
      </w:pPr>
      <w:rPr>
        <w:rFonts w:ascii="Wingdings" w:hAnsi="Wingdings" w:hint="default"/>
      </w:rPr>
    </w:lvl>
    <w:lvl w:ilvl="6" w:tplc="08090001" w:tentative="1">
      <w:start w:val="1"/>
      <w:numFmt w:val="bullet"/>
      <w:lvlText w:val=""/>
      <w:lvlJc w:val="left"/>
      <w:pPr>
        <w:tabs>
          <w:tab w:val="num" w:pos="4473"/>
        </w:tabs>
        <w:ind w:left="4473" w:hanging="360"/>
      </w:pPr>
      <w:rPr>
        <w:rFonts w:ascii="Symbol" w:hAnsi="Symbol" w:hint="default"/>
      </w:rPr>
    </w:lvl>
    <w:lvl w:ilvl="7" w:tplc="08090003" w:tentative="1">
      <w:start w:val="1"/>
      <w:numFmt w:val="bullet"/>
      <w:lvlText w:val="o"/>
      <w:lvlJc w:val="left"/>
      <w:pPr>
        <w:tabs>
          <w:tab w:val="num" w:pos="5193"/>
        </w:tabs>
        <w:ind w:left="5193" w:hanging="360"/>
      </w:pPr>
      <w:rPr>
        <w:rFonts w:ascii="Courier New" w:hAnsi="Courier New" w:cs="Courier New" w:hint="default"/>
      </w:rPr>
    </w:lvl>
    <w:lvl w:ilvl="8" w:tplc="08090005" w:tentative="1">
      <w:start w:val="1"/>
      <w:numFmt w:val="bullet"/>
      <w:lvlText w:val=""/>
      <w:lvlJc w:val="left"/>
      <w:pPr>
        <w:tabs>
          <w:tab w:val="num" w:pos="5913"/>
        </w:tabs>
        <w:ind w:left="5913" w:hanging="360"/>
      </w:pPr>
      <w:rPr>
        <w:rFonts w:ascii="Wingdings" w:hAnsi="Wingdings" w:hint="default"/>
      </w:rPr>
    </w:lvl>
  </w:abstractNum>
  <w:abstractNum w:abstractNumId="12" w15:restartNumberingAfterBreak="0">
    <w:nsid w:val="37F206AE"/>
    <w:multiLevelType w:val="hybridMultilevel"/>
    <w:tmpl w:val="BF20D7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8BE7EB7"/>
    <w:multiLevelType w:val="hybridMultilevel"/>
    <w:tmpl w:val="26DC28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15:restartNumberingAfterBreak="0">
    <w:nsid w:val="475A0787"/>
    <w:multiLevelType w:val="hybridMultilevel"/>
    <w:tmpl w:val="D606491C"/>
    <w:lvl w:ilvl="0" w:tplc="C53C33EE">
      <w:start w:val="1"/>
      <w:numFmt w:val="bullet"/>
      <w:lvlText w:val=""/>
      <w:lvlJc w:val="left"/>
      <w:pPr>
        <w:tabs>
          <w:tab w:val="num" w:pos="223"/>
        </w:tabs>
        <w:ind w:left="223" w:hanging="223"/>
      </w:pPr>
      <w:rPr>
        <w:rFonts w:ascii="Symbol" w:hAnsi="Symbol" w:hint="default"/>
      </w:rPr>
    </w:lvl>
    <w:lvl w:ilvl="1" w:tplc="08090003" w:tentative="1">
      <w:start w:val="1"/>
      <w:numFmt w:val="bullet"/>
      <w:lvlText w:val="o"/>
      <w:lvlJc w:val="left"/>
      <w:pPr>
        <w:tabs>
          <w:tab w:val="num" w:pos="873"/>
        </w:tabs>
        <w:ind w:left="873" w:hanging="360"/>
      </w:pPr>
      <w:rPr>
        <w:rFonts w:ascii="Courier New" w:hAnsi="Courier New" w:cs="Courier New" w:hint="default"/>
      </w:rPr>
    </w:lvl>
    <w:lvl w:ilvl="2" w:tplc="08090005" w:tentative="1">
      <w:start w:val="1"/>
      <w:numFmt w:val="bullet"/>
      <w:lvlText w:val=""/>
      <w:lvlJc w:val="left"/>
      <w:pPr>
        <w:tabs>
          <w:tab w:val="num" w:pos="1593"/>
        </w:tabs>
        <w:ind w:left="1593" w:hanging="360"/>
      </w:pPr>
      <w:rPr>
        <w:rFonts w:ascii="Wingdings" w:hAnsi="Wingdings" w:hint="default"/>
      </w:rPr>
    </w:lvl>
    <w:lvl w:ilvl="3" w:tplc="08090001" w:tentative="1">
      <w:start w:val="1"/>
      <w:numFmt w:val="bullet"/>
      <w:lvlText w:val=""/>
      <w:lvlJc w:val="left"/>
      <w:pPr>
        <w:tabs>
          <w:tab w:val="num" w:pos="2313"/>
        </w:tabs>
        <w:ind w:left="2313" w:hanging="360"/>
      </w:pPr>
      <w:rPr>
        <w:rFonts w:ascii="Symbol" w:hAnsi="Symbol" w:hint="default"/>
      </w:rPr>
    </w:lvl>
    <w:lvl w:ilvl="4" w:tplc="08090003" w:tentative="1">
      <w:start w:val="1"/>
      <w:numFmt w:val="bullet"/>
      <w:lvlText w:val="o"/>
      <w:lvlJc w:val="left"/>
      <w:pPr>
        <w:tabs>
          <w:tab w:val="num" w:pos="3033"/>
        </w:tabs>
        <w:ind w:left="3033" w:hanging="360"/>
      </w:pPr>
      <w:rPr>
        <w:rFonts w:ascii="Courier New" w:hAnsi="Courier New" w:cs="Courier New" w:hint="default"/>
      </w:rPr>
    </w:lvl>
    <w:lvl w:ilvl="5" w:tplc="08090005" w:tentative="1">
      <w:start w:val="1"/>
      <w:numFmt w:val="bullet"/>
      <w:lvlText w:val=""/>
      <w:lvlJc w:val="left"/>
      <w:pPr>
        <w:tabs>
          <w:tab w:val="num" w:pos="3753"/>
        </w:tabs>
        <w:ind w:left="3753" w:hanging="360"/>
      </w:pPr>
      <w:rPr>
        <w:rFonts w:ascii="Wingdings" w:hAnsi="Wingdings" w:hint="default"/>
      </w:rPr>
    </w:lvl>
    <w:lvl w:ilvl="6" w:tplc="08090001" w:tentative="1">
      <w:start w:val="1"/>
      <w:numFmt w:val="bullet"/>
      <w:lvlText w:val=""/>
      <w:lvlJc w:val="left"/>
      <w:pPr>
        <w:tabs>
          <w:tab w:val="num" w:pos="4473"/>
        </w:tabs>
        <w:ind w:left="4473" w:hanging="360"/>
      </w:pPr>
      <w:rPr>
        <w:rFonts w:ascii="Symbol" w:hAnsi="Symbol" w:hint="default"/>
      </w:rPr>
    </w:lvl>
    <w:lvl w:ilvl="7" w:tplc="08090003" w:tentative="1">
      <w:start w:val="1"/>
      <w:numFmt w:val="bullet"/>
      <w:lvlText w:val="o"/>
      <w:lvlJc w:val="left"/>
      <w:pPr>
        <w:tabs>
          <w:tab w:val="num" w:pos="5193"/>
        </w:tabs>
        <w:ind w:left="5193" w:hanging="360"/>
      </w:pPr>
      <w:rPr>
        <w:rFonts w:ascii="Courier New" w:hAnsi="Courier New" w:cs="Courier New" w:hint="default"/>
      </w:rPr>
    </w:lvl>
    <w:lvl w:ilvl="8" w:tplc="08090005" w:tentative="1">
      <w:start w:val="1"/>
      <w:numFmt w:val="bullet"/>
      <w:lvlText w:val=""/>
      <w:lvlJc w:val="left"/>
      <w:pPr>
        <w:tabs>
          <w:tab w:val="num" w:pos="5913"/>
        </w:tabs>
        <w:ind w:left="5913" w:hanging="360"/>
      </w:pPr>
      <w:rPr>
        <w:rFonts w:ascii="Wingdings" w:hAnsi="Wingdings" w:hint="default"/>
      </w:rPr>
    </w:lvl>
  </w:abstractNum>
  <w:abstractNum w:abstractNumId="15" w15:restartNumberingAfterBreak="0">
    <w:nsid w:val="47F37133"/>
    <w:multiLevelType w:val="multilevel"/>
    <w:tmpl w:val="7A7671D6"/>
    <w:lvl w:ilvl="0">
      <w:start w:val="1"/>
      <w:numFmt w:val="decimal"/>
      <w:lvlText w:val="%1."/>
      <w:lvlJc w:val="left"/>
      <w:pPr>
        <w:ind w:left="720" w:hanging="360"/>
      </w:pPr>
      <w:rPr>
        <w:rFonts w:hint="default"/>
      </w:rPr>
    </w:lvl>
    <w:lvl w:ilvl="1">
      <w:start w:val="1"/>
      <w:numFmt w:val="decimal"/>
      <w:isLgl/>
      <w:lvlText w:val="%1.%2"/>
      <w:lvlJc w:val="left"/>
      <w:pPr>
        <w:ind w:left="756" w:hanging="396"/>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4A392CE0"/>
    <w:multiLevelType w:val="hybridMultilevel"/>
    <w:tmpl w:val="B3FAF006"/>
    <w:lvl w:ilvl="0" w:tplc="A9000060">
      <w:start w:val="1"/>
      <w:numFmt w:val="decimal"/>
      <w:pStyle w:val="Bulletnumbers"/>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4EBB2347"/>
    <w:multiLevelType w:val="hybridMultilevel"/>
    <w:tmpl w:val="401ABADE"/>
    <w:lvl w:ilvl="0" w:tplc="C53C33EE">
      <w:start w:val="1"/>
      <w:numFmt w:val="bullet"/>
      <w:lvlText w:val=""/>
      <w:lvlJc w:val="left"/>
      <w:pPr>
        <w:tabs>
          <w:tab w:val="num" w:pos="223"/>
        </w:tabs>
        <w:ind w:left="223" w:hanging="223"/>
      </w:pPr>
      <w:rPr>
        <w:rFonts w:ascii="Symbol" w:hAnsi="Symbol" w:hint="default"/>
      </w:rPr>
    </w:lvl>
    <w:lvl w:ilvl="1" w:tplc="08090003" w:tentative="1">
      <w:start w:val="1"/>
      <w:numFmt w:val="bullet"/>
      <w:lvlText w:val="o"/>
      <w:lvlJc w:val="left"/>
      <w:pPr>
        <w:tabs>
          <w:tab w:val="num" w:pos="873"/>
        </w:tabs>
        <w:ind w:left="873" w:hanging="360"/>
      </w:pPr>
      <w:rPr>
        <w:rFonts w:ascii="Courier New" w:hAnsi="Courier New" w:cs="Courier New" w:hint="default"/>
      </w:rPr>
    </w:lvl>
    <w:lvl w:ilvl="2" w:tplc="08090005" w:tentative="1">
      <w:start w:val="1"/>
      <w:numFmt w:val="bullet"/>
      <w:lvlText w:val=""/>
      <w:lvlJc w:val="left"/>
      <w:pPr>
        <w:tabs>
          <w:tab w:val="num" w:pos="1593"/>
        </w:tabs>
        <w:ind w:left="1593" w:hanging="360"/>
      </w:pPr>
      <w:rPr>
        <w:rFonts w:ascii="Wingdings" w:hAnsi="Wingdings" w:hint="default"/>
      </w:rPr>
    </w:lvl>
    <w:lvl w:ilvl="3" w:tplc="08090001" w:tentative="1">
      <w:start w:val="1"/>
      <w:numFmt w:val="bullet"/>
      <w:lvlText w:val=""/>
      <w:lvlJc w:val="left"/>
      <w:pPr>
        <w:tabs>
          <w:tab w:val="num" w:pos="2313"/>
        </w:tabs>
        <w:ind w:left="2313" w:hanging="360"/>
      </w:pPr>
      <w:rPr>
        <w:rFonts w:ascii="Symbol" w:hAnsi="Symbol" w:hint="default"/>
      </w:rPr>
    </w:lvl>
    <w:lvl w:ilvl="4" w:tplc="08090003" w:tentative="1">
      <w:start w:val="1"/>
      <w:numFmt w:val="bullet"/>
      <w:lvlText w:val="o"/>
      <w:lvlJc w:val="left"/>
      <w:pPr>
        <w:tabs>
          <w:tab w:val="num" w:pos="3033"/>
        </w:tabs>
        <w:ind w:left="3033" w:hanging="360"/>
      </w:pPr>
      <w:rPr>
        <w:rFonts w:ascii="Courier New" w:hAnsi="Courier New" w:cs="Courier New" w:hint="default"/>
      </w:rPr>
    </w:lvl>
    <w:lvl w:ilvl="5" w:tplc="08090005" w:tentative="1">
      <w:start w:val="1"/>
      <w:numFmt w:val="bullet"/>
      <w:lvlText w:val=""/>
      <w:lvlJc w:val="left"/>
      <w:pPr>
        <w:tabs>
          <w:tab w:val="num" w:pos="3753"/>
        </w:tabs>
        <w:ind w:left="3753" w:hanging="360"/>
      </w:pPr>
      <w:rPr>
        <w:rFonts w:ascii="Wingdings" w:hAnsi="Wingdings" w:hint="default"/>
      </w:rPr>
    </w:lvl>
    <w:lvl w:ilvl="6" w:tplc="08090001" w:tentative="1">
      <w:start w:val="1"/>
      <w:numFmt w:val="bullet"/>
      <w:lvlText w:val=""/>
      <w:lvlJc w:val="left"/>
      <w:pPr>
        <w:tabs>
          <w:tab w:val="num" w:pos="4473"/>
        </w:tabs>
        <w:ind w:left="4473" w:hanging="360"/>
      </w:pPr>
      <w:rPr>
        <w:rFonts w:ascii="Symbol" w:hAnsi="Symbol" w:hint="default"/>
      </w:rPr>
    </w:lvl>
    <w:lvl w:ilvl="7" w:tplc="08090003" w:tentative="1">
      <w:start w:val="1"/>
      <w:numFmt w:val="bullet"/>
      <w:lvlText w:val="o"/>
      <w:lvlJc w:val="left"/>
      <w:pPr>
        <w:tabs>
          <w:tab w:val="num" w:pos="5193"/>
        </w:tabs>
        <w:ind w:left="5193" w:hanging="360"/>
      </w:pPr>
      <w:rPr>
        <w:rFonts w:ascii="Courier New" w:hAnsi="Courier New" w:cs="Courier New" w:hint="default"/>
      </w:rPr>
    </w:lvl>
    <w:lvl w:ilvl="8" w:tplc="08090005" w:tentative="1">
      <w:start w:val="1"/>
      <w:numFmt w:val="bullet"/>
      <w:lvlText w:val=""/>
      <w:lvlJc w:val="left"/>
      <w:pPr>
        <w:tabs>
          <w:tab w:val="num" w:pos="5913"/>
        </w:tabs>
        <w:ind w:left="5913" w:hanging="360"/>
      </w:pPr>
      <w:rPr>
        <w:rFonts w:ascii="Wingdings" w:hAnsi="Wingdings" w:hint="default"/>
      </w:rPr>
    </w:lvl>
  </w:abstractNum>
  <w:abstractNum w:abstractNumId="18" w15:restartNumberingAfterBreak="0">
    <w:nsid w:val="4FE25CB3"/>
    <w:multiLevelType w:val="hybridMultilevel"/>
    <w:tmpl w:val="246219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14930C2"/>
    <w:multiLevelType w:val="hybridMultilevel"/>
    <w:tmpl w:val="1884DBD0"/>
    <w:lvl w:ilvl="0" w:tplc="4912CB24">
      <w:numFmt w:val="bullet"/>
      <w:lvlText w:val="-"/>
      <w:lvlJc w:val="left"/>
      <w:pPr>
        <w:ind w:left="454" w:hanging="170"/>
      </w:pPr>
      <w:rPr>
        <w:rFonts w:ascii="Montserrat" w:hAnsi="Montserrat" w:cs="Times New Roman" w:hint="default"/>
        <w:b w:val="0"/>
        <w:i w:val="0"/>
        <w:color w:val="auto"/>
        <w:sz w:val="20"/>
      </w:rPr>
    </w:lvl>
    <w:lvl w:ilvl="1" w:tplc="AB821C18">
      <w:start w:val="1"/>
      <w:numFmt w:val="bullet"/>
      <w:lvlText w:val=""/>
      <w:lvlJc w:val="left"/>
      <w:pPr>
        <w:ind w:left="1049" w:hanging="198"/>
      </w:pPr>
      <w:rPr>
        <w:rFonts w:ascii="Wingdings" w:hAnsi="Wingdings"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5945680F"/>
    <w:multiLevelType w:val="hybridMultilevel"/>
    <w:tmpl w:val="9DE020A6"/>
    <w:lvl w:ilvl="0" w:tplc="2000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5B424DF5"/>
    <w:multiLevelType w:val="hybridMultilevel"/>
    <w:tmpl w:val="A5D69A16"/>
    <w:lvl w:ilvl="0" w:tplc="18607520">
      <w:numFmt w:val="bullet"/>
      <w:lvlText w:val="-"/>
      <w:lvlJc w:val="left"/>
      <w:pPr>
        <w:ind w:left="454" w:hanging="170"/>
      </w:pPr>
      <w:rPr>
        <w:rFonts w:ascii="Montserrat" w:hAnsi="Montserrat" w:cs="Times New Roman" w:hint="default"/>
        <w:b w:val="0"/>
        <w:i w:val="0"/>
        <w:color w:val="auto"/>
        <w:sz w:val="20"/>
      </w:rPr>
    </w:lvl>
    <w:lvl w:ilvl="1" w:tplc="1C090003" w:tentative="1">
      <w:start w:val="1"/>
      <w:numFmt w:val="bullet"/>
      <w:lvlText w:val="o"/>
      <w:lvlJc w:val="left"/>
      <w:pPr>
        <w:ind w:left="1222" w:hanging="360"/>
      </w:pPr>
      <w:rPr>
        <w:rFonts w:ascii="Courier New" w:hAnsi="Courier New" w:cs="Courier New" w:hint="default"/>
      </w:rPr>
    </w:lvl>
    <w:lvl w:ilvl="2" w:tplc="1C090005" w:tentative="1">
      <w:start w:val="1"/>
      <w:numFmt w:val="bullet"/>
      <w:lvlText w:val=""/>
      <w:lvlJc w:val="left"/>
      <w:pPr>
        <w:ind w:left="1942" w:hanging="360"/>
      </w:pPr>
      <w:rPr>
        <w:rFonts w:ascii="Wingdings" w:hAnsi="Wingdings" w:hint="default"/>
      </w:rPr>
    </w:lvl>
    <w:lvl w:ilvl="3" w:tplc="1C090001" w:tentative="1">
      <w:start w:val="1"/>
      <w:numFmt w:val="bullet"/>
      <w:lvlText w:val=""/>
      <w:lvlJc w:val="left"/>
      <w:pPr>
        <w:ind w:left="2662" w:hanging="360"/>
      </w:pPr>
      <w:rPr>
        <w:rFonts w:ascii="Symbol" w:hAnsi="Symbol" w:hint="default"/>
      </w:rPr>
    </w:lvl>
    <w:lvl w:ilvl="4" w:tplc="1C090003" w:tentative="1">
      <w:start w:val="1"/>
      <w:numFmt w:val="bullet"/>
      <w:lvlText w:val="o"/>
      <w:lvlJc w:val="left"/>
      <w:pPr>
        <w:ind w:left="3382" w:hanging="360"/>
      </w:pPr>
      <w:rPr>
        <w:rFonts w:ascii="Courier New" w:hAnsi="Courier New" w:cs="Courier New" w:hint="default"/>
      </w:rPr>
    </w:lvl>
    <w:lvl w:ilvl="5" w:tplc="1C090005" w:tentative="1">
      <w:start w:val="1"/>
      <w:numFmt w:val="bullet"/>
      <w:lvlText w:val=""/>
      <w:lvlJc w:val="left"/>
      <w:pPr>
        <w:ind w:left="4102" w:hanging="360"/>
      </w:pPr>
      <w:rPr>
        <w:rFonts w:ascii="Wingdings" w:hAnsi="Wingdings" w:hint="default"/>
      </w:rPr>
    </w:lvl>
    <w:lvl w:ilvl="6" w:tplc="1C090001" w:tentative="1">
      <w:start w:val="1"/>
      <w:numFmt w:val="bullet"/>
      <w:lvlText w:val=""/>
      <w:lvlJc w:val="left"/>
      <w:pPr>
        <w:ind w:left="4822" w:hanging="360"/>
      </w:pPr>
      <w:rPr>
        <w:rFonts w:ascii="Symbol" w:hAnsi="Symbol" w:hint="default"/>
      </w:rPr>
    </w:lvl>
    <w:lvl w:ilvl="7" w:tplc="1C090003" w:tentative="1">
      <w:start w:val="1"/>
      <w:numFmt w:val="bullet"/>
      <w:lvlText w:val="o"/>
      <w:lvlJc w:val="left"/>
      <w:pPr>
        <w:ind w:left="5542" w:hanging="360"/>
      </w:pPr>
      <w:rPr>
        <w:rFonts w:ascii="Courier New" w:hAnsi="Courier New" w:cs="Courier New" w:hint="default"/>
      </w:rPr>
    </w:lvl>
    <w:lvl w:ilvl="8" w:tplc="1C090005" w:tentative="1">
      <w:start w:val="1"/>
      <w:numFmt w:val="bullet"/>
      <w:lvlText w:val=""/>
      <w:lvlJc w:val="left"/>
      <w:pPr>
        <w:ind w:left="6262" w:hanging="360"/>
      </w:pPr>
      <w:rPr>
        <w:rFonts w:ascii="Wingdings" w:hAnsi="Wingdings" w:hint="default"/>
      </w:rPr>
    </w:lvl>
  </w:abstractNum>
  <w:abstractNum w:abstractNumId="22" w15:restartNumberingAfterBreak="0">
    <w:nsid w:val="5D9265BC"/>
    <w:multiLevelType w:val="hybridMultilevel"/>
    <w:tmpl w:val="4C5E0822"/>
    <w:lvl w:ilvl="0" w:tplc="03EA6B2E">
      <w:start w:val="1"/>
      <w:numFmt w:val="low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15:restartNumberingAfterBreak="0">
    <w:nsid w:val="5DC50D3E"/>
    <w:multiLevelType w:val="hybridMultilevel"/>
    <w:tmpl w:val="97E6E47C"/>
    <w:lvl w:ilvl="0" w:tplc="C53C33EE">
      <w:start w:val="1"/>
      <w:numFmt w:val="bullet"/>
      <w:lvlText w:val=""/>
      <w:lvlJc w:val="left"/>
      <w:pPr>
        <w:tabs>
          <w:tab w:val="num" w:pos="223"/>
        </w:tabs>
        <w:ind w:left="223" w:hanging="223"/>
      </w:pPr>
      <w:rPr>
        <w:rFonts w:ascii="Symbol" w:hAnsi="Symbol" w:hint="default"/>
      </w:rPr>
    </w:lvl>
    <w:lvl w:ilvl="1" w:tplc="08090003" w:tentative="1">
      <w:start w:val="1"/>
      <w:numFmt w:val="bullet"/>
      <w:lvlText w:val="o"/>
      <w:lvlJc w:val="left"/>
      <w:pPr>
        <w:tabs>
          <w:tab w:val="num" w:pos="873"/>
        </w:tabs>
        <w:ind w:left="873" w:hanging="360"/>
      </w:pPr>
      <w:rPr>
        <w:rFonts w:ascii="Courier New" w:hAnsi="Courier New" w:cs="Courier New" w:hint="default"/>
      </w:rPr>
    </w:lvl>
    <w:lvl w:ilvl="2" w:tplc="08090005" w:tentative="1">
      <w:start w:val="1"/>
      <w:numFmt w:val="bullet"/>
      <w:lvlText w:val=""/>
      <w:lvlJc w:val="left"/>
      <w:pPr>
        <w:tabs>
          <w:tab w:val="num" w:pos="1593"/>
        </w:tabs>
        <w:ind w:left="1593" w:hanging="360"/>
      </w:pPr>
      <w:rPr>
        <w:rFonts w:ascii="Wingdings" w:hAnsi="Wingdings" w:hint="default"/>
      </w:rPr>
    </w:lvl>
    <w:lvl w:ilvl="3" w:tplc="08090001" w:tentative="1">
      <w:start w:val="1"/>
      <w:numFmt w:val="bullet"/>
      <w:lvlText w:val=""/>
      <w:lvlJc w:val="left"/>
      <w:pPr>
        <w:tabs>
          <w:tab w:val="num" w:pos="2313"/>
        </w:tabs>
        <w:ind w:left="2313" w:hanging="360"/>
      </w:pPr>
      <w:rPr>
        <w:rFonts w:ascii="Symbol" w:hAnsi="Symbol" w:hint="default"/>
      </w:rPr>
    </w:lvl>
    <w:lvl w:ilvl="4" w:tplc="08090003" w:tentative="1">
      <w:start w:val="1"/>
      <w:numFmt w:val="bullet"/>
      <w:lvlText w:val="o"/>
      <w:lvlJc w:val="left"/>
      <w:pPr>
        <w:tabs>
          <w:tab w:val="num" w:pos="3033"/>
        </w:tabs>
        <w:ind w:left="3033" w:hanging="360"/>
      </w:pPr>
      <w:rPr>
        <w:rFonts w:ascii="Courier New" w:hAnsi="Courier New" w:cs="Courier New" w:hint="default"/>
      </w:rPr>
    </w:lvl>
    <w:lvl w:ilvl="5" w:tplc="08090005" w:tentative="1">
      <w:start w:val="1"/>
      <w:numFmt w:val="bullet"/>
      <w:lvlText w:val=""/>
      <w:lvlJc w:val="left"/>
      <w:pPr>
        <w:tabs>
          <w:tab w:val="num" w:pos="3753"/>
        </w:tabs>
        <w:ind w:left="3753" w:hanging="360"/>
      </w:pPr>
      <w:rPr>
        <w:rFonts w:ascii="Wingdings" w:hAnsi="Wingdings" w:hint="default"/>
      </w:rPr>
    </w:lvl>
    <w:lvl w:ilvl="6" w:tplc="08090001" w:tentative="1">
      <w:start w:val="1"/>
      <w:numFmt w:val="bullet"/>
      <w:lvlText w:val=""/>
      <w:lvlJc w:val="left"/>
      <w:pPr>
        <w:tabs>
          <w:tab w:val="num" w:pos="4473"/>
        </w:tabs>
        <w:ind w:left="4473" w:hanging="360"/>
      </w:pPr>
      <w:rPr>
        <w:rFonts w:ascii="Symbol" w:hAnsi="Symbol" w:hint="default"/>
      </w:rPr>
    </w:lvl>
    <w:lvl w:ilvl="7" w:tplc="08090003" w:tentative="1">
      <w:start w:val="1"/>
      <w:numFmt w:val="bullet"/>
      <w:lvlText w:val="o"/>
      <w:lvlJc w:val="left"/>
      <w:pPr>
        <w:tabs>
          <w:tab w:val="num" w:pos="5193"/>
        </w:tabs>
        <w:ind w:left="5193" w:hanging="360"/>
      </w:pPr>
      <w:rPr>
        <w:rFonts w:ascii="Courier New" w:hAnsi="Courier New" w:cs="Courier New" w:hint="default"/>
      </w:rPr>
    </w:lvl>
    <w:lvl w:ilvl="8" w:tplc="08090005" w:tentative="1">
      <w:start w:val="1"/>
      <w:numFmt w:val="bullet"/>
      <w:lvlText w:val=""/>
      <w:lvlJc w:val="left"/>
      <w:pPr>
        <w:tabs>
          <w:tab w:val="num" w:pos="5913"/>
        </w:tabs>
        <w:ind w:left="5913" w:hanging="360"/>
      </w:pPr>
      <w:rPr>
        <w:rFonts w:ascii="Wingdings" w:hAnsi="Wingdings" w:hint="default"/>
      </w:rPr>
    </w:lvl>
  </w:abstractNum>
  <w:abstractNum w:abstractNumId="24" w15:restartNumberingAfterBreak="0">
    <w:nsid w:val="630B57B5"/>
    <w:multiLevelType w:val="hybridMultilevel"/>
    <w:tmpl w:val="F9747A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5FD6B60"/>
    <w:multiLevelType w:val="hybridMultilevel"/>
    <w:tmpl w:val="4140A84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66B33CA0"/>
    <w:multiLevelType w:val="hybridMultilevel"/>
    <w:tmpl w:val="240C421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15:restartNumberingAfterBreak="0">
    <w:nsid w:val="67171A2C"/>
    <w:multiLevelType w:val="multilevel"/>
    <w:tmpl w:val="9A1A6B26"/>
    <w:lvl w:ilvl="0">
      <w:start w:val="1"/>
      <w:numFmt w:val="decimal"/>
      <w:pStyle w:val="Heading1bullet"/>
      <w:lvlText w:val="%1."/>
      <w:lvlJc w:val="left"/>
      <w:pPr>
        <w:ind w:left="360" w:hanging="360"/>
      </w:pPr>
    </w:lvl>
    <w:lvl w:ilvl="1">
      <w:start w:val="1"/>
      <w:numFmt w:val="decimal"/>
      <w:pStyle w:val="Heading2bullet"/>
      <w:isLgl/>
      <w:lvlText w:val="%1.%2"/>
      <w:lvlJc w:val="left"/>
      <w:pPr>
        <w:ind w:left="396" w:hanging="396"/>
      </w:pPr>
      <w:rPr>
        <w:rFonts w:hint="default"/>
      </w:rPr>
    </w:lvl>
    <w:lvl w:ilvl="2">
      <w:start w:val="1"/>
      <w:numFmt w:val="decimal"/>
      <w:pStyle w:val="Heading3"/>
      <w:isLgl/>
      <w:lvlText w:val="%1.%2.%3"/>
      <w:lvlJc w:val="left"/>
      <w:pPr>
        <w:ind w:left="720" w:hanging="720"/>
      </w:pPr>
      <w:rPr>
        <w:rFonts w:hint="default"/>
        <w:b w:val="0"/>
        <w:bCs w:val="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8" w15:restartNumberingAfterBreak="0">
    <w:nsid w:val="6AE07425"/>
    <w:multiLevelType w:val="hybridMultilevel"/>
    <w:tmpl w:val="145428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DD437A1"/>
    <w:multiLevelType w:val="hybridMultilevel"/>
    <w:tmpl w:val="AF0E5DE2"/>
    <w:lvl w:ilvl="0" w:tplc="886873BC">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15:restartNumberingAfterBreak="0">
    <w:nsid w:val="735F5E12"/>
    <w:multiLevelType w:val="hybridMultilevel"/>
    <w:tmpl w:val="DB26DA5A"/>
    <w:lvl w:ilvl="0" w:tplc="659A2CA4">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B2B6FE8"/>
    <w:multiLevelType w:val="hybridMultilevel"/>
    <w:tmpl w:val="414A3210"/>
    <w:lvl w:ilvl="0" w:tplc="7FC67022">
      <w:start w:val="9"/>
      <w:numFmt w:val="bullet"/>
      <w:lvlText w:val="-"/>
      <w:lvlJc w:val="left"/>
      <w:pPr>
        <w:ind w:left="720" w:hanging="360"/>
      </w:pPr>
      <w:rPr>
        <w:rFonts w:ascii="Open Sans" w:eastAsiaTheme="minorHAnsi" w:hAnsi="Open Sans" w:cs="Open San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B2E59C3"/>
    <w:multiLevelType w:val="hybridMultilevel"/>
    <w:tmpl w:val="4A26129C"/>
    <w:lvl w:ilvl="0" w:tplc="6FF44B4E">
      <w:numFmt w:val="bullet"/>
      <w:lvlText w:val="-"/>
      <w:lvlJc w:val="left"/>
      <w:pPr>
        <w:ind w:left="454" w:hanging="170"/>
      </w:pPr>
      <w:rPr>
        <w:rFonts w:ascii="Montserrat" w:hAnsi="Montserrat" w:cs="Times New Roman" w:hint="default"/>
        <w:b w:val="0"/>
        <w:i w:val="0"/>
        <w:color w:val="auto"/>
        <w:sz w:val="20"/>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7B6D63CD"/>
    <w:multiLevelType w:val="hybridMultilevel"/>
    <w:tmpl w:val="1C7287F4"/>
    <w:lvl w:ilvl="0" w:tplc="56D49FCE">
      <w:start w:val="2"/>
      <w:numFmt w:val="bullet"/>
      <w:lvlText w:val="-"/>
      <w:lvlJc w:val="left"/>
      <w:pPr>
        <w:ind w:left="720" w:hanging="360"/>
      </w:pPr>
      <w:rPr>
        <w:rFonts w:ascii="Open Sans" w:eastAsiaTheme="minorHAnsi" w:hAnsi="Open Sans" w:cs="Open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C982701"/>
    <w:multiLevelType w:val="multilevel"/>
    <w:tmpl w:val="7A7671D6"/>
    <w:lvl w:ilvl="0">
      <w:start w:val="1"/>
      <w:numFmt w:val="decimal"/>
      <w:lvlText w:val="%1."/>
      <w:lvlJc w:val="left"/>
      <w:pPr>
        <w:ind w:left="720" w:hanging="360"/>
      </w:pPr>
      <w:rPr>
        <w:rFonts w:hint="default"/>
      </w:rPr>
    </w:lvl>
    <w:lvl w:ilvl="1">
      <w:start w:val="1"/>
      <w:numFmt w:val="decimal"/>
      <w:isLgl/>
      <w:lvlText w:val="%1.%2"/>
      <w:lvlJc w:val="left"/>
      <w:pPr>
        <w:ind w:left="756" w:hanging="396"/>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7E06116B"/>
    <w:multiLevelType w:val="hybridMultilevel"/>
    <w:tmpl w:val="A394EA80"/>
    <w:lvl w:ilvl="0" w:tplc="C8B0C14C">
      <w:start w:val="1"/>
      <w:numFmt w:val="lowerLetter"/>
      <w:pStyle w:val="Bulletletters"/>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F0F41F5"/>
    <w:multiLevelType w:val="hybridMultilevel"/>
    <w:tmpl w:val="0FFE094A"/>
    <w:lvl w:ilvl="0" w:tplc="D910CA1C">
      <w:numFmt w:val="bullet"/>
      <w:pStyle w:val="Bulletprimary"/>
      <w:lvlText w:val="-"/>
      <w:lvlJc w:val="left"/>
      <w:pPr>
        <w:ind w:left="720" w:hanging="360"/>
      </w:pPr>
      <w:rPr>
        <w:rFonts w:ascii="Montserrat" w:hAnsi="Montserrat" w:cs="Times New Roman" w:hint="default"/>
        <w:b w:val="0"/>
        <w:i w:val="0"/>
        <w:color w:val="auto"/>
        <w:sz w:val="20"/>
      </w:rPr>
    </w:lvl>
    <w:lvl w:ilvl="1" w:tplc="63400128">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05083287">
    <w:abstractNumId w:val="27"/>
  </w:num>
  <w:num w:numId="2" w16cid:durableId="1386023898">
    <w:abstractNumId w:val="29"/>
  </w:num>
  <w:num w:numId="3" w16cid:durableId="1608730084">
    <w:abstractNumId w:val="22"/>
  </w:num>
  <w:num w:numId="4" w16cid:durableId="1678382197">
    <w:abstractNumId w:val="36"/>
  </w:num>
  <w:num w:numId="5" w16cid:durableId="950741454">
    <w:abstractNumId w:val="7"/>
  </w:num>
  <w:num w:numId="6" w16cid:durableId="1073312968">
    <w:abstractNumId w:val="16"/>
  </w:num>
  <w:num w:numId="7" w16cid:durableId="1993213458">
    <w:abstractNumId w:val="35"/>
  </w:num>
  <w:num w:numId="8" w16cid:durableId="1047490154">
    <w:abstractNumId w:val="26"/>
  </w:num>
  <w:num w:numId="9" w16cid:durableId="983511204">
    <w:abstractNumId w:val="9"/>
  </w:num>
  <w:num w:numId="10" w16cid:durableId="173036092">
    <w:abstractNumId w:val="25"/>
  </w:num>
  <w:num w:numId="11" w16cid:durableId="1716001964">
    <w:abstractNumId w:val="13"/>
  </w:num>
  <w:num w:numId="12" w16cid:durableId="1930045202">
    <w:abstractNumId w:val="34"/>
  </w:num>
  <w:num w:numId="13" w16cid:durableId="1623998122">
    <w:abstractNumId w:val="15"/>
  </w:num>
  <w:num w:numId="14" w16cid:durableId="1546718819">
    <w:abstractNumId w:val="32"/>
  </w:num>
  <w:num w:numId="15" w16cid:durableId="1271280771">
    <w:abstractNumId w:val="0"/>
  </w:num>
  <w:num w:numId="16" w16cid:durableId="80763347">
    <w:abstractNumId w:val="21"/>
  </w:num>
  <w:num w:numId="17" w16cid:durableId="797409101">
    <w:abstractNumId w:val="19"/>
  </w:num>
  <w:num w:numId="18" w16cid:durableId="380834935">
    <w:abstractNumId w:val="2"/>
  </w:num>
  <w:num w:numId="19" w16cid:durableId="635139834">
    <w:abstractNumId w:val="28"/>
  </w:num>
  <w:num w:numId="20" w16cid:durableId="684861906">
    <w:abstractNumId w:val="30"/>
  </w:num>
  <w:num w:numId="21" w16cid:durableId="926616280">
    <w:abstractNumId w:val="20"/>
  </w:num>
  <w:num w:numId="22" w16cid:durableId="377821787">
    <w:abstractNumId w:val="10"/>
  </w:num>
  <w:num w:numId="23" w16cid:durableId="592516598">
    <w:abstractNumId w:val="24"/>
  </w:num>
  <w:num w:numId="24" w16cid:durableId="1379628149">
    <w:abstractNumId w:val="33"/>
  </w:num>
  <w:num w:numId="25" w16cid:durableId="1112630409">
    <w:abstractNumId w:val="14"/>
  </w:num>
  <w:num w:numId="26" w16cid:durableId="1291937862">
    <w:abstractNumId w:val="23"/>
  </w:num>
  <w:num w:numId="27" w16cid:durableId="1951544019">
    <w:abstractNumId w:val="17"/>
  </w:num>
  <w:num w:numId="28" w16cid:durableId="2032418673">
    <w:abstractNumId w:val="11"/>
  </w:num>
  <w:num w:numId="29" w16cid:durableId="698092011">
    <w:abstractNumId w:val="6"/>
  </w:num>
  <w:num w:numId="30" w16cid:durableId="1573585369">
    <w:abstractNumId w:val="8"/>
  </w:num>
  <w:num w:numId="31" w16cid:durableId="1003627163">
    <w:abstractNumId w:val="3"/>
  </w:num>
  <w:num w:numId="32" w16cid:durableId="1646929278">
    <w:abstractNumId w:val="5"/>
  </w:num>
  <w:num w:numId="33" w16cid:durableId="941228724">
    <w:abstractNumId w:val="4"/>
  </w:num>
  <w:num w:numId="34" w16cid:durableId="844588214">
    <w:abstractNumId w:val="12"/>
  </w:num>
  <w:num w:numId="35" w16cid:durableId="1416978568">
    <w:abstractNumId w:val="1"/>
  </w:num>
  <w:num w:numId="36" w16cid:durableId="1173840287">
    <w:abstractNumId w:val="18"/>
  </w:num>
  <w:num w:numId="37" w16cid:durableId="1377923301">
    <w:abstractNumId w:val="3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ocumentProtection w:formatting="1" w:enforcement="0"/>
  <w:styleLockTheme/>
  <w:defaultTabStop w:val="720"/>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ExNzK2NDQwsjQxNTBV0lEKTi0uzszPAykwrAUA7rgbUCwAAAA="/>
  </w:docVars>
  <w:rsids>
    <w:rsidRoot w:val="008B7172"/>
    <w:rsid w:val="000010F2"/>
    <w:rsid w:val="00002993"/>
    <w:rsid w:val="000039CC"/>
    <w:rsid w:val="00004101"/>
    <w:rsid w:val="00004436"/>
    <w:rsid w:val="0000450F"/>
    <w:rsid w:val="00004648"/>
    <w:rsid w:val="00004EDD"/>
    <w:rsid w:val="00006837"/>
    <w:rsid w:val="00006D1A"/>
    <w:rsid w:val="000071D7"/>
    <w:rsid w:val="00007A7F"/>
    <w:rsid w:val="0001105B"/>
    <w:rsid w:val="000111EC"/>
    <w:rsid w:val="00013523"/>
    <w:rsid w:val="00014D4A"/>
    <w:rsid w:val="000152F4"/>
    <w:rsid w:val="00015495"/>
    <w:rsid w:val="0001798B"/>
    <w:rsid w:val="00017D39"/>
    <w:rsid w:val="00020059"/>
    <w:rsid w:val="00020970"/>
    <w:rsid w:val="00020B61"/>
    <w:rsid w:val="00021E52"/>
    <w:rsid w:val="000227B6"/>
    <w:rsid w:val="000239BC"/>
    <w:rsid w:val="00023F0F"/>
    <w:rsid w:val="00024DCF"/>
    <w:rsid w:val="000261EE"/>
    <w:rsid w:val="000263AB"/>
    <w:rsid w:val="00026B83"/>
    <w:rsid w:val="00026BCE"/>
    <w:rsid w:val="00030770"/>
    <w:rsid w:val="0003082A"/>
    <w:rsid w:val="000308F4"/>
    <w:rsid w:val="00030C29"/>
    <w:rsid w:val="00030E3F"/>
    <w:rsid w:val="00031001"/>
    <w:rsid w:val="00031143"/>
    <w:rsid w:val="00031E2C"/>
    <w:rsid w:val="00032106"/>
    <w:rsid w:val="00033451"/>
    <w:rsid w:val="000342A6"/>
    <w:rsid w:val="000352F2"/>
    <w:rsid w:val="000353E1"/>
    <w:rsid w:val="00036091"/>
    <w:rsid w:val="00036BEF"/>
    <w:rsid w:val="0003744F"/>
    <w:rsid w:val="000403F6"/>
    <w:rsid w:val="00040D8C"/>
    <w:rsid w:val="000414BC"/>
    <w:rsid w:val="00041717"/>
    <w:rsid w:val="000432EF"/>
    <w:rsid w:val="00043CA9"/>
    <w:rsid w:val="000445C7"/>
    <w:rsid w:val="0004496C"/>
    <w:rsid w:val="0004639C"/>
    <w:rsid w:val="000468F6"/>
    <w:rsid w:val="000470B1"/>
    <w:rsid w:val="00050126"/>
    <w:rsid w:val="000506D7"/>
    <w:rsid w:val="000521D1"/>
    <w:rsid w:val="0005294A"/>
    <w:rsid w:val="00052D13"/>
    <w:rsid w:val="000530B3"/>
    <w:rsid w:val="00053A68"/>
    <w:rsid w:val="00053D7F"/>
    <w:rsid w:val="000542ED"/>
    <w:rsid w:val="000543CD"/>
    <w:rsid w:val="00054E5B"/>
    <w:rsid w:val="00056247"/>
    <w:rsid w:val="000563D8"/>
    <w:rsid w:val="00056F94"/>
    <w:rsid w:val="000574D8"/>
    <w:rsid w:val="00059B45"/>
    <w:rsid w:val="00061196"/>
    <w:rsid w:val="00061983"/>
    <w:rsid w:val="000634C7"/>
    <w:rsid w:val="000640BA"/>
    <w:rsid w:val="0006521F"/>
    <w:rsid w:val="00065B3D"/>
    <w:rsid w:val="0006660C"/>
    <w:rsid w:val="00066964"/>
    <w:rsid w:val="00066B24"/>
    <w:rsid w:val="00067B68"/>
    <w:rsid w:val="00070AAD"/>
    <w:rsid w:val="00070ABC"/>
    <w:rsid w:val="00071014"/>
    <w:rsid w:val="00071FDE"/>
    <w:rsid w:val="00072045"/>
    <w:rsid w:val="00072691"/>
    <w:rsid w:val="0007355F"/>
    <w:rsid w:val="00073B9B"/>
    <w:rsid w:val="00075A2E"/>
    <w:rsid w:val="00075FBD"/>
    <w:rsid w:val="000760B4"/>
    <w:rsid w:val="00077653"/>
    <w:rsid w:val="00077D5D"/>
    <w:rsid w:val="00080116"/>
    <w:rsid w:val="0008413C"/>
    <w:rsid w:val="00085965"/>
    <w:rsid w:val="000874D2"/>
    <w:rsid w:val="00087586"/>
    <w:rsid w:val="0008792F"/>
    <w:rsid w:val="00090964"/>
    <w:rsid w:val="00092F92"/>
    <w:rsid w:val="000952F8"/>
    <w:rsid w:val="00095A6E"/>
    <w:rsid w:val="00097055"/>
    <w:rsid w:val="00097085"/>
    <w:rsid w:val="000A0F4A"/>
    <w:rsid w:val="000A2013"/>
    <w:rsid w:val="000A22FE"/>
    <w:rsid w:val="000A2784"/>
    <w:rsid w:val="000A2848"/>
    <w:rsid w:val="000A2A7C"/>
    <w:rsid w:val="000A3624"/>
    <w:rsid w:val="000A3B60"/>
    <w:rsid w:val="000A6341"/>
    <w:rsid w:val="000A6B88"/>
    <w:rsid w:val="000A78CE"/>
    <w:rsid w:val="000B1096"/>
    <w:rsid w:val="000B1A90"/>
    <w:rsid w:val="000B3C9A"/>
    <w:rsid w:val="000B40BA"/>
    <w:rsid w:val="000B4E2F"/>
    <w:rsid w:val="000B505F"/>
    <w:rsid w:val="000B57CA"/>
    <w:rsid w:val="000B7EB3"/>
    <w:rsid w:val="000C1B70"/>
    <w:rsid w:val="000C327E"/>
    <w:rsid w:val="000C44C1"/>
    <w:rsid w:val="000C462A"/>
    <w:rsid w:val="000C4DC5"/>
    <w:rsid w:val="000D03FF"/>
    <w:rsid w:val="000D1894"/>
    <w:rsid w:val="000D1C5E"/>
    <w:rsid w:val="000D1DE4"/>
    <w:rsid w:val="000D237A"/>
    <w:rsid w:val="000D2FE2"/>
    <w:rsid w:val="000D3112"/>
    <w:rsid w:val="000D3181"/>
    <w:rsid w:val="000D3B37"/>
    <w:rsid w:val="000D55EC"/>
    <w:rsid w:val="000D5639"/>
    <w:rsid w:val="000D6340"/>
    <w:rsid w:val="000D68A5"/>
    <w:rsid w:val="000D68D8"/>
    <w:rsid w:val="000D6C7D"/>
    <w:rsid w:val="000D7477"/>
    <w:rsid w:val="000E0854"/>
    <w:rsid w:val="000E106A"/>
    <w:rsid w:val="000E1632"/>
    <w:rsid w:val="000E17DC"/>
    <w:rsid w:val="000E28A4"/>
    <w:rsid w:val="000E3215"/>
    <w:rsid w:val="000E3D52"/>
    <w:rsid w:val="000E4D3A"/>
    <w:rsid w:val="000E4DD1"/>
    <w:rsid w:val="000E4F0B"/>
    <w:rsid w:val="000E571F"/>
    <w:rsid w:val="000E5980"/>
    <w:rsid w:val="000E6C9B"/>
    <w:rsid w:val="000E6EA4"/>
    <w:rsid w:val="000E72C5"/>
    <w:rsid w:val="000F06C8"/>
    <w:rsid w:val="000F1A51"/>
    <w:rsid w:val="000F2C64"/>
    <w:rsid w:val="000F3B62"/>
    <w:rsid w:val="000F474A"/>
    <w:rsid w:val="000F6299"/>
    <w:rsid w:val="0010002F"/>
    <w:rsid w:val="001005EC"/>
    <w:rsid w:val="00100D61"/>
    <w:rsid w:val="0010378F"/>
    <w:rsid w:val="00105179"/>
    <w:rsid w:val="001063C3"/>
    <w:rsid w:val="0010665A"/>
    <w:rsid w:val="001066C8"/>
    <w:rsid w:val="0010720D"/>
    <w:rsid w:val="00111EFA"/>
    <w:rsid w:val="00112A1E"/>
    <w:rsid w:val="00114062"/>
    <w:rsid w:val="00114239"/>
    <w:rsid w:val="0011429C"/>
    <w:rsid w:val="00115871"/>
    <w:rsid w:val="00116983"/>
    <w:rsid w:val="00117DB7"/>
    <w:rsid w:val="001212CD"/>
    <w:rsid w:val="0012199E"/>
    <w:rsid w:val="00121A63"/>
    <w:rsid w:val="0012267D"/>
    <w:rsid w:val="001228D5"/>
    <w:rsid w:val="00123A18"/>
    <w:rsid w:val="00123C81"/>
    <w:rsid w:val="00124900"/>
    <w:rsid w:val="0012517D"/>
    <w:rsid w:val="001261CB"/>
    <w:rsid w:val="001271F5"/>
    <w:rsid w:val="001303A5"/>
    <w:rsid w:val="00130782"/>
    <w:rsid w:val="00130973"/>
    <w:rsid w:val="00130A05"/>
    <w:rsid w:val="001313A6"/>
    <w:rsid w:val="0013179B"/>
    <w:rsid w:val="0013358A"/>
    <w:rsid w:val="00133CCF"/>
    <w:rsid w:val="00133E4E"/>
    <w:rsid w:val="001347E9"/>
    <w:rsid w:val="00135388"/>
    <w:rsid w:val="00135D08"/>
    <w:rsid w:val="00137332"/>
    <w:rsid w:val="00137C33"/>
    <w:rsid w:val="00140A58"/>
    <w:rsid w:val="00141F35"/>
    <w:rsid w:val="00144407"/>
    <w:rsid w:val="001453D2"/>
    <w:rsid w:val="00145E80"/>
    <w:rsid w:val="0014777C"/>
    <w:rsid w:val="001512A8"/>
    <w:rsid w:val="00151CCF"/>
    <w:rsid w:val="00151DE3"/>
    <w:rsid w:val="00154290"/>
    <w:rsid w:val="0015468E"/>
    <w:rsid w:val="001552BE"/>
    <w:rsid w:val="00155CEF"/>
    <w:rsid w:val="0015617A"/>
    <w:rsid w:val="00156886"/>
    <w:rsid w:val="00160743"/>
    <w:rsid w:val="00161980"/>
    <w:rsid w:val="001656DA"/>
    <w:rsid w:val="001662D8"/>
    <w:rsid w:val="001705B4"/>
    <w:rsid w:val="00170A42"/>
    <w:rsid w:val="00171463"/>
    <w:rsid w:val="001714FB"/>
    <w:rsid w:val="0017179A"/>
    <w:rsid w:val="0017323B"/>
    <w:rsid w:val="00173552"/>
    <w:rsid w:val="0017528F"/>
    <w:rsid w:val="0017546D"/>
    <w:rsid w:val="00175EE0"/>
    <w:rsid w:val="0017648F"/>
    <w:rsid w:val="00177419"/>
    <w:rsid w:val="001805DA"/>
    <w:rsid w:val="00181AB7"/>
    <w:rsid w:val="00181E1D"/>
    <w:rsid w:val="00182C83"/>
    <w:rsid w:val="001834D3"/>
    <w:rsid w:val="001852A9"/>
    <w:rsid w:val="00185C26"/>
    <w:rsid w:val="00186326"/>
    <w:rsid w:val="00186A8B"/>
    <w:rsid w:val="00187380"/>
    <w:rsid w:val="001873ED"/>
    <w:rsid w:val="0018782B"/>
    <w:rsid w:val="0018798D"/>
    <w:rsid w:val="00190853"/>
    <w:rsid w:val="00190A52"/>
    <w:rsid w:val="00191C50"/>
    <w:rsid w:val="001923D9"/>
    <w:rsid w:val="00193CC9"/>
    <w:rsid w:val="00194340"/>
    <w:rsid w:val="00194DE3"/>
    <w:rsid w:val="001951BA"/>
    <w:rsid w:val="00195908"/>
    <w:rsid w:val="001963E2"/>
    <w:rsid w:val="001965A7"/>
    <w:rsid w:val="00197DC0"/>
    <w:rsid w:val="00197E2F"/>
    <w:rsid w:val="001A048A"/>
    <w:rsid w:val="001A05C1"/>
    <w:rsid w:val="001A25A1"/>
    <w:rsid w:val="001A335D"/>
    <w:rsid w:val="001A39AD"/>
    <w:rsid w:val="001A4E6D"/>
    <w:rsid w:val="001A5305"/>
    <w:rsid w:val="001A55FC"/>
    <w:rsid w:val="001A60A5"/>
    <w:rsid w:val="001A6367"/>
    <w:rsid w:val="001A730B"/>
    <w:rsid w:val="001A7E2A"/>
    <w:rsid w:val="001B3813"/>
    <w:rsid w:val="001B3A47"/>
    <w:rsid w:val="001B41D1"/>
    <w:rsid w:val="001B4E43"/>
    <w:rsid w:val="001B56F5"/>
    <w:rsid w:val="001B58FE"/>
    <w:rsid w:val="001B5CA3"/>
    <w:rsid w:val="001B5FC6"/>
    <w:rsid w:val="001B61CF"/>
    <w:rsid w:val="001B6B63"/>
    <w:rsid w:val="001B6E23"/>
    <w:rsid w:val="001B74EE"/>
    <w:rsid w:val="001B7AC8"/>
    <w:rsid w:val="001C051A"/>
    <w:rsid w:val="001C211A"/>
    <w:rsid w:val="001C22C7"/>
    <w:rsid w:val="001C2807"/>
    <w:rsid w:val="001C2AAC"/>
    <w:rsid w:val="001C2AD6"/>
    <w:rsid w:val="001C36AA"/>
    <w:rsid w:val="001C3849"/>
    <w:rsid w:val="001C3CF1"/>
    <w:rsid w:val="001C4252"/>
    <w:rsid w:val="001C44C7"/>
    <w:rsid w:val="001C47F9"/>
    <w:rsid w:val="001C4D20"/>
    <w:rsid w:val="001C4E41"/>
    <w:rsid w:val="001C59E1"/>
    <w:rsid w:val="001C651A"/>
    <w:rsid w:val="001C657C"/>
    <w:rsid w:val="001C70C0"/>
    <w:rsid w:val="001C7716"/>
    <w:rsid w:val="001C7F40"/>
    <w:rsid w:val="001D05EB"/>
    <w:rsid w:val="001D0915"/>
    <w:rsid w:val="001D183C"/>
    <w:rsid w:val="001D1B6C"/>
    <w:rsid w:val="001D1F37"/>
    <w:rsid w:val="001D241D"/>
    <w:rsid w:val="001D2B6D"/>
    <w:rsid w:val="001D3014"/>
    <w:rsid w:val="001D3A59"/>
    <w:rsid w:val="001D400B"/>
    <w:rsid w:val="001D5156"/>
    <w:rsid w:val="001D523B"/>
    <w:rsid w:val="001D53A0"/>
    <w:rsid w:val="001D5681"/>
    <w:rsid w:val="001D5BAD"/>
    <w:rsid w:val="001E06ED"/>
    <w:rsid w:val="001E0979"/>
    <w:rsid w:val="001E0DD2"/>
    <w:rsid w:val="001E1320"/>
    <w:rsid w:val="001E22E5"/>
    <w:rsid w:val="001E2305"/>
    <w:rsid w:val="001E317A"/>
    <w:rsid w:val="001E3AC1"/>
    <w:rsid w:val="001E4007"/>
    <w:rsid w:val="001E6215"/>
    <w:rsid w:val="001E6299"/>
    <w:rsid w:val="001E728A"/>
    <w:rsid w:val="001E734E"/>
    <w:rsid w:val="001E7602"/>
    <w:rsid w:val="001F1659"/>
    <w:rsid w:val="001F24D5"/>
    <w:rsid w:val="002008FD"/>
    <w:rsid w:val="00201757"/>
    <w:rsid w:val="0020198E"/>
    <w:rsid w:val="00201EC9"/>
    <w:rsid w:val="00202461"/>
    <w:rsid w:val="002027D5"/>
    <w:rsid w:val="002028F5"/>
    <w:rsid w:val="00202AD2"/>
    <w:rsid w:val="0020311B"/>
    <w:rsid w:val="002060CC"/>
    <w:rsid w:val="00206B97"/>
    <w:rsid w:val="00206D4E"/>
    <w:rsid w:val="00206D91"/>
    <w:rsid w:val="00207429"/>
    <w:rsid w:val="002074D4"/>
    <w:rsid w:val="00207E0E"/>
    <w:rsid w:val="002104A4"/>
    <w:rsid w:val="00211A3B"/>
    <w:rsid w:val="00212165"/>
    <w:rsid w:val="002128E0"/>
    <w:rsid w:val="00212D3E"/>
    <w:rsid w:val="00213024"/>
    <w:rsid w:val="002136DE"/>
    <w:rsid w:val="002137D7"/>
    <w:rsid w:val="00213F01"/>
    <w:rsid w:val="002140D2"/>
    <w:rsid w:val="0022163C"/>
    <w:rsid w:val="00221D19"/>
    <w:rsid w:val="002227B5"/>
    <w:rsid w:val="00222A61"/>
    <w:rsid w:val="002238E6"/>
    <w:rsid w:val="002256F9"/>
    <w:rsid w:val="002262F8"/>
    <w:rsid w:val="00226DA4"/>
    <w:rsid w:val="00227F19"/>
    <w:rsid w:val="00230032"/>
    <w:rsid w:val="00231936"/>
    <w:rsid w:val="00231BF5"/>
    <w:rsid w:val="00232476"/>
    <w:rsid w:val="002325C2"/>
    <w:rsid w:val="00232B8F"/>
    <w:rsid w:val="00232D33"/>
    <w:rsid w:val="00233EB5"/>
    <w:rsid w:val="002351CC"/>
    <w:rsid w:val="00235894"/>
    <w:rsid w:val="002370F0"/>
    <w:rsid w:val="002412EF"/>
    <w:rsid w:val="002415BB"/>
    <w:rsid w:val="00241A30"/>
    <w:rsid w:val="00241BD7"/>
    <w:rsid w:val="002425D8"/>
    <w:rsid w:val="00243922"/>
    <w:rsid w:val="00244AF1"/>
    <w:rsid w:val="0024605B"/>
    <w:rsid w:val="002460ED"/>
    <w:rsid w:val="00247172"/>
    <w:rsid w:val="00250304"/>
    <w:rsid w:val="00250F3C"/>
    <w:rsid w:val="00252710"/>
    <w:rsid w:val="002528C8"/>
    <w:rsid w:val="002528E6"/>
    <w:rsid w:val="00252CB9"/>
    <w:rsid w:val="00254CB6"/>
    <w:rsid w:val="002554B2"/>
    <w:rsid w:val="00255863"/>
    <w:rsid w:val="002559A2"/>
    <w:rsid w:val="0025738A"/>
    <w:rsid w:val="00257871"/>
    <w:rsid w:val="00257C94"/>
    <w:rsid w:val="00260A13"/>
    <w:rsid w:val="00261526"/>
    <w:rsid w:val="00261A09"/>
    <w:rsid w:val="00262361"/>
    <w:rsid w:val="00262F2A"/>
    <w:rsid w:val="00264C62"/>
    <w:rsid w:val="00264C8B"/>
    <w:rsid w:val="00265004"/>
    <w:rsid w:val="00265526"/>
    <w:rsid w:val="002659CF"/>
    <w:rsid w:val="00265E2C"/>
    <w:rsid w:val="00270402"/>
    <w:rsid w:val="0027175D"/>
    <w:rsid w:val="00273A64"/>
    <w:rsid w:val="002758DC"/>
    <w:rsid w:val="00276182"/>
    <w:rsid w:val="0027670F"/>
    <w:rsid w:val="002769F0"/>
    <w:rsid w:val="002802D1"/>
    <w:rsid w:val="002808E1"/>
    <w:rsid w:val="00280BAB"/>
    <w:rsid w:val="00280D7F"/>
    <w:rsid w:val="00281AD7"/>
    <w:rsid w:val="00281C72"/>
    <w:rsid w:val="00283A0C"/>
    <w:rsid w:val="002840A8"/>
    <w:rsid w:val="00284394"/>
    <w:rsid w:val="002844CC"/>
    <w:rsid w:val="00286050"/>
    <w:rsid w:val="00286EAB"/>
    <w:rsid w:val="00287495"/>
    <w:rsid w:val="002900A4"/>
    <w:rsid w:val="002900D9"/>
    <w:rsid w:val="0029141B"/>
    <w:rsid w:val="00291482"/>
    <w:rsid w:val="0029154F"/>
    <w:rsid w:val="00291A1C"/>
    <w:rsid w:val="00291DC4"/>
    <w:rsid w:val="00292297"/>
    <w:rsid w:val="0029278E"/>
    <w:rsid w:val="002928AC"/>
    <w:rsid w:val="00292DF4"/>
    <w:rsid w:val="0029369A"/>
    <w:rsid w:val="00295E6E"/>
    <w:rsid w:val="00296591"/>
    <w:rsid w:val="00297020"/>
    <w:rsid w:val="002A0A84"/>
    <w:rsid w:val="002A0B87"/>
    <w:rsid w:val="002A0D7C"/>
    <w:rsid w:val="002A0FA6"/>
    <w:rsid w:val="002A14DD"/>
    <w:rsid w:val="002A1B0E"/>
    <w:rsid w:val="002A299B"/>
    <w:rsid w:val="002A2C54"/>
    <w:rsid w:val="002A45A1"/>
    <w:rsid w:val="002A486E"/>
    <w:rsid w:val="002A49EA"/>
    <w:rsid w:val="002A4DF6"/>
    <w:rsid w:val="002A6B28"/>
    <w:rsid w:val="002A7374"/>
    <w:rsid w:val="002B1052"/>
    <w:rsid w:val="002B1D43"/>
    <w:rsid w:val="002B2323"/>
    <w:rsid w:val="002B2376"/>
    <w:rsid w:val="002B448D"/>
    <w:rsid w:val="002B4F0B"/>
    <w:rsid w:val="002B50B9"/>
    <w:rsid w:val="002B5279"/>
    <w:rsid w:val="002B5DB1"/>
    <w:rsid w:val="002B6812"/>
    <w:rsid w:val="002B72E7"/>
    <w:rsid w:val="002B7BA9"/>
    <w:rsid w:val="002B7FAF"/>
    <w:rsid w:val="002C196F"/>
    <w:rsid w:val="002C25D9"/>
    <w:rsid w:val="002C3AB6"/>
    <w:rsid w:val="002C3C81"/>
    <w:rsid w:val="002C48D8"/>
    <w:rsid w:val="002C4D39"/>
    <w:rsid w:val="002C5576"/>
    <w:rsid w:val="002C56C3"/>
    <w:rsid w:val="002C5BE5"/>
    <w:rsid w:val="002C5DBF"/>
    <w:rsid w:val="002C5EFF"/>
    <w:rsid w:val="002C688C"/>
    <w:rsid w:val="002D0245"/>
    <w:rsid w:val="002D2F6B"/>
    <w:rsid w:val="002D3102"/>
    <w:rsid w:val="002D3DBE"/>
    <w:rsid w:val="002D4092"/>
    <w:rsid w:val="002D44EB"/>
    <w:rsid w:val="002D4503"/>
    <w:rsid w:val="002E0C71"/>
    <w:rsid w:val="002E1CE6"/>
    <w:rsid w:val="002E1D58"/>
    <w:rsid w:val="002E3131"/>
    <w:rsid w:val="002E619B"/>
    <w:rsid w:val="002E69EF"/>
    <w:rsid w:val="002E781A"/>
    <w:rsid w:val="002F1131"/>
    <w:rsid w:val="002F25FF"/>
    <w:rsid w:val="002F39D7"/>
    <w:rsid w:val="002F47A4"/>
    <w:rsid w:val="002F4ACF"/>
    <w:rsid w:val="002F4BA2"/>
    <w:rsid w:val="002F528B"/>
    <w:rsid w:val="002F5683"/>
    <w:rsid w:val="002F641F"/>
    <w:rsid w:val="002F7C4C"/>
    <w:rsid w:val="00300923"/>
    <w:rsid w:val="0030292A"/>
    <w:rsid w:val="00303B41"/>
    <w:rsid w:val="00304C6C"/>
    <w:rsid w:val="00305E80"/>
    <w:rsid w:val="0031023B"/>
    <w:rsid w:val="00310B89"/>
    <w:rsid w:val="0031151C"/>
    <w:rsid w:val="00311CEE"/>
    <w:rsid w:val="00312633"/>
    <w:rsid w:val="00315297"/>
    <w:rsid w:val="00315547"/>
    <w:rsid w:val="00315784"/>
    <w:rsid w:val="00315EF6"/>
    <w:rsid w:val="00316247"/>
    <w:rsid w:val="00317A89"/>
    <w:rsid w:val="00317B00"/>
    <w:rsid w:val="00317CFF"/>
    <w:rsid w:val="00320236"/>
    <w:rsid w:val="003208D2"/>
    <w:rsid w:val="003221EC"/>
    <w:rsid w:val="00323390"/>
    <w:rsid w:val="00323D9F"/>
    <w:rsid w:val="00324028"/>
    <w:rsid w:val="00326999"/>
    <w:rsid w:val="0032736D"/>
    <w:rsid w:val="00327E26"/>
    <w:rsid w:val="0033052A"/>
    <w:rsid w:val="003321EE"/>
    <w:rsid w:val="0033236F"/>
    <w:rsid w:val="003325DA"/>
    <w:rsid w:val="00333293"/>
    <w:rsid w:val="00334F0D"/>
    <w:rsid w:val="0033601A"/>
    <w:rsid w:val="00336AEE"/>
    <w:rsid w:val="0033790D"/>
    <w:rsid w:val="003422F8"/>
    <w:rsid w:val="00342A8B"/>
    <w:rsid w:val="003435E4"/>
    <w:rsid w:val="003438C5"/>
    <w:rsid w:val="003447B4"/>
    <w:rsid w:val="0034526F"/>
    <w:rsid w:val="0034598A"/>
    <w:rsid w:val="00345DBB"/>
    <w:rsid w:val="00346820"/>
    <w:rsid w:val="003471D2"/>
    <w:rsid w:val="00347F88"/>
    <w:rsid w:val="0035070D"/>
    <w:rsid w:val="00350974"/>
    <w:rsid w:val="00351B1B"/>
    <w:rsid w:val="00351D2B"/>
    <w:rsid w:val="00351DA0"/>
    <w:rsid w:val="00352053"/>
    <w:rsid w:val="00352186"/>
    <w:rsid w:val="003524E4"/>
    <w:rsid w:val="003528D8"/>
    <w:rsid w:val="003532BC"/>
    <w:rsid w:val="00353338"/>
    <w:rsid w:val="00353A0E"/>
    <w:rsid w:val="003548B6"/>
    <w:rsid w:val="0035603F"/>
    <w:rsid w:val="0035613B"/>
    <w:rsid w:val="00356300"/>
    <w:rsid w:val="00357ABF"/>
    <w:rsid w:val="0036254C"/>
    <w:rsid w:val="00363397"/>
    <w:rsid w:val="00363846"/>
    <w:rsid w:val="003642B2"/>
    <w:rsid w:val="003642BD"/>
    <w:rsid w:val="00364647"/>
    <w:rsid w:val="0036601C"/>
    <w:rsid w:val="00366434"/>
    <w:rsid w:val="0036699A"/>
    <w:rsid w:val="003675B5"/>
    <w:rsid w:val="0037009B"/>
    <w:rsid w:val="00370B39"/>
    <w:rsid w:val="00371F45"/>
    <w:rsid w:val="00372375"/>
    <w:rsid w:val="003750B8"/>
    <w:rsid w:val="00375664"/>
    <w:rsid w:val="00380359"/>
    <w:rsid w:val="00380D08"/>
    <w:rsid w:val="003829ED"/>
    <w:rsid w:val="00384EED"/>
    <w:rsid w:val="003859EA"/>
    <w:rsid w:val="0038622A"/>
    <w:rsid w:val="00386F3C"/>
    <w:rsid w:val="00387816"/>
    <w:rsid w:val="003904A6"/>
    <w:rsid w:val="00391200"/>
    <w:rsid w:val="00392078"/>
    <w:rsid w:val="003925E6"/>
    <w:rsid w:val="00392BEB"/>
    <w:rsid w:val="0039300D"/>
    <w:rsid w:val="0039309D"/>
    <w:rsid w:val="00394AA7"/>
    <w:rsid w:val="00394D89"/>
    <w:rsid w:val="00394E29"/>
    <w:rsid w:val="0039549D"/>
    <w:rsid w:val="00395D17"/>
    <w:rsid w:val="00396BF4"/>
    <w:rsid w:val="003A01E7"/>
    <w:rsid w:val="003A0FBE"/>
    <w:rsid w:val="003A1828"/>
    <w:rsid w:val="003A2336"/>
    <w:rsid w:val="003A2D3A"/>
    <w:rsid w:val="003A2FB8"/>
    <w:rsid w:val="003A3294"/>
    <w:rsid w:val="003A3B5C"/>
    <w:rsid w:val="003A3E89"/>
    <w:rsid w:val="003A5015"/>
    <w:rsid w:val="003A5ADF"/>
    <w:rsid w:val="003A73FC"/>
    <w:rsid w:val="003B014D"/>
    <w:rsid w:val="003B05DB"/>
    <w:rsid w:val="003B119C"/>
    <w:rsid w:val="003B1BD2"/>
    <w:rsid w:val="003B1DBE"/>
    <w:rsid w:val="003B23CE"/>
    <w:rsid w:val="003B2E01"/>
    <w:rsid w:val="003B3545"/>
    <w:rsid w:val="003B548C"/>
    <w:rsid w:val="003B551D"/>
    <w:rsid w:val="003B5F20"/>
    <w:rsid w:val="003B63F7"/>
    <w:rsid w:val="003B729E"/>
    <w:rsid w:val="003B76A8"/>
    <w:rsid w:val="003C03A4"/>
    <w:rsid w:val="003C0518"/>
    <w:rsid w:val="003C0808"/>
    <w:rsid w:val="003C14B4"/>
    <w:rsid w:val="003C15C8"/>
    <w:rsid w:val="003C1D35"/>
    <w:rsid w:val="003C28D7"/>
    <w:rsid w:val="003C2AD1"/>
    <w:rsid w:val="003C3C4E"/>
    <w:rsid w:val="003C459B"/>
    <w:rsid w:val="003C5F8E"/>
    <w:rsid w:val="003C6B63"/>
    <w:rsid w:val="003C6D90"/>
    <w:rsid w:val="003C790F"/>
    <w:rsid w:val="003C7F8A"/>
    <w:rsid w:val="003D0905"/>
    <w:rsid w:val="003D1599"/>
    <w:rsid w:val="003D15CA"/>
    <w:rsid w:val="003D2454"/>
    <w:rsid w:val="003D2D4A"/>
    <w:rsid w:val="003D2E39"/>
    <w:rsid w:val="003D394C"/>
    <w:rsid w:val="003D3DC9"/>
    <w:rsid w:val="003D45FF"/>
    <w:rsid w:val="003D4767"/>
    <w:rsid w:val="003D4C40"/>
    <w:rsid w:val="003D4D23"/>
    <w:rsid w:val="003D789F"/>
    <w:rsid w:val="003D7F5D"/>
    <w:rsid w:val="003E071B"/>
    <w:rsid w:val="003E1DC7"/>
    <w:rsid w:val="003E3355"/>
    <w:rsid w:val="003E352C"/>
    <w:rsid w:val="003E4C80"/>
    <w:rsid w:val="003E4CEA"/>
    <w:rsid w:val="003E5F25"/>
    <w:rsid w:val="003E62C0"/>
    <w:rsid w:val="003E642C"/>
    <w:rsid w:val="003E6E48"/>
    <w:rsid w:val="003E74D3"/>
    <w:rsid w:val="003E771B"/>
    <w:rsid w:val="003F00EA"/>
    <w:rsid w:val="003F0536"/>
    <w:rsid w:val="003F120D"/>
    <w:rsid w:val="003F4506"/>
    <w:rsid w:val="003F49B9"/>
    <w:rsid w:val="003F606B"/>
    <w:rsid w:val="003F6441"/>
    <w:rsid w:val="00400F70"/>
    <w:rsid w:val="004022B9"/>
    <w:rsid w:val="00402460"/>
    <w:rsid w:val="00402F21"/>
    <w:rsid w:val="004045A2"/>
    <w:rsid w:val="004066D8"/>
    <w:rsid w:val="00406A5B"/>
    <w:rsid w:val="00406B32"/>
    <w:rsid w:val="004070D1"/>
    <w:rsid w:val="00407F30"/>
    <w:rsid w:val="0041050A"/>
    <w:rsid w:val="004112E9"/>
    <w:rsid w:val="00412608"/>
    <w:rsid w:val="0041388B"/>
    <w:rsid w:val="00415CCB"/>
    <w:rsid w:val="00416B26"/>
    <w:rsid w:val="00416CB1"/>
    <w:rsid w:val="004170C9"/>
    <w:rsid w:val="00417124"/>
    <w:rsid w:val="0042031B"/>
    <w:rsid w:val="00420BBF"/>
    <w:rsid w:val="004214B6"/>
    <w:rsid w:val="00421923"/>
    <w:rsid w:val="00423A63"/>
    <w:rsid w:val="00423D43"/>
    <w:rsid w:val="004272A4"/>
    <w:rsid w:val="00430FD3"/>
    <w:rsid w:val="00433FB3"/>
    <w:rsid w:val="004349D9"/>
    <w:rsid w:val="00434EE0"/>
    <w:rsid w:val="004352B6"/>
    <w:rsid w:val="00436004"/>
    <w:rsid w:val="00436282"/>
    <w:rsid w:val="004367F9"/>
    <w:rsid w:val="00436903"/>
    <w:rsid w:val="00436F72"/>
    <w:rsid w:val="0043715C"/>
    <w:rsid w:val="00437394"/>
    <w:rsid w:val="004375F5"/>
    <w:rsid w:val="00442997"/>
    <w:rsid w:val="00443628"/>
    <w:rsid w:val="00445B2B"/>
    <w:rsid w:val="00445DCD"/>
    <w:rsid w:val="004461DB"/>
    <w:rsid w:val="00447343"/>
    <w:rsid w:val="00450577"/>
    <w:rsid w:val="00451090"/>
    <w:rsid w:val="00451766"/>
    <w:rsid w:val="00451DB1"/>
    <w:rsid w:val="004528A0"/>
    <w:rsid w:val="00452AF6"/>
    <w:rsid w:val="004532A5"/>
    <w:rsid w:val="00453468"/>
    <w:rsid w:val="0045477A"/>
    <w:rsid w:val="0045515A"/>
    <w:rsid w:val="00455BE1"/>
    <w:rsid w:val="00455C70"/>
    <w:rsid w:val="00456ED1"/>
    <w:rsid w:val="0045740B"/>
    <w:rsid w:val="00457AD5"/>
    <w:rsid w:val="00460A97"/>
    <w:rsid w:val="0046154E"/>
    <w:rsid w:val="00462961"/>
    <w:rsid w:val="0046373A"/>
    <w:rsid w:val="004662CE"/>
    <w:rsid w:val="00467CC5"/>
    <w:rsid w:val="0047167B"/>
    <w:rsid w:val="00471CF2"/>
    <w:rsid w:val="0047241F"/>
    <w:rsid w:val="004727E2"/>
    <w:rsid w:val="00472CA4"/>
    <w:rsid w:val="0047359E"/>
    <w:rsid w:val="00474B0C"/>
    <w:rsid w:val="004804AF"/>
    <w:rsid w:val="00481059"/>
    <w:rsid w:val="004823B8"/>
    <w:rsid w:val="00483ED2"/>
    <w:rsid w:val="00484777"/>
    <w:rsid w:val="00485D64"/>
    <w:rsid w:val="00490D13"/>
    <w:rsid w:val="0049157D"/>
    <w:rsid w:val="00491B0C"/>
    <w:rsid w:val="004921B1"/>
    <w:rsid w:val="00492AE6"/>
    <w:rsid w:val="00493B94"/>
    <w:rsid w:val="004949B0"/>
    <w:rsid w:val="004A0B27"/>
    <w:rsid w:val="004A0BD2"/>
    <w:rsid w:val="004A25E8"/>
    <w:rsid w:val="004A28CB"/>
    <w:rsid w:val="004A2B1C"/>
    <w:rsid w:val="004A327F"/>
    <w:rsid w:val="004A364C"/>
    <w:rsid w:val="004A39D1"/>
    <w:rsid w:val="004A3F77"/>
    <w:rsid w:val="004A41EA"/>
    <w:rsid w:val="004A44DD"/>
    <w:rsid w:val="004A55B0"/>
    <w:rsid w:val="004A59CE"/>
    <w:rsid w:val="004A5C48"/>
    <w:rsid w:val="004A65F6"/>
    <w:rsid w:val="004A6C2C"/>
    <w:rsid w:val="004A7049"/>
    <w:rsid w:val="004A7BFC"/>
    <w:rsid w:val="004B2DE9"/>
    <w:rsid w:val="004B3B9F"/>
    <w:rsid w:val="004B4F8E"/>
    <w:rsid w:val="004B5285"/>
    <w:rsid w:val="004B6187"/>
    <w:rsid w:val="004C0D4A"/>
    <w:rsid w:val="004C1547"/>
    <w:rsid w:val="004C21EF"/>
    <w:rsid w:val="004C27C8"/>
    <w:rsid w:val="004C34F1"/>
    <w:rsid w:val="004C4111"/>
    <w:rsid w:val="004C4422"/>
    <w:rsid w:val="004C552D"/>
    <w:rsid w:val="004C6D97"/>
    <w:rsid w:val="004C7628"/>
    <w:rsid w:val="004C77A2"/>
    <w:rsid w:val="004D00CC"/>
    <w:rsid w:val="004D03E8"/>
    <w:rsid w:val="004D0EDC"/>
    <w:rsid w:val="004D160F"/>
    <w:rsid w:val="004D22DC"/>
    <w:rsid w:val="004D2800"/>
    <w:rsid w:val="004D2ABA"/>
    <w:rsid w:val="004D3BD1"/>
    <w:rsid w:val="004D432D"/>
    <w:rsid w:val="004D4821"/>
    <w:rsid w:val="004D6A00"/>
    <w:rsid w:val="004E1F16"/>
    <w:rsid w:val="004E2223"/>
    <w:rsid w:val="004E3143"/>
    <w:rsid w:val="004E4B37"/>
    <w:rsid w:val="004E6F2C"/>
    <w:rsid w:val="004E7519"/>
    <w:rsid w:val="004E7769"/>
    <w:rsid w:val="004E7F80"/>
    <w:rsid w:val="004F04EE"/>
    <w:rsid w:val="004F2DB3"/>
    <w:rsid w:val="004F344C"/>
    <w:rsid w:val="004F4FFC"/>
    <w:rsid w:val="004F6596"/>
    <w:rsid w:val="005004D8"/>
    <w:rsid w:val="0050079A"/>
    <w:rsid w:val="00500C8C"/>
    <w:rsid w:val="00501223"/>
    <w:rsid w:val="0050327E"/>
    <w:rsid w:val="005040C7"/>
    <w:rsid w:val="005046AC"/>
    <w:rsid w:val="00504941"/>
    <w:rsid w:val="00504DA4"/>
    <w:rsid w:val="005051AE"/>
    <w:rsid w:val="005054B6"/>
    <w:rsid w:val="005055CC"/>
    <w:rsid w:val="0050663F"/>
    <w:rsid w:val="00507A99"/>
    <w:rsid w:val="005104B4"/>
    <w:rsid w:val="00510C9B"/>
    <w:rsid w:val="005118C8"/>
    <w:rsid w:val="005121D2"/>
    <w:rsid w:val="0051327F"/>
    <w:rsid w:val="00514053"/>
    <w:rsid w:val="005156B2"/>
    <w:rsid w:val="00516609"/>
    <w:rsid w:val="0051683D"/>
    <w:rsid w:val="005171E0"/>
    <w:rsid w:val="00517309"/>
    <w:rsid w:val="00520BF6"/>
    <w:rsid w:val="00521156"/>
    <w:rsid w:val="005219D9"/>
    <w:rsid w:val="0052211E"/>
    <w:rsid w:val="0052216A"/>
    <w:rsid w:val="0052265D"/>
    <w:rsid w:val="005228DE"/>
    <w:rsid w:val="005236F9"/>
    <w:rsid w:val="00523CB9"/>
    <w:rsid w:val="00524120"/>
    <w:rsid w:val="0052423C"/>
    <w:rsid w:val="00524D0A"/>
    <w:rsid w:val="005251A7"/>
    <w:rsid w:val="00525804"/>
    <w:rsid w:val="005308EF"/>
    <w:rsid w:val="00530DFD"/>
    <w:rsid w:val="00530EFF"/>
    <w:rsid w:val="00530F51"/>
    <w:rsid w:val="00531181"/>
    <w:rsid w:val="005313FC"/>
    <w:rsid w:val="00531EE0"/>
    <w:rsid w:val="005324D4"/>
    <w:rsid w:val="00532BCC"/>
    <w:rsid w:val="00534B48"/>
    <w:rsid w:val="0054019C"/>
    <w:rsid w:val="0054092A"/>
    <w:rsid w:val="00540F40"/>
    <w:rsid w:val="00541B77"/>
    <w:rsid w:val="00542D68"/>
    <w:rsid w:val="00542FE6"/>
    <w:rsid w:val="0054396D"/>
    <w:rsid w:val="00543AC0"/>
    <w:rsid w:val="00544939"/>
    <w:rsid w:val="0054572B"/>
    <w:rsid w:val="00546279"/>
    <w:rsid w:val="005462BB"/>
    <w:rsid w:val="005468A4"/>
    <w:rsid w:val="00546AF2"/>
    <w:rsid w:val="00547CAC"/>
    <w:rsid w:val="00551504"/>
    <w:rsid w:val="00551C64"/>
    <w:rsid w:val="005522AF"/>
    <w:rsid w:val="00552D00"/>
    <w:rsid w:val="00552DCA"/>
    <w:rsid w:val="005531FE"/>
    <w:rsid w:val="005536E4"/>
    <w:rsid w:val="005538B7"/>
    <w:rsid w:val="00554D78"/>
    <w:rsid w:val="00556E79"/>
    <w:rsid w:val="00556EA7"/>
    <w:rsid w:val="005577FA"/>
    <w:rsid w:val="00560E26"/>
    <w:rsid w:val="00561143"/>
    <w:rsid w:val="00561DCB"/>
    <w:rsid w:val="00561FD0"/>
    <w:rsid w:val="005622BB"/>
    <w:rsid w:val="00562C2D"/>
    <w:rsid w:val="005630FD"/>
    <w:rsid w:val="00563875"/>
    <w:rsid w:val="00563F74"/>
    <w:rsid w:val="005646F7"/>
    <w:rsid w:val="00564CAA"/>
    <w:rsid w:val="0056578C"/>
    <w:rsid w:val="00565BDE"/>
    <w:rsid w:val="00566FF0"/>
    <w:rsid w:val="0056708C"/>
    <w:rsid w:val="00572373"/>
    <w:rsid w:val="005743B7"/>
    <w:rsid w:val="00574D97"/>
    <w:rsid w:val="005751CF"/>
    <w:rsid w:val="005755C0"/>
    <w:rsid w:val="00575A55"/>
    <w:rsid w:val="0057754E"/>
    <w:rsid w:val="00577581"/>
    <w:rsid w:val="005817E7"/>
    <w:rsid w:val="005833B7"/>
    <w:rsid w:val="00583663"/>
    <w:rsid w:val="00583726"/>
    <w:rsid w:val="00583C94"/>
    <w:rsid w:val="0058438D"/>
    <w:rsid w:val="00584EAA"/>
    <w:rsid w:val="005862C5"/>
    <w:rsid w:val="0058634D"/>
    <w:rsid w:val="005875F3"/>
    <w:rsid w:val="00587729"/>
    <w:rsid w:val="005878CB"/>
    <w:rsid w:val="0059127E"/>
    <w:rsid w:val="00591A75"/>
    <w:rsid w:val="00591D09"/>
    <w:rsid w:val="00592E9C"/>
    <w:rsid w:val="00594914"/>
    <w:rsid w:val="0059513D"/>
    <w:rsid w:val="005956B1"/>
    <w:rsid w:val="005A0106"/>
    <w:rsid w:val="005A1817"/>
    <w:rsid w:val="005A1942"/>
    <w:rsid w:val="005A3BF3"/>
    <w:rsid w:val="005A3E5C"/>
    <w:rsid w:val="005A4925"/>
    <w:rsid w:val="005A4BFF"/>
    <w:rsid w:val="005A4EA1"/>
    <w:rsid w:val="005A5790"/>
    <w:rsid w:val="005A5D02"/>
    <w:rsid w:val="005A672A"/>
    <w:rsid w:val="005A6D3A"/>
    <w:rsid w:val="005A7C86"/>
    <w:rsid w:val="005B0081"/>
    <w:rsid w:val="005B1D89"/>
    <w:rsid w:val="005B2A2F"/>
    <w:rsid w:val="005B336B"/>
    <w:rsid w:val="005B3A62"/>
    <w:rsid w:val="005B4904"/>
    <w:rsid w:val="005B4D50"/>
    <w:rsid w:val="005B5885"/>
    <w:rsid w:val="005B5BE1"/>
    <w:rsid w:val="005B5D3F"/>
    <w:rsid w:val="005B5DB5"/>
    <w:rsid w:val="005B68FF"/>
    <w:rsid w:val="005B692A"/>
    <w:rsid w:val="005C01C6"/>
    <w:rsid w:val="005C02F1"/>
    <w:rsid w:val="005C0CEE"/>
    <w:rsid w:val="005C1300"/>
    <w:rsid w:val="005C1B9A"/>
    <w:rsid w:val="005C29BD"/>
    <w:rsid w:val="005C2E5F"/>
    <w:rsid w:val="005C4C47"/>
    <w:rsid w:val="005C6868"/>
    <w:rsid w:val="005C7574"/>
    <w:rsid w:val="005D19FF"/>
    <w:rsid w:val="005D1D6C"/>
    <w:rsid w:val="005D24AC"/>
    <w:rsid w:val="005D2DAC"/>
    <w:rsid w:val="005D3BB0"/>
    <w:rsid w:val="005D3F19"/>
    <w:rsid w:val="005D4D2C"/>
    <w:rsid w:val="005D5096"/>
    <w:rsid w:val="005D50D8"/>
    <w:rsid w:val="005D67B9"/>
    <w:rsid w:val="005D77C1"/>
    <w:rsid w:val="005D78E0"/>
    <w:rsid w:val="005E1A70"/>
    <w:rsid w:val="005E1AD0"/>
    <w:rsid w:val="005E311D"/>
    <w:rsid w:val="005E410C"/>
    <w:rsid w:val="005E463C"/>
    <w:rsid w:val="005E4EBE"/>
    <w:rsid w:val="005E52A6"/>
    <w:rsid w:val="005E6335"/>
    <w:rsid w:val="005E72C6"/>
    <w:rsid w:val="005E7935"/>
    <w:rsid w:val="005F0344"/>
    <w:rsid w:val="005F0DB9"/>
    <w:rsid w:val="005F0EAF"/>
    <w:rsid w:val="005F1CDC"/>
    <w:rsid w:val="005F2099"/>
    <w:rsid w:val="005F36A5"/>
    <w:rsid w:val="005F3762"/>
    <w:rsid w:val="005F5AAC"/>
    <w:rsid w:val="005F6243"/>
    <w:rsid w:val="005F6BA0"/>
    <w:rsid w:val="005F6CCB"/>
    <w:rsid w:val="005F6DD0"/>
    <w:rsid w:val="005F708A"/>
    <w:rsid w:val="005F7190"/>
    <w:rsid w:val="006000B3"/>
    <w:rsid w:val="00600DF6"/>
    <w:rsid w:val="006023B4"/>
    <w:rsid w:val="00604010"/>
    <w:rsid w:val="00605199"/>
    <w:rsid w:val="00607EC7"/>
    <w:rsid w:val="00610AAA"/>
    <w:rsid w:val="00610DF5"/>
    <w:rsid w:val="00611905"/>
    <w:rsid w:val="006147FE"/>
    <w:rsid w:val="006153F6"/>
    <w:rsid w:val="006161EB"/>
    <w:rsid w:val="00616BF1"/>
    <w:rsid w:val="006222DD"/>
    <w:rsid w:val="00622B9B"/>
    <w:rsid w:val="00622EA1"/>
    <w:rsid w:val="006235EB"/>
    <w:rsid w:val="006238C8"/>
    <w:rsid w:val="00624B26"/>
    <w:rsid w:val="00625D9F"/>
    <w:rsid w:val="00626224"/>
    <w:rsid w:val="006265FF"/>
    <w:rsid w:val="00626967"/>
    <w:rsid w:val="006304AD"/>
    <w:rsid w:val="006307CD"/>
    <w:rsid w:val="00633271"/>
    <w:rsid w:val="00633FDC"/>
    <w:rsid w:val="006359C2"/>
    <w:rsid w:val="00636640"/>
    <w:rsid w:val="00640346"/>
    <w:rsid w:val="006410E8"/>
    <w:rsid w:val="00641876"/>
    <w:rsid w:val="00642304"/>
    <w:rsid w:val="00644979"/>
    <w:rsid w:val="0064576F"/>
    <w:rsid w:val="00645A90"/>
    <w:rsid w:val="00646131"/>
    <w:rsid w:val="006465C5"/>
    <w:rsid w:val="00646A09"/>
    <w:rsid w:val="00646FCB"/>
    <w:rsid w:val="00647995"/>
    <w:rsid w:val="006479BF"/>
    <w:rsid w:val="00647FAD"/>
    <w:rsid w:val="00650C7F"/>
    <w:rsid w:val="00651981"/>
    <w:rsid w:val="00654BA4"/>
    <w:rsid w:val="0065545A"/>
    <w:rsid w:val="00656330"/>
    <w:rsid w:val="00656A0B"/>
    <w:rsid w:val="00657606"/>
    <w:rsid w:val="0066018B"/>
    <w:rsid w:val="0066033A"/>
    <w:rsid w:val="006617C7"/>
    <w:rsid w:val="0066223D"/>
    <w:rsid w:val="00662B19"/>
    <w:rsid w:val="00662DFF"/>
    <w:rsid w:val="00663532"/>
    <w:rsid w:val="0066399F"/>
    <w:rsid w:val="00663BED"/>
    <w:rsid w:val="006642C6"/>
    <w:rsid w:val="00664377"/>
    <w:rsid w:val="00665A63"/>
    <w:rsid w:val="0066743E"/>
    <w:rsid w:val="00667595"/>
    <w:rsid w:val="0067164D"/>
    <w:rsid w:val="006720EE"/>
    <w:rsid w:val="00672255"/>
    <w:rsid w:val="00672DCE"/>
    <w:rsid w:val="00674C04"/>
    <w:rsid w:val="00675CF9"/>
    <w:rsid w:val="00677A34"/>
    <w:rsid w:val="0068049D"/>
    <w:rsid w:val="00680B3B"/>
    <w:rsid w:val="00680BF9"/>
    <w:rsid w:val="0068242C"/>
    <w:rsid w:val="0068319E"/>
    <w:rsid w:val="0068403C"/>
    <w:rsid w:val="006852E1"/>
    <w:rsid w:val="006864D9"/>
    <w:rsid w:val="00686F7B"/>
    <w:rsid w:val="00687863"/>
    <w:rsid w:val="00690916"/>
    <w:rsid w:val="00690FB7"/>
    <w:rsid w:val="00691561"/>
    <w:rsid w:val="00691CAC"/>
    <w:rsid w:val="00693E7F"/>
    <w:rsid w:val="0069542B"/>
    <w:rsid w:val="006A236A"/>
    <w:rsid w:val="006A4B0D"/>
    <w:rsid w:val="006A4B8A"/>
    <w:rsid w:val="006A4F2C"/>
    <w:rsid w:val="006A5C00"/>
    <w:rsid w:val="006A62E3"/>
    <w:rsid w:val="006A691A"/>
    <w:rsid w:val="006B008D"/>
    <w:rsid w:val="006B0864"/>
    <w:rsid w:val="006B2E47"/>
    <w:rsid w:val="006B37EF"/>
    <w:rsid w:val="006B5F5C"/>
    <w:rsid w:val="006B7412"/>
    <w:rsid w:val="006B7C8C"/>
    <w:rsid w:val="006C0AE3"/>
    <w:rsid w:val="006C1AE2"/>
    <w:rsid w:val="006C2617"/>
    <w:rsid w:val="006C2880"/>
    <w:rsid w:val="006C4D2F"/>
    <w:rsid w:val="006C5355"/>
    <w:rsid w:val="006C72F2"/>
    <w:rsid w:val="006C76A5"/>
    <w:rsid w:val="006D0E16"/>
    <w:rsid w:val="006D1967"/>
    <w:rsid w:val="006D1EEC"/>
    <w:rsid w:val="006D3646"/>
    <w:rsid w:val="006D3986"/>
    <w:rsid w:val="006D3DE0"/>
    <w:rsid w:val="006D4956"/>
    <w:rsid w:val="006D4D71"/>
    <w:rsid w:val="006D50E9"/>
    <w:rsid w:val="006D6C2C"/>
    <w:rsid w:val="006D705E"/>
    <w:rsid w:val="006E0BE1"/>
    <w:rsid w:val="006E0FBC"/>
    <w:rsid w:val="006E1256"/>
    <w:rsid w:val="006E2AA8"/>
    <w:rsid w:val="006E2CB1"/>
    <w:rsid w:val="006E3717"/>
    <w:rsid w:val="006E505B"/>
    <w:rsid w:val="006E54C3"/>
    <w:rsid w:val="006E770D"/>
    <w:rsid w:val="006E7815"/>
    <w:rsid w:val="006F2981"/>
    <w:rsid w:val="006F2B9B"/>
    <w:rsid w:val="006F2D37"/>
    <w:rsid w:val="006F419C"/>
    <w:rsid w:val="006F6927"/>
    <w:rsid w:val="007000E8"/>
    <w:rsid w:val="007001F8"/>
    <w:rsid w:val="00700241"/>
    <w:rsid w:val="007005CD"/>
    <w:rsid w:val="007006A5"/>
    <w:rsid w:val="007006B5"/>
    <w:rsid w:val="00700CDE"/>
    <w:rsid w:val="0070124E"/>
    <w:rsid w:val="00701BD1"/>
    <w:rsid w:val="00702BEF"/>
    <w:rsid w:val="00704407"/>
    <w:rsid w:val="007058CB"/>
    <w:rsid w:val="00705A33"/>
    <w:rsid w:val="007062DF"/>
    <w:rsid w:val="00706517"/>
    <w:rsid w:val="00710A8A"/>
    <w:rsid w:val="00710D02"/>
    <w:rsid w:val="0071206F"/>
    <w:rsid w:val="00712330"/>
    <w:rsid w:val="007140F9"/>
    <w:rsid w:val="007152E4"/>
    <w:rsid w:val="00715C0F"/>
    <w:rsid w:val="00715DAF"/>
    <w:rsid w:val="00716E73"/>
    <w:rsid w:val="00720ED7"/>
    <w:rsid w:val="007224B7"/>
    <w:rsid w:val="007235A2"/>
    <w:rsid w:val="007235DC"/>
    <w:rsid w:val="00723B46"/>
    <w:rsid w:val="00723E46"/>
    <w:rsid w:val="0072604F"/>
    <w:rsid w:val="00726550"/>
    <w:rsid w:val="007275FB"/>
    <w:rsid w:val="0072774E"/>
    <w:rsid w:val="00727D6A"/>
    <w:rsid w:val="00727E87"/>
    <w:rsid w:val="00730682"/>
    <w:rsid w:val="00730FE4"/>
    <w:rsid w:val="00731119"/>
    <w:rsid w:val="0073137D"/>
    <w:rsid w:val="007319EC"/>
    <w:rsid w:val="00731EAF"/>
    <w:rsid w:val="00732ACC"/>
    <w:rsid w:val="00734196"/>
    <w:rsid w:val="00735FE1"/>
    <w:rsid w:val="00736502"/>
    <w:rsid w:val="0073688E"/>
    <w:rsid w:val="00736BBA"/>
    <w:rsid w:val="00736D91"/>
    <w:rsid w:val="0073717E"/>
    <w:rsid w:val="007377A9"/>
    <w:rsid w:val="00741D1C"/>
    <w:rsid w:val="00741EBC"/>
    <w:rsid w:val="00742A7A"/>
    <w:rsid w:val="007433E1"/>
    <w:rsid w:val="00745D13"/>
    <w:rsid w:val="007460A0"/>
    <w:rsid w:val="00746229"/>
    <w:rsid w:val="00746A98"/>
    <w:rsid w:val="0074749D"/>
    <w:rsid w:val="00747A0D"/>
    <w:rsid w:val="00747E04"/>
    <w:rsid w:val="0075045A"/>
    <w:rsid w:val="00751284"/>
    <w:rsid w:val="0075130A"/>
    <w:rsid w:val="0075180B"/>
    <w:rsid w:val="0075227F"/>
    <w:rsid w:val="00752AB5"/>
    <w:rsid w:val="00753290"/>
    <w:rsid w:val="00753427"/>
    <w:rsid w:val="007536D5"/>
    <w:rsid w:val="00753C59"/>
    <w:rsid w:val="0075466D"/>
    <w:rsid w:val="00754A8C"/>
    <w:rsid w:val="00754B87"/>
    <w:rsid w:val="007552BC"/>
    <w:rsid w:val="007564B3"/>
    <w:rsid w:val="00756A4E"/>
    <w:rsid w:val="00756E47"/>
    <w:rsid w:val="00756ECC"/>
    <w:rsid w:val="0075783E"/>
    <w:rsid w:val="00757E6C"/>
    <w:rsid w:val="00760A5A"/>
    <w:rsid w:val="00761FA8"/>
    <w:rsid w:val="00762399"/>
    <w:rsid w:val="00762858"/>
    <w:rsid w:val="007629F7"/>
    <w:rsid w:val="00762E6A"/>
    <w:rsid w:val="00763EFA"/>
    <w:rsid w:val="00764898"/>
    <w:rsid w:val="00764F89"/>
    <w:rsid w:val="007659FD"/>
    <w:rsid w:val="007665E7"/>
    <w:rsid w:val="0076667C"/>
    <w:rsid w:val="0076681E"/>
    <w:rsid w:val="00770EC2"/>
    <w:rsid w:val="00771D69"/>
    <w:rsid w:val="00772E5D"/>
    <w:rsid w:val="00773D47"/>
    <w:rsid w:val="0077422B"/>
    <w:rsid w:val="0077473F"/>
    <w:rsid w:val="007758FA"/>
    <w:rsid w:val="00775CF9"/>
    <w:rsid w:val="00776493"/>
    <w:rsid w:val="00777082"/>
    <w:rsid w:val="007779DF"/>
    <w:rsid w:val="00777ABF"/>
    <w:rsid w:val="0078069A"/>
    <w:rsid w:val="00781B29"/>
    <w:rsid w:val="00783C5B"/>
    <w:rsid w:val="00783E22"/>
    <w:rsid w:val="007851B6"/>
    <w:rsid w:val="00785504"/>
    <w:rsid w:val="00786B35"/>
    <w:rsid w:val="007904D0"/>
    <w:rsid w:val="007906FD"/>
    <w:rsid w:val="007910C3"/>
    <w:rsid w:val="0079218C"/>
    <w:rsid w:val="007940FD"/>
    <w:rsid w:val="0079477A"/>
    <w:rsid w:val="007948DE"/>
    <w:rsid w:val="00796433"/>
    <w:rsid w:val="00797162"/>
    <w:rsid w:val="00797646"/>
    <w:rsid w:val="007977BE"/>
    <w:rsid w:val="007A0528"/>
    <w:rsid w:val="007A1D5D"/>
    <w:rsid w:val="007A1E4F"/>
    <w:rsid w:val="007A24F7"/>
    <w:rsid w:val="007A2ADB"/>
    <w:rsid w:val="007A37FB"/>
    <w:rsid w:val="007A3D48"/>
    <w:rsid w:val="007A3DF1"/>
    <w:rsid w:val="007A425B"/>
    <w:rsid w:val="007A483A"/>
    <w:rsid w:val="007A587F"/>
    <w:rsid w:val="007A5D2F"/>
    <w:rsid w:val="007A7011"/>
    <w:rsid w:val="007A7069"/>
    <w:rsid w:val="007A7438"/>
    <w:rsid w:val="007A7861"/>
    <w:rsid w:val="007A78DA"/>
    <w:rsid w:val="007B0B0B"/>
    <w:rsid w:val="007B3985"/>
    <w:rsid w:val="007B4C16"/>
    <w:rsid w:val="007B510C"/>
    <w:rsid w:val="007B5838"/>
    <w:rsid w:val="007B6480"/>
    <w:rsid w:val="007B6B33"/>
    <w:rsid w:val="007B70C2"/>
    <w:rsid w:val="007B77A8"/>
    <w:rsid w:val="007B7F2B"/>
    <w:rsid w:val="007C0171"/>
    <w:rsid w:val="007C0381"/>
    <w:rsid w:val="007C102A"/>
    <w:rsid w:val="007C10FE"/>
    <w:rsid w:val="007C1390"/>
    <w:rsid w:val="007C15BD"/>
    <w:rsid w:val="007C26F7"/>
    <w:rsid w:val="007C4DB6"/>
    <w:rsid w:val="007C500F"/>
    <w:rsid w:val="007C68B3"/>
    <w:rsid w:val="007C6A29"/>
    <w:rsid w:val="007C74C8"/>
    <w:rsid w:val="007C7BC2"/>
    <w:rsid w:val="007D004E"/>
    <w:rsid w:val="007D09CB"/>
    <w:rsid w:val="007D0A91"/>
    <w:rsid w:val="007D0D13"/>
    <w:rsid w:val="007D1099"/>
    <w:rsid w:val="007D16EE"/>
    <w:rsid w:val="007D3374"/>
    <w:rsid w:val="007D3B67"/>
    <w:rsid w:val="007D4046"/>
    <w:rsid w:val="007D4101"/>
    <w:rsid w:val="007D4584"/>
    <w:rsid w:val="007D568C"/>
    <w:rsid w:val="007D5C83"/>
    <w:rsid w:val="007D6F4A"/>
    <w:rsid w:val="007D734E"/>
    <w:rsid w:val="007D7763"/>
    <w:rsid w:val="007D7AAB"/>
    <w:rsid w:val="007E0A2D"/>
    <w:rsid w:val="007E1141"/>
    <w:rsid w:val="007E1614"/>
    <w:rsid w:val="007E2A08"/>
    <w:rsid w:val="007E2D44"/>
    <w:rsid w:val="007E456A"/>
    <w:rsid w:val="007E5720"/>
    <w:rsid w:val="007E6913"/>
    <w:rsid w:val="007F0050"/>
    <w:rsid w:val="007F0848"/>
    <w:rsid w:val="007F198E"/>
    <w:rsid w:val="007F29C3"/>
    <w:rsid w:val="007F352C"/>
    <w:rsid w:val="007F39B0"/>
    <w:rsid w:val="007F4C24"/>
    <w:rsid w:val="007F5144"/>
    <w:rsid w:val="007F54E5"/>
    <w:rsid w:val="007F63C7"/>
    <w:rsid w:val="007F6C52"/>
    <w:rsid w:val="007F7034"/>
    <w:rsid w:val="007F7704"/>
    <w:rsid w:val="007F77E1"/>
    <w:rsid w:val="007F7A10"/>
    <w:rsid w:val="00801252"/>
    <w:rsid w:val="008019DD"/>
    <w:rsid w:val="00801CBD"/>
    <w:rsid w:val="0080216F"/>
    <w:rsid w:val="008021EA"/>
    <w:rsid w:val="00803D5C"/>
    <w:rsid w:val="00803D72"/>
    <w:rsid w:val="008044B4"/>
    <w:rsid w:val="00804772"/>
    <w:rsid w:val="00805FBF"/>
    <w:rsid w:val="00806661"/>
    <w:rsid w:val="00810B41"/>
    <w:rsid w:val="008112CD"/>
    <w:rsid w:val="0081136A"/>
    <w:rsid w:val="008125FE"/>
    <w:rsid w:val="0081361F"/>
    <w:rsid w:val="0081463D"/>
    <w:rsid w:val="008165F9"/>
    <w:rsid w:val="00817189"/>
    <w:rsid w:val="00821692"/>
    <w:rsid w:val="00822C99"/>
    <w:rsid w:val="00824377"/>
    <w:rsid w:val="00824ABE"/>
    <w:rsid w:val="00826157"/>
    <w:rsid w:val="0082630D"/>
    <w:rsid w:val="00826644"/>
    <w:rsid w:val="00826AAB"/>
    <w:rsid w:val="0082778E"/>
    <w:rsid w:val="00830139"/>
    <w:rsid w:val="00830E85"/>
    <w:rsid w:val="008328FF"/>
    <w:rsid w:val="00832FFF"/>
    <w:rsid w:val="0083357E"/>
    <w:rsid w:val="00833FB4"/>
    <w:rsid w:val="008340F6"/>
    <w:rsid w:val="008367AC"/>
    <w:rsid w:val="00836E17"/>
    <w:rsid w:val="008403E0"/>
    <w:rsid w:val="00840E6A"/>
    <w:rsid w:val="00841209"/>
    <w:rsid w:val="008417B9"/>
    <w:rsid w:val="00841FAE"/>
    <w:rsid w:val="00842417"/>
    <w:rsid w:val="00842D49"/>
    <w:rsid w:val="00842D72"/>
    <w:rsid w:val="00843903"/>
    <w:rsid w:val="008463ED"/>
    <w:rsid w:val="00847898"/>
    <w:rsid w:val="00847F9A"/>
    <w:rsid w:val="00851C4D"/>
    <w:rsid w:val="00852317"/>
    <w:rsid w:val="00853696"/>
    <w:rsid w:val="00853738"/>
    <w:rsid w:val="008537A5"/>
    <w:rsid w:val="00854919"/>
    <w:rsid w:val="00854CDA"/>
    <w:rsid w:val="008560F1"/>
    <w:rsid w:val="00857B7D"/>
    <w:rsid w:val="00857DD7"/>
    <w:rsid w:val="00861021"/>
    <w:rsid w:val="00861386"/>
    <w:rsid w:val="00862DBA"/>
    <w:rsid w:val="00862F83"/>
    <w:rsid w:val="00864ABB"/>
    <w:rsid w:val="00865F16"/>
    <w:rsid w:val="0086615F"/>
    <w:rsid w:val="00866298"/>
    <w:rsid w:val="00866622"/>
    <w:rsid w:val="00866749"/>
    <w:rsid w:val="00867A17"/>
    <w:rsid w:val="00870DF6"/>
    <w:rsid w:val="0087222D"/>
    <w:rsid w:val="00872583"/>
    <w:rsid w:val="00872B0F"/>
    <w:rsid w:val="00873874"/>
    <w:rsid w:val="00874632"/>
    <w:rsid w:val="00876B26"/>
    <w:rsid w:val="0087704A"/>
    <w:rsid w:val="00877BBA"/>
    <w:rsid w:val="00880C84"/>
    <w:rsid w:val="00880DF5"/>
    <w:rsid w:val="00881104"/>
    <w:rsid w:val="00881110"/>
    <w:rsid w:val="00881580"/>
    <w:rsid w:val="00881961"/>
    <w:rsid w:val="00882311"/>
    <w:rsid w:val="0088268D"/>
    <w:rsid w:val="00882FEA"/>
    <w:rsid w:val="0088444D"/>
    <w:rsid w:val="008852ED"/>
    <w:rsid w:val="00885DE2"/>
    <w:rsid w:val="00887A3A"/>
    <w:rsid w:val="00887E5B"/>
    <w:rsid w:val="008908FD"/>
    <w:rsid w:val="008919F8"/>
    <w:rsid w:val="008922A7"/>
    <w:rsid w:val="00892DFC"/>
    <w:rsid w:val="008933CA"/>
    <w:rsid w:val="00893CF0"/>
    <w:rsid w:val="00893D4D"/>
    <w:rsid w:val="00895A32"/>
    <w:rsid w:val="00895E70"/>
    <w:rsid w:val="008966D0"/>
    <w:rsid w:val="008976E6"/>
    <w:rsid w:val="00897764"/>
    <w:rsid w:val="008A104E"/>
    <w:rsid w:val="008A17FA"/>
    <w:rsid w:val="008A1D51"/>
    <w:rsid w:val="008A1FE9"/>
    <w:rsid w:val="008A2349"/>
    <w:rsid w:val="008A2575"/>
    <w:rsid w:val="008A3996"/>
    <w:rsid w:val="008A3CF4"/>
    <w:rsid w:val="008A4774"/>
    <w:rsid w:val="008A564A"/>
    <w:rsid w:val="008A5CFF"/>
    <w:rsid w:val="008A6386"/>
    <w:rsid w:val="008A76A1"/>
    <w:rsid w:val="008A76E4"/>
    <w:rsid w:val="008A7904"/>
    <w:rsid w:val="008B06E3"/>
    <w:rsid w:val="008B0C11"/>
    <w:rsid w:val="008B115B"/>
    <w:rsid w:val="008B13CF"/>
    <w:rsid w:val="008B168C"/>
    <w:rsid w:val="008B1BB5"/>
    <w:rsid w:val="008B2123"/>
    <w:rsid w:val="008B2801"/>
    <w:rsid w:val="008B390C"/>
    <w:rsid w:val="008B49D4"/>
    <w:rsid w:val="008B55D2"/>
    <w:rsid w:val="008B5B8E"/>
    <w:rsid w:val="008B5E89"/>
    <w:rsid w:val="008B7172"/>
    <w:rsid w:val="008B7BAB"/>
    <w:rsid w:val="008B7E06"/>
    <w:rsid w:val="008B7E2C"/>
    <w:rsid w:val="008C0DEF"/>
    <w:rsid w:val="008C1386"/>
    <w:rsid w:val="008C1805"/>
    <w:rsid w:val="008C33B0"/>
    <w:rsid w:val="008C3E21"/>
    <w:rsid w:val="008C4308"/>
    <w:rsid w:val="008C4635"/>
    <w:rsid w:val="008C4B76"/>
    <w:rsid w:val="008C50ED"/>
    <w:rsid w:val="008C5E91"/>
    <w:rsid w:val="008C6D40"/>
    <w:rsid w:val="008D0D42"/>
    <w:rsid w:val="008D3CFC"/>
    <w:rsid w:val="008D4A44"/>
    <w:rsid w:val="008D5952"/>
    <w:rsid w:val="008D7881"/>
    <w:rsid w:val="008E0148"/>
    <w:rsid w:val="008E1152"/>
    <w:rsid w:val="008E1178"/>
    <w:rsid w:val="008E117C"/>
    <w:rsid w:val="008E1809"/>
    <w:rsid w:val="008E30E0"/>
    <w:rsid w:val="008E3389"/>
    <w:rsid w:val="008E38F1"/>
    <w:rsid w:val="008E3BE4"/>
    <w:rsid w:val="008E4EDD"/>
    <w:rsid w:val="008E53F1"/>
    <w:rsid w:val="008E576E"/>
    <w:rsid w:val="008E5800"/>
    <w:rsid w:val="008E5EFF"/>
    <w:rsid w:val="008E60CF"/>
    <w:rsid w:val="008E726C"/>
    <w:rsid w:val="008E7CE6"/>
    <w:rsid w:val="008F313D"/>
    <w:rsid w:val="008F35BA"/>
    <w:rsid w:val="008F3872"/>
    <w:rsid w:val="008F3FA0"/>
    <w:rsid w:val="008F4721"/>
    <w:rsid w:val="008F6CB9"/>
    <w:rsid w:val="008F734C"/>
    <w:rsid w:val="00900A75"/>
    <w:rsid w:val="009016D8"/>
    <w:rsid w:val="009016E2"/>
    <w:rsid w:val="009019D9"/>
    <w:rsid w:val="00901AF7"/>
    <w:rsid w:val="009022BE"/>
    <w:rsid w:val="00902ED3"/>
    <w:rsid w:val="0090350C"/>
    <w:rsid w:val="009038DD"/>
    <w:rsid w:val="00904383"/>
    <w:rsid w:val="00905DE0"/>
    <w:rsid w:val="00906CDC"/>
    <w:rsid w:val="00907B43"/>
    <w:rsid w:val="009106E7"/>
    <w:rsid w:val="00912BAA"/>
    <w:rsid w:val="009159DC"/>
    <w:rsid w:val="00915C31"/>
    <w:rsid w:val="0091781A"/>
    <w:rsid w:val="0091795F"/>
    <w:rsid w:val="00917D6F"/>
    <w:rsid w:val="00917EF5"/>
    <w:rsid w:val="009202D1"/>
    <w:rsid w:val="0092070F"/>
    <w:rsid w:val="00921537"/>
    <w:rsid w:val="00922476"/>
    <w:rsid w:val="009226E8"/>
    <w:rsid w:val="00922D00"/>
    <w:rsid w:val="00923843"/>
    <w:rsid w:val="009239E0"/>
    <w:rsid w:val="00925160"/>
    <w:rsid w:val="00925A9E"/>
    <w:rsid w:val="00925B04"/>
    <w:rsid w:val="00925D6F"/>
    <w:rsid w:val="0092678B"/>
    <w:rsid w:val="009274A8"/>
    <w:rsid w:val="0093037B"/>
    <w:rsid w:val="00930E4A"/>
    <w:rsid w:val="009311C0"/>
    <w:rsid w:val="0093220F"/>
    <w:rsid w:val="00932906"/>
    <w:rsid w:val="0093316E"/>
    <w:rsid w:val="00933258"/>
    <w:rsid w:val="00933718"/>
    <w:rsid w:val="0093412E"/>
    <w:rsid w:val="009343A5"/>
    <w:rsid w:val="00935B28"/>
    <w:rsid w:val="00935FF4"/>
    <w:rsid w:val="00940949"/>
    <w:rsid w:val="00941799"/>
    <w:rsid w:val="009447F3"/>
    <w:rsid w:val="0094528D"/>
    <w:rsid w:val="009453F2"/>
    <w:rsid w:val="00945CD7"/>
    <w:rsid w:val="009462DB"/>
    <w:rsid w:val="00946469"/>
    <w:rsid w:val="009469DC"/>
    <w:rsid w:val="00946AB9"/>
    <w:rsid w:val="00950A7C"/>
    <w:rsid w:val="0095185E"/>
    <w:rsid w:val="00952C96"/>
    <w:rsid w:val="009535EC"/>
    <w:rsid w:val="00953F39"/>
    <w:rsid w:val="009553C4"/>
    <w:rsid w:val="009554EF"/>
    <w:rsid w:val="00956527"/>
    <w:rsid w:val="00956DD5"/>
    <w:rsid w:val="00956EF2"/>
    <w:rsid w:val="00957B5E"/>
    <w:rsid w:val="00957EBF"/>
    <w:rsid w:val="0096028A"/>
    <w:rsid w:val="00961F67"/>
    <w:rsid w:val="00962473"/>
    <w:rsid w:val="00963485"/>
    <w:rsid w:val="009639D3"/>
    <w:rsid w:val="00967071"/>
    <w:rsid w:val="009674C3"/>
    <w:rsid w:val="00967E9E"/>
    <w:rsid w:val="009701C6"/>
    <w:rsid w:val="009703AB"/>
    <w:rsid w:val="00970D04"/>
    <w:rsid w:val="00970F39"/>
    <w:rsid w:val="00972322"/>
    <w:rsid w:val="00974EBD"/>
    <w:rsid w:val="00975730"/>
    <w:rsid w:val="00976690"/>
    <w:rsid w:val="00980B1A"/>
    <w:rsid w:val="00981125"/>
    <w:rsid w:val="009814B5"/>
    <w:rsid w:val="00982D86"/>
    <w:rsid w:val="00982F65"/>
    <w:rsid w:val="009831C4"/>
    <w:rsid w:val="00983CC6"/>
    <w:rsid w:val="009841E6"/>
    <w:rsid w:val="00984A55"/>
    <w:rsid w:val="00984B44"/>
    <w:rsid w:val="00985B2B"/>
    <w:rsid w:val="009864FB"/>
    <w:rsid w:val="00987131"/>
    <w:rsid w:val="00987475"/>
    <w:rsid w:val="00987776"/>
    <w:rsid w:val="00987A0F"/>
    <w:rsid w:val="009904F6"/>
    <w:rsid w:val="00991403"/>
    <w:rsid w:val="00991421"/>
    <w:rsid w:val="0099143E"/>
    <w:rsid w:val="009935D4"/>
    <w:rsid w:val="00994820"/>
    <w:rsid w:val="00995324"/>
    <w:rsid w:val="00995767"/>
    <w:rsid w:val="00996D62"/>
    <w:rsid w:val="0099729D"/>
    <w:rsid w:val="009A2524"/>
    <w:rsid w:val="009A2B4C"/>
    <w:rsid w:val="009A31A2"/>
    <w:rsid w:val="009A39DC"/>
    <w:rsid w:val="009A44BE"/>
    <w:rsid w:val="009A4707"/>
    <w:rsid w:val="009A6D01"/>
    <w:rsid w:val="009A7437"/>
    <w:rsid w:val="009A7653"/>
    <w:rsid w:val="009A7857"/>
    <w:rsid w:val="009B01F7"/>
    <w:rsid w:val="009B064E"/>
    <w:rsid w:val="009B23E0"/>
    <w:rsid w:val="009B251F"/>
    <w:rsid w:val="009B3045"/>
    <w:rsid w:val="009B4478"/>
    <w:rsid w:val="009B4D6C"/>
    <w:rsid w:val="009B66E8"/>
    <w:rsid w:val="009C0519"/>
    <w:rsid w:val="009C125E"/>
    <w:rsid w:val="009C2BDB"/>
    <w:rsid w:val="009C3377"/>
    <w:rsid w:val="009C3C05"/>
    <w:rsid w:val="009C4D65"/>
    <w:rsid w:val="009C5974"/>
    <w:rsid w:val="009C5A9F"/>
    <w:rsid w:val="009C6AFE"/>
    <w:rsid w:val="009C7477"/>
    <w:rsid w:val="009C77EC"/>
    <w:rsid w:val="009C7899"/>
    <w:rsid w:val="009C7935"/>
    <w:rsid w:val="009D0440"/>
    <w:rsid w:val="009D476E"/>
    <w:rsid w:val="009D7971"/>
    <w:rsid w:val="009E03CD"/>
    <w:rsid w:val="009E1639"/>
    <w:rsid w:val="009E2392"/>
    <w:rsid w:val="009E25B3"/>
    <w:rsid w:val="009E340A"/>
    <w:rsid w:val="009E340C"/>
    <w:rsid w:val="009E426E"/>
    <w:rsid w:val="009E4DF1"/>
    <w:rsid w:val="009E4E6D"/>
    <w:rsid w:val="009E4F70"/>
    <w:rsid w:val="009E5E0F"/>
    <w:rsid w:val="009E69AF"/>
    <w:rsid w:val="009E6A99"/>
    <w:rsid w:val="009F1764"/>
    <w:rsid w:val="009F2401"/>
    <w:rsid w:val="009F2ACE"/>
    <w:rsid w:val="009F2B9B"/>
    <w:rsid w:val="009F4637"/>
    <w:rsid w:val="009F5A24"/>
    <w:rsid w:val="009F678F"/>
    <w:rsid w:val="009F6876"/>
    <w:rsid w:val="009F6EFB"/>
    <w:rsid w:val="009F78DB"/>
    <w:rsid w:val="00A000A7"/>
    <w:rsid w:val="00A02D9E"/>
    <w:rsid w:val="00A0497F"/>
    <w:rsid w:val="00A04A1E"/>
    <w:rsid w:val="00A04BD9"/>
    <w:rsid w:val="00A0582E"/>
    <w:rsid w:val="00A05B8E"/>
    <w:rsid w:val="00A05F38"/>
    <w:rsid w:val="00A069C4"/>
    <w:rsid w:val="00A07E34"/>
    <w:rsid w:val="00A115BC"/>
    <w:rsid w:val="00A116D3"/>
    <w:rsid w:val="00A11780"/>
    <w:rsid w:val="00A12F9F"/>
    <w:rsid w:val="00A1314A"/>
    <w:rsid w:val="00A142E0"/>
    <w:rsid w:val="00A14989"/>
    <w:rsid w:val="00A14B33"/>
    <w:rsid w:val="00A14C7F"/>
    <w:rsid w:val="00A15090"/>
    <w:rsid w:val="00A163AE"/>
    <w:rsid w:val="00A21405"/>
    <w:rsid w:val="00A21577"/>
    <w:rsid w:val="00A215CD"/>
    <w:rsid w:val="00A21EAF"/>
    <w:rsid w:val="00A21F7B"/>
    <w:rsid w:val="00A229BC"/>
    <w:rsid w:val="00A2342E"/>
    <w:rsid w:val="00A24A46"/>
    <w:rsid w:val="00A25439"/>
    <w:rsid w:val="00A26621"/>
    <w:rsid w:val="00A269A8"/>
    <w:rsid w:val="00A309BC"/>
    <w:rsid w:val="00A355BF"/>
    <w:rsid w:val="00A35713"/>
    <w:rsid w:val="00A35B3D"/>
    <w:rsid w:val="00A370AB"/>
    <w:rsid w:val="00A37234"/>
    <w:rsid w:val="00A4059F"/>
    <w:rsid w:val="00A410E5"/>
    <w:rsid w:val="00A41311"/>
    <w:rsid w:val="00A41B16"/>
    <w:rsid w:val="00A43DCE"/>
    <w:rsid w:val="00A44299"/>
    <w:rsid w:val="00A44701"/>
    <w:rsid w:val="00A47C3A"/>
    <w:rsid w:val="00A50230"/>
    <w:rsid w:val="00A505BE"/>
    <w:rsid w:val="00A511A8"/>
    <w:rsid w:val="00A513D0"/>
    <w:rsid w:val="00A519AC"/>
    <w:rsid w:val="00A51E77"/>
    <w:rsid w:val="00A52707"/>
    <w:rsid w:val="00A52747"/>
    <w:rsid w:val="00A52D6A"/>
    <w:rsid w:val="00A545F3"/>
    <w:rsid w:val="00A54609"/>
    <w:rsid w:val="00A54618"/>
    <w:rsid w:val="00A54AA6"/>
    <w:rsid w:val="00A5582B"/>
    <w:rsid w:val="00A558A9"/>
    <w:rsid w:val="00A55AA2"/>
    <w:rsid w:val="00A55AD0"/>
    <w:rsid w:val="00A56699"/>
    <w:rsid w:val="00A56C55"/>
    <w:rsid w:val="00A56F94"/>
    <w:rsid w:val="00A5744B"/>
    <w:rsid w:val="00A577F0"/>
    <w:rsid w:val="00A57AC0"/>
    <w:rsid w:val="00A60B3A"/>
    <w:rsid w:val="00A62006"/>
    <w:rsid w:val="00A62CF3"/>
    <w:rsid w:val="00A62D0A"/>
    <w:rsid w:val="00A6322B"/>
    <w:rsid w:val="00A63D16"/>
    <w:rsid w:val="00A6408B"/>
    <w:rsid w:val="00A649AA"/>
    <w:rsid w:val="00A6525E"/>
    <w:rsid w:val="00A65983"/>
    <w:rsid w:val="00A65F1D"/>
    <w:rsid w:val="00A66CC7"/>
    <w:rsid w:val="00A67A31"/>
    <w:rsid w:val="00A67A92"/>
    <w:rsid w:val="00A67AEE"/>
    <w:rsid w:val="00A67CB5"/>
    <w:rsid w:val="00A708B5"/>
    <w:rsid w:val="00A713AF"/>
    <w:rsid w:val="00A717CE"/>
    <w:rsid w:val="00A71845"/>
    <w:rsid w:val="00A71944"/>
    <w:rsid w:val="00A71B94"/>
    <w:rsid w:val="00A7291E"/>
    <w:rsid w:val="00A730F0"/>
    <w:rsid w:val="00A743A8"/>
    <w:rsid w:val="00A74BB1"/>
    <w:rsid w:val="00A74DAE"/>
    <w:rsid w:val="00A7569C"/>
    <w:rsid w:val="00A77362"/>
    <w:rsid w:val="00A804EF"/>
    <w:rsid w:val="00A807FE"/>
    <w:rsid w:val="00A80C41"/>
    <w:rsid w:val="00A821F9"/>
    <w:rsid w:val="00A82B5F"/>
    <w:rsid w:val="00A82F8F"/>
    <w:rsid w:val="00A832CE"/>
    <w:rsid w:val="00A839A6"/>
    <w:rsid w:val="00A84CEE"/>
    <w:rsid w:val="00A8703F"/>
    <w:rsid w:val="00A87B66"/>
    <w:rsid w:val="00A87E6F"/>
    <w:rsid w:val="00A907F4"/>
    <w:rsid w:val="00A91B56"/>
    <w:rsid w:val="00A925AE"/>
    <w:rsid w:val="00A95D4B"/>
    <w:rsid w:val="00A95E00"/>
    <w:rsid w:val="00A96F48"/>
    <w:rsid w:val="00AA04A7"/>
    <w:rsid w:val="00AA0843"/>
    <w:rsid w:val="00AA0E1C"/>
    <w:rsid w:val="00AA1EAA"/>
    <w:rsid w:val="00AA5608"/>
    <w:rsid w:val="00AA6188"/>
    <w:rsid w:val="00AA670A"/>
    <w:rsid w:val="00AA69D1"/>
    <w:rsid w:val="00AA6A96"/>
    <w:rsid w:val="00AA74DB"/>
    <w:rsid w:val="00AA7D7C"/>
    <w:rsid w:val="00AB0D90"/>
    <w:rsid w:val="00AB2234"/>
    <w:rsid w:val="00AB2390"/>
    <w:rsid w:val="00AB2F7E"/>
    <w:rsid w:val="00AB4635"/>
    <w:rsid w:val="00AB5BDA"/>
    <w:rsid w:val="00AB5C1B"/>
    <w:rsid w:val="00AB645E"/>
    <w:rsid w:val="00AB6868"/>
    <w:rsid w:val="00AB7B3A"/>
    <w:rsid w:val="00AC0CB0"/>
    <w:rsid w:val="00AC11F2"/>
    <w:rsid w:val="00AC2066"/>
    <w:rsid w:val="00AC2B86"/>
    <w:rsid w:val="00AC2D49"/>
    <w:rsid w:val="00AC2F14"/>
    <w:rsid w:val="00AC374D"/>
    <w:rsid w:val="00AC3925"/>
    <w:rsid w:val="00AC5308"/>
    <w:rsid w:val="00AC5546"/>
    <w:rsid w:val="00AC602D"/>
    <w:rsid w:val="00AC7C0D"/>
    <w:rsid w:val="00AC7CA0"/>
    <w:rsid w:val="00AD041F"/>
    <w:rsid w:val="00AD05A1"/>
    <w:rsid w:val="00AD06CE"/>
    <w:rsid w:val="00AD09C8"/>
    <w:rsid w:val="00AD114E"/>
    <w:rsid w:val="00AD28FE"/>
    <w:rsid w:val="00AD2C1A"/>
    <w:rsid w:val="00AD3BF9"/>
    <w:rsid w:val="00AD5040"/>
    <w:rsid w:val="00AD514D"/>
    <w:rsid w:val="00AD533E"/>
    <w:rsid w:val="00AD67E3"/>
    <w:rsid w:val="00AD6869"/>
    <w:rsid w:val="00AD68FD"/>
    <w:rsid w:val="00AD6D19"/>
    <w:rsid w:val="00AD6FA9"/>
    <w:rsid w:val="00AD7DBB"/>
    <w:rsid w:val="00AE07E5"/>
    <w:rsid w:val="00AE15C2"/>
    <w:rsid w:val="00AE18CA"/>
    <w:rsid w:val="00AE2042"/>
    <w:rsid w:val="00AE2A6C"/>
    <w:rsid w:val="00AE2C17"/>
    <w:rsid w:val="00AE3577"/>
    <w:rsid w:val="00AE3966"/>
    <w:rsid w:val="00AE3AD2"/>
    <w:rsid w:val="00AE61D4"/>
    <w:rsid w:val="00AE636A"/>
    <w:rsid w:val="00AE666E"/>
    <w:rsid w:val="00AE67F7"/>
    <w:rsid w:val="00AF00B8"/>
    <w:rsid w:val="00AF0AE7"/>
    <w:rsid w:val="00AF0F36"/>
    <w:rsid w:val="00AF2207"/>
    <w:rsid w:val="00AF5317"/>
    <w:rsid w:val="00AF6F68"/>
    <w:rsid w:val="00AF73DD"/>
    <w:rsid w:val="00B00B7B"/>
    <w:rsid w:val="00B00ED4"/>
    <w:rsid w:val="00B01270"/>
    <w:rsid w:val="00B015B0"/>
    <w:rsid w:val="00B018A6"/>
    <w:rsid w:val="00B01AAE"/>
    <w:rsid w:val="00B021A8"/>
    <w:rsid w:val="00B0266D"/>
    <w:rsid w:val="00B03957"/>
    <w:rsid w:val="00B04ABE"/>
    <w:rsid w:val="00B04E8D"/>
    <w:rsid w:val="00B053A2"/>
    <w:rsid w:val="00B05C72"/>
    <w:rsid w:val="00B079EA"/>
    <w:rsid w:val="00B108C6"/>
    <w:rsid w:val="00B10D2F"/>
    <w:rsid w:val="00B10FA3"/>
    <w:rsid w:val="00B11346"/>
    <w:rsid w:val="00B12325"/>
    <w:rsid w:val="00B12396"/>
    <w:rsid w:val="00B12932"/>
    <w:rsid w:val="00B12ED2"/>
    <w:rsid w:val="00B1326E"/>
    <w:rsid w:val="00B14451"/>
    <w:rsid w:val="00B1519F"/>
    <w:rsid w:val="00B16152"/>
    <w:rsid w:val="00B1688B"/>
    <w:rsid w:val="00B17076"/>
    <w:rsid w:val="00B17986"/>
    <w:rsid w:val="00B179E6"/>
    <w:rsid w:val="00B17D87"/>
    <w:rsid w:val="00B204EB"/>
    <w:rsid w:val="00B2191D"/>
    <w:rsid w:val="00B223B6"/>
    <w:rsid w:val="00B23B3E"/>
    <w:rsid w:val="00B23BBA"/>
    <w:rsid w:val="00B23C12"/>
    <w:rsid w:val="00B2405A"/>
    <w:rsid w:val="00B248D5"/>
    <w:rsid w:val="00B24CC5"/>
    <w:rsid w:val="00B260AB"/>
    <w:rsid w:val="00B2628F"/>
    <w:rsid w:val="00B26369"/>
    <w:rsid w:val="00B278F8"/>
    <w:rsid w:val="00B27F8A"/>
    <w:rsid w:val="00B30183"/>
    <w:rsid w:val="00B306B6"/>
    <w:rsid w:val="00B33DBE"/>
    <w:rsid w:val="00B34FAC"/>
    <w:rsid w:val="00B41895"/>
    <w:rsid w:val="00B418B7"/>
    <w:rsid w:val="00B43C67"/>
    <w:rsid w:val="00B4433C"/>
    <w:rsid w:val="00B44ED9"/>
    <w:rsid w:val="00B4536D"/>
    <w:rsid w:val="00B47CC5"/>
    <w:rsid w:val="00B50791"/>
    <w:rsid w:val="00B50DEA"/>
    <w:rsid w:val="00B51494"/>
    <w:rsid w:val="00B51E36"/>
    <w:rsid w:val="00B53A67"/>
    <w:rsid w:val="00B53D2A"/>
    <w:rsid w:val="00B54925"/>
    <w:rsid w:val="00B54DAC"/>
    <w:rsid w:val="00B54F4F"/>
    <w:rsid w:val="00B554BF"/>
    <w:rsid w:val="00B562A4"/>
    <w:rsid w:val="00B60C47"/>
    <w:rsid w:val="00B63AB7"/>
    <w:rsid w:val="00B63F29"/>
    <w:rsid w:val="00B64A55"/>
    <w:rsid w:val="00B64D66"/>
    <w:rsid w:val="00B65198"/>
    <w:rsid w:val="00B66320"/>
    <w:rsid w:val="00B66C08"/>
    <w:rsid w:val="00B66C29"/>
    <w:rsid w:val="00B66D78"/>
    <w:rsid w:val="00B6717A"/>
    <w:rsid w:val="00B70281"/>
    <w:rsid w:val="00B70B91"/>
    <w:rsid w:val="00B72C10"/>
    <w:rsid w:val="00B72E86"/>
    <w:rsid w:val="00B731F3"/>
    <w:rsid w:val="00B73689"/>
    <w:rsid w:val="00B73CB6"/>
    <w:rsid w:val="00B73CC8"/>
    <w:rsid w:val="00B73FF6"/>
    <w:rsid w:val="00B752EA"/>
    <w:rsid w:val="00B755EA"/>
    <w:rsid w:val="00B7647E"/>
    <w:rsid w:val="00B77B73"/>
    <w:rsid w:val="00B77FAC"/>
    <w:rsid w:val="00B8042A"/>
    <w:rsid w:val="00B81239"/>
    <w:rsid w:val="00B821C1"/>
    <w:rsid w:val="00B82A4D"/>
    <w:rsid w:val="00B8321F"/>
    <w:rsid w:val="00B84317"/>
    <w:rsid w:val="00B84ACD"/>
    <w:rsid w:val="00B84AE9"/>
    <w:rsid w:val="00B85184"/>
    <w:rsid w:val="00B86A3C"/>
    <w:rsid w:val="00B87595"/>
    <w:rsid w:val="00B8775F"/>
    <w:rsid w:val="00B909E7"/>
    <w:rsid w:val="00B919CE"/>
    <w:rsid w:val="00B91BF0"/>
    <w:rsid w:val="00B92245"/>
    <w:rsid w:val="00B92A47"/>
    <w:rsid w:val="00B92DE3"/>
    <w:rsid w:val="00B937EC"/>
    <w:rsid w:val="00B93B09"/>
    <w:rsid w:val="00B95320"/>
    <w:rsid w:val="00B9541E"/>
    <w:rsid w:val="00B957EA"/>
    <w:rsid w:val="00BA01F4"/>
    <w:rsid w:val="00BA0209"/>
    <w:rsid w:val="00BA0538"/>
    <w:rsid w:val="00BA08AB"/>
    <w:rsid w:val="00BA0B6A"/>
    <w:rsid w:val="00BA2E91"/>
    <w:rsid w:val="00BA39D4"/>
    <w:rsid w:val="00BA4850"/>
    <w:rsid w:val="00BA4F36"/>
    <w:rsid w:val="00BA51D0"/>
    <w:rsid w:val="00BA5811"/>
    <w:rsid w:val="00BA5B4F"/>
    <w:rsid w:val="00BA5CF9"/>
    <w:rsid w:val="00BA5DF9"/>
    <w:rsid w:val="00BA654A"/>
    <w:rsid w:val="00BA6E72"/>
    <w:rsid w:val="00BB015F"/>
    <w:rsid w:val="00BB1B3F"/>
    <w:rsid w:val="00BB202F"/>
    <w:rsid w:val="00BB26A7"/>
    <w:rsid w:val="00BB26E8"/>
    <w:rsid w:val="00BB2D77"/>
    <w:rsid w:val="00BB3D09"/>
    <w:rsid w:val="00BB406C"/>
    <w:rsid w:val="00BB4470"/>
    <w:rsid w:val="00BB44E0"/>
    <w:rsid w:val="00BB55EF"/>
    <w:rsid w:val="00BB5EF0"/>
    <w:rsid w:val="00BB7004"/>
    <w:rsid w:val="00BB751F"/>
    <w:rsid w:val="00BB7718"/>
    <w:rsid w:val="00BB787C"/>
    <w:rsid w:val="00BB78C7"/>
    <w:rsid w:val="00BB7B41"/>
    <w:rsid w:val="00BC1945"/>
    <w:rsid w:val="00BC204F"/>
    <w:rsid w:val="00BC260D"/>
    <w:rsid w:val="00BC2FB3"/>
    <w:rsid w:val="00BC4D3D"/>
    <w:rsid w:val="00BC4ECF"/>
    <w:rsid w:val="00BC5796"/>
    <w:rsid w:val="00BC6493"/>
    <w:rsid w:val="00BC70B9"/>
    <w:rsid w:val="00BC7665"/>
    <w:rsid w:val="00BC7A00"/>
    <w:rsid w:val="00BC7E48"/>
    <w:rsid w:val="00BD04B6"/>
    <w:rsid w:val="00BD1442"/>
    <w:rsid w:val="00BD1EC6"/>
    <w:rsid w:val="00BD21FB"/>
    <w:rsid w:val="00BD2F4F"/>
    <w:rsid w:val="00BD31A6"/>
    <w:rsid w:val="00BD4801"/>
    <w:rsid w:val="00BD68A8"/>
    <w:rsid w:val="00BD68A9"/>
    <w:rsid w:val="00BD755F"/>
    <w:rsid w:val="00BD7C25"/>
    <w:rsid w:val="00BD7F13"/>
    <w:rsid w:val="00BE008F"/>
    <w:rsid w:val="00BE0D96"/>
    <w:rsid w:val="00BE13B6"/>
    <w:rsid w:val="00BE355A"/>
    <w:rsid w:val="00BE762B"/>
    <w:rsid w:val="00BF0C2E"/>
    <w:rsid w:val="00BF1073"/>
    <w:rsid w:val="00BF1825"/>
    <w:rsid w:val="00BF19EB"/>
    <w:rsid w:val="00BF1C05"/>
    <w:rsid w:val="00BF2662"/>
    <w:rsid w:val="00BF623F"/>
    <w:rsid w:val="00BF6597"/>
    <w:rsid w:val="00BF6FF4"/>
    <w:rsid w:val="00BF7A8D"/>
    <w:rsid w:val="00C0058E"/>
    <w:rsid w:val="00C00715"/>
    <w:rsid w:val="00C017C2"/>
    <w:rsid w:val="00C01E46"/>
    <w:rsid w:val="00C03343"/>
    <w:rsid w:val="00C0452E"/>
    <w:rsid w:val="00C079BE"/>
    <w:rsid w:val="00C11B6A"/>
    <w:rsid w:val="00C121D0"/>
    <w:rsid w:val="00C125D5"/>
    <w:rsid w:val="00C12A31"/>
    <w:rsid w:val="00C14CFD"/>
    <w:rsid w:val="00C15236"/>
    <w:rsid w:val="00C15A71"/>
    <w:rsid w:val="00C163BB"/>
    <w:rsid w:val="00C17D41"/>
    <w:rsid w:val="00C20B99"/>
    <w:rsid w:val="00C20E54"/>
    <w:rsid w:val="00C20F3E"/>
    <w:rsid w:val="00C217B6"/>
    <w:rsid w:val="00C22F6B"/>
    <w:rsid w:val="00C234ED"/>
    <w:rsid w:val="00C23DED"/>
    <w:rsid w:val="00C2405A"/>
    <w:rsid w:val="00C24F86"/>
    <w:rsid w:val="00C2514D"/>
    <w:rsid w:val="00C251A1"/>
    <w:rsid w:val="00C268CD"/>
    <w:rsid w:val="00C2700F"/>
    <w:rsid w:val="00C30885"/>
    <w:rsid w:val="00C30FE3"/>
    <w:rsid w:val="00C313ED"/>
    <w:rsid w:val="00C3216F"/>
    <w:rsid w:val="00C3322D"/>
    <w:rsid w:val="00C33A4B"/>
    <w:rsid w:val="00C33B44"/>
    <w:rsid w:val="00C3495F"/>
    <w:rsid w:val="00C354AB"/>
    <w:rsid w:val="00C363A2"/>
    <w:rsid w:val="00C4007C"/>
    <w:rsid w:val="00C422AB"/>
    <w:rsid w:val="00C42622"/>
    <w:rsid w:val="00C429ED"/>
    <w:rsid w:val="00C42CF0"/>
    <w:rsid w:val="00C435EF"/>
    <w:rsid w:val="00C4364D"/>
    <w:rsid w:val="00C43C6D"/>
    <w:rsid w:val="00C43D43"/>
    <w:rsid w:val="00C43F87"/>
    <w:rsid w:val="00C44247"/>
    <w:rsid w:val="00C44D35"/>
    <w:rsid w:val="00C45627"/>
    <w:rsid w:val="00C45CB7"/>
    <w:rsid w:val="00C46E46"/>
    <w:rsid w:val="00C500BF"/>
    <w:rsid w:val="00C50B4D"/>
    <w:rsid w:val="00C523F7"/>
    <w:rsid w:val="00C52D54"/>
    <w:rsid w:val="00C5353B"/>
    <w:rsid w:val="00C55060"/>
    <w:rsid w:val="00C56AE9"/>
    <w:rsid w:val="00C576D1"/>
    <w:rsid w:val="00C6028C"/>
    <w:rsid w:val="00C6085A"/>
    <w:rsid w:val="00C60C51"/>
    <w:rsid w:val="00C61749"/>
    <w:rsid w:val="00C61C9F"/>
    <w:rsid w:val="00C62493"/>
    <w:rsid w:val="00C631BC"/>
    <w:rsid w:val="00C63D4C"/>
    <w:rsid w:val="00C64734"/>
    <w:rsid w:val="00C65023"/>
    <w:rsid w:val="00C651A3"/>
    <w:rsid w:val="00C65B96"/>
    <w:rsid w:val="00C662DB"/>
    <w:rsid w:val="00C666F6"/>
    <w:rsid w:val="00C67A6F"/>
    <w:rsid w:val="00C704B6"/>
    <w:rsid w:val="00C706BC"/>
    <w:rsid w:val="00C7105E"/>
    <w:rsid w:val="00C714B1"/>
    <w:rsid w:val="00C72F38"/>
    <w:rsid w:val="00C73F3F"/>
    <w:rsid w:val="00C769AE"/>
    <w:rsid w:val="00C76C01"/>
    <w:rsid w:val="00C772E0"/>
    <w:rsid w:val="00C802C6"/>
    <w:rsid w:val="00C81FEF"/>
    <w:rsid w:val="00C82B27"/>
    <w:rsid w:val="00C82BEE"/>
    <w:rsid w:val="00C83368"/>
    <w:rsid w:val="00C83969"/>
    <w:rsid w:val="00C84B8A"/>
    <w:rsid w:val="00C84FDA"/>
    <w:rsid w:val="00C8601A"/>
    <w:rsid w:val="00C86821"/>
    <w:rsid w:val="00C86D6F"/>
    <w:rsid w:val="00C87218"/>
    <w:rsid w:val="00C877F6"/>
    <w:rsid w:val="00C87A93"/>
    <w:rsid w:val="00C9050D"/>
    <w:rsid w:val="00C90740"/>
    <w:rsid w:val="00C9185B"/>
    <w:rsid w:val="00C91E4D"/>
    <w:rsid w:val="00C926A2"/>
    <w:rsid w:val="00C92B63"/>
    <w:rsid w:val="00C93B6F"/>
    <w:rsid w:val="00C968FF"/>
    <w:rsid w:val="00C971F3"/>
    <w:rsid w:val="00C97727"/>
    <w:rsid w:val="00C978D7"/>
    <w:rsid w:val="00CA0430"/>
    <w:rsid w:val="00CA11FD"/>
    <w:rsid w:val="00CA14DE"/>
    <w:rsid w:val="00CA1D56"/>
    <w:rsid w:val="00CA3778"/>
    <w:rsid w:val="00CA41D0"/>
    <w:rsid w:val="00CA4234"/>
    <w:rsid w:val="00CA4573"/>
    <w:rsid w:val="00CA50CD"/>
    <w:rsid w:val="00CA55A5"/>
    <w:rsid w:val="00CA5799"/>
    <w:rsid w:val="00CA5AC6"/>
    <w:rsid w:val="00CA63C8"/>
    <w:rsid w:val="00CA7CB2"/>
    <w:rsid w:val="00CA7FC5"/>
    <w:rsid w:val="00CB00C6"/>
    <w:rsid w:val="00CB0D0D"/>
    <w:rsid w:val="00CB12D6"/>
    <w:rsid w:val="00CB139D"/>
    <w:rsid w:val="00CB3A11"/>
    <w:rsid w:val="00CB3BDC"/>
    <w:rsid w:val="00CB43E1"/>
    <w:rsid w:val="00CB5D08"/>
    <w:rsid w:val="00CB60F6"/>
    <w:rsid w:val="00CB611B"/>
    <w:rsid w:val="00CB6B1A"/>
    <w:rsid w:val="00CB7FA2"/>
    <w:rsid w:val="00CC019A"/>
    <w:rsid w:val="00CC0541"/>
    <w:rsid w:val="00CC08C5"/>
    <w:rsid w:val="00CC09C3"/>
    <w:rsid w:val="00CC1C08"/>
    <w:rsid w:val="00CC326D"/>
    <w:rsid w:val="00CC4B4E"/>
    <w:rsid w:val="00CC5FAA"/>
    <w:rsid w:val="00CC7FC2"/>
    <w:rsid w:val="00CD057F"/>
    <w:rsid w:val="00CD0C0D"/>
    <w:rsid w:val="00CD0DF2"/>
    <w:rsid w:val="00CD0EAB"/>
    <w:rsid w:val="00CD1007"/>
    <w:rsid w:val="00CD1A13"/>
    <w:rsid w:val="00CD1E11"/>
    <w:rsid w:val="00CD24D0"/>
    <w:rsid w:val="00CD2918"/>
    <w:rsid w:val="00CD2C55"/>
    <w:rsid w:val="00CD3F32"/>
    <w:rsid w:val="00CD4B7D"/>
    <w:rsid w:val="00CD5C93"/>
    <w:rsid w:val="00CD64AA"/>
    <w:rsid w:val="00CD66D2"/>
    <w:rsid w:val="00CD700D"/>
    <w:rsid w:val="00CE1B01"/>
    <w:rsid w:val="00CE2ACC"/>
    <w:rsid w:val="00CE3429"/>
    <w:rsid w:val="00CE34E1"/>
    <w:rsid w:val="00CE39AD"/>
    <w:rsid w:val="00CE47A2"/>
    <w:rsid w:val="00CE6AFC"/>
    <w:rsid w:val="00CF189A"/>
    <w:rsid w:val="00CF3A6F"/>
    <w:rsid w:val="00CF3E8E"/>
    <w:rsid w:val="00CF41C9"/>
    <w:rsid w:val="00CF42FB"/>
    <w:rsid w:val="00CF661B"/>
    <w:rsid w:val="00CF6D83"/>
    <w:rsid w:val="00CF72D2"/>
    <w:rsid w:val="00CF72F5"/>
    <w:rsid w:val="00CF7B11"/>
    <w:rsid w:val="00D001A1"/>
    <w:rsid w:val="00D00DDE"/>
    <w:rsid w:val="00D01020"/>
    <w:rsid w:val="00D014F4"/>
    <w:rsid w:val="00D0159A"/>
    <w:rsid w:val="00D01CBF"/>
    <w:rsid w:val="00D023EB"/>
    <w:rsid w:val="00D03219"/>
    <w:rsid w:val="00D0417D"/>
    <w:rsid w:val="00D05B20"/>
    <w:rsid w:val="00D06AB2"/>
    <w:rsid w:val="00D06C71"/>
    <w:rsid w:val="00D06D78"/>
    <w:rsid w:val="00D07D71"/>
    <w:rsid w:val="00D11259"/>
    <w:rsid w:val="00D113DB"/>
    <w:rsid w:val="00D11833"/>
    <w:rsid w:val="00D12E95"/>
    <w:rsid w:val="00D134F3"/>
    <w:rsid w:val="00D141A7"/>
    <w:rsid w:val="00D142C9"/>
    <w:rsid w:val="00D168CB"/>
    <w:rsid w:val="00D16CB8"/>
    <w:rsid w:val="00D22018"/>
    <w:rsid w:val="00D23DC5"/>
    <w:rsid w:val="00D24832"/>
    <w:rsid w:val="00D2499C"/>
    <w:rsid w:val="00D24AE1"/>
    <w:rsid w:val="00D25410"/>
    <w:rsid w:val="00D25D1E"/>
    <w:rsid w:val="00D263C0"/>
    <w:rsid w:val="00D264D7"/>
    <w:rsid w:val="00D265DF"/>
    <w:rsid w:val="00D270F9"/>
    <w:rsid w:val="00D3189E"/>
    <w:rsid w:val="00D318C8"/>
    <w:rsid w:val="00D31D1F"/>
    <w:rsid w:val="00D320D6"/>
    <w:rsid w:val="00D3250D"/>
    <w:rsid w:val="00D32A0B"/>
    <w:rsid w:val="00D338A4"/>
    <w:rsid w:val="00D34C59"/>
    <w:rsid w:val="00D358A7"/>
    <w:rsid w:val="00D3680F"/>
    <w:rsid w:val="00D36A01"/>
    <w:rsid w:val="00D376E1"/>
    <w:rsid w:val="00D40754"/>
    <w:rsid w:val="00D41364"/>
    <w:rsid w:val="00D41419"/>
    <w:rsid w:val="00D41425"/>
    <w:rsid w:val="00D414F7"/>
    <w:rsid w:val="00D42B73"/>
    <w:rsid w:val="00D43212"/>
    <w:rsid w:val="00D43CFA"/>
    <w:rsid w:val="00D44EB0"/>
    <w:rsid w:val="00D450C1"/>
    <w:rsid w:val="00D45739"/>
    <w:rsid w:val="00D45F5C"/>
    <w:rsid w:val="00D4612C"/>
    <w:rsid w:val="00D46E3E"/>
    <w:rsid w:val="00D47714"/>
    <w:rsid w:val="00D51678"/>
    <w:rsid w:val="00D522DC"/>
    <w:rsid w:val="00D525B1"/>
    <w:rsid w:val="00D54C0B"/>
    <w:rsid w:val="00D54CD0"/>
    <w:rsid w:val="00D558C5"/>
    <w:rsid w:val="00D55FDF"/>
    <w:rsid w:val="00D56B00"/>
    <w:rsid w:val="00D6098E"/>
    <w:rsid w:val="00D60D78"/>
    <w:rsid w:val="00D61E10"/>
    <w:rsid w:val="00D6230D"/>
    <w:rsid w:val="00D647B3"/>
    <w:rsid w:val="00D64870"/>
    <w:rsid w:val="00D64CFC"/>
    <w:rsid w:val="00D64EFF"/>
    <w:rsid w:val="00D665B4"/>
    <w:rsid w:val="00D666F8"/>
    <w:rsid w:val="00D66C27"/>
    <w:rsid w:val="00D67DAB"/>
    <w:rsid w:val="00D70862"/>
    <w:rsid w:val="00D71372"/>
    <w:rsid w:val="00D72281"/>
    <w:rsid w:val="00D730C5"/>
    <w:rsid w:val="00D73177"/>
    <w:rsid w:val="00D738C2"/>
    <w:rsid w:val="00D74C23"/>
    <w:rsid w:val="00D74CD2"/>
    <w:rsid w:val="00D74D15"/>
    <w:rsid w:val="00D753B9"/>
    <w:rsid w:val="00D75DB9"/>
    <w:rsid w:val="00D76E81"/>
    <w:rsid w:val="00D770EA"/>
    <w:rsid w:val="00D80BEE"/>
    <w:rsid w:val="00D815DD"/>
    <w:rsid w:val="00D82038"/>
    <w:rsid w:val="00D82CBF"/>
    <w:rsid w:val="00D83355"/>
    <w:rsid w:val="00D83AE2"/>
    <w:rsid w:val="00D846F1"/>
    <w:rsid w:val="00D84FD0"/>
    <w:rsid w:val="00D853AE"/>
    <w:rsid w:val="00D8580B"/>
    <w:rsid w:val="00D871C0"/>
    <w:rsid w:val="00D91291"/>
    <w:rsid w:val="00D9181A"/>
    <w:rsid w:val="00D9238A"/>
    <w:rsid w:val="00D92A44"/>
    <w:rsid w:val="00D92B7B"/>
    <w:rsid w:val="00D92C83"/>
    <w:rsid w:val="00D939A7"/>
    <w:rsid w:val="00D93C43"/>
    <w:rsid w:val="00D96ED0"/>
    <w:rsid w:val="00D972E2"/>
    <w:rsid w:val="00D977BA"/>
    <w:rsid w:val="00D97C39"/>
    <w:rsid w:val="00DA118B"/>
    <w:rsid w:val="00DA1232"/>
    <w:rsid w:val="00DA1518"/>
    <w:rsid w:val="00DA17C7"/>
    <w:rsid w:val="00DA1A62"/>
    <w:rsid w:val="00DA4E85"/>
    <w:rsid w:val="00DA52F2"/>
    <w:rsid w:val="00DA61F3"/>
    <w:rsid w:val="00DB091A"/>
    <w:rsid w:val="00DB38BD"/>
    <w:rsid w:val="00DB3E67"/>
    <w:rsid w:val="00DB41F5"/>
    <w:rsid w:val="00DB4800"/>
    <w:rsid w:val="00DB4CA6"/>
    <w:rsid w:val="00DB5738"/>
    <w:rsid w:val="00DB583F"/>
    <w:rsid w:val="00DB5B0A"/>
    <w:rsid w:val="00DC1172"/>
    <w:rsid w:val="00DC154E"/>
    <w:rsid w:val="00DC1819"/>
    <w:rsid w:val="00DC1DAA"/>
    <w:rsid w:val="00DC23BF"/>
    <w:rsid w:val="00DC2AB7"/>
    <w:rsid w:val="00DC2B50"/>
    <w:rsid w:val="00DC2E43"/>
    <w:rsid w:val="00DC37E6"/>
    <w:rsid w:val="00DC4563"/>
    <w:rsid w:val="00DC4622"/>
    <w:rsid w:val="00DC4E6E"/>
    <w:rsid w:val="00DC4F51"/>
    <w:rsid w:val="00DC58BC"/>
    <w:rsid w:val="00DC65B2"/>
    <w:rsid w:val="00DC6BC1"/>
    <w:rsid w:val="00DD0E06"/>
    <w:rsid w:val="00DD1503"/>
    <w:rsid w:val="00DD180B"/>
    <w:rsid w:val="00DD1E64"/>
    <w:rsid w:val="00DD2E71"/>
    <w:rsid w:val="00DD356A"/>
    <w:rsid w:val="00DD4457"/>
    <w:rsid w:val="00DD47CB"/>
    <w:rsid w:val="00DD49D5"/>
    <w:rsid w:val="00DD4D9C"/>
    <w:rsid w:val="00DD54FD"/>
    <w:rsid w:val="00DD5D99"/>
    <w:rsid w:val="00DD71B1"/>
    <w:rsid w:val="00DD7434"/>
    <w:rsid w:val="00DE0392"/>
    <w:rsid w:val="00DE2F45"/>
    <w:rsid w:val="00DE4332"/>
    <w:rsid w:val="00DE4650"/>
    <w:rsid w:val="00DE48CA"/>
    <w:rsid w:val="00DE4938"/>
    <w:rsid w:val="00DE6105"/>
    <w:rsid w:val="00DE6247"/>
    <w:rsid w:val="00DE63E5"/>
    <w:rsid w:val="00DE747A"/>
    <w:rsid w:val="00DE7665"/>
    <w:rsid w:val="00DF12EE"/>
    <w:rsid w:val="00DF13E9"/>
    <w:rsid w:val="00DF1A9A"/>
    <w:rsid w:val="00DF2AB1"/>
    <w:rsid w:val="00DF3370"/>
    <w:rsid w:val="00DF377A"/>
    <w:rsid w:val="00DF4688"/>
    <w:rsid w:val="00DF4871"/>
    <w:rsid w:val="00DF4E91"/>
    <w:rsid w:val="00DF5AB0"/>
    <w:rsid w:val="00DF6A4D"/>
    <w:rsid w:val="00DF6E5E"/>
    <w:rsid w:val="00DF7144"/>
    <w:rsid w:val="00DF7637"/>
    <w:rsid w:val="00DF7BBD"/>
    <w:rsid w:val="00DF7D7B"/>
    <w:rsid w:val="00E005AA"/>
    <w:rsid w:val="00E00732"/>
    <w:rsid w:val="00E00733"/>
    <w:rsid w:val="00E010EC"/>
    <w:rsid w:val="00E02982"/>
    <w:rsid w:val="00E051A3"/>
    <w:rsid w:val="00E05430"/>
    <w:rsid w:val="00E058D1"/>
    <w:rsid w:val="00E0668C"/>
    <w:rsid w:val="00E06AB7"/>
    <w:rsid w:val="00E073DC"/>
    <w:rsid w:val="00E0778B"/>
    <w:rsid w:val="00E07CB1"/>
    <w:rsid w:val="00E10690"/>
    <w:rsid w:val="00E10A31"/>
    <w:rsid w:val="00E10AB5"/>
    <w:rsid w:val="00E1150E"/>
    <w:rsid w:val="00E118D5"/>
    <w:rsid w:val="00E11FDE"/>
    <w:rsid w:val="00E12C33"/>
    <w:rsid w:val="00E13088"/>
    <w:rsid w:val="00E1332F"/>
    <w:rsid w:val="00E13DBF"/>
    <w:rsid w:val="00E13F90"/>
    <w:rsid w:val="00E147A0"/>
    <w:rsid w:val="00E15931"/>
    <w:rsid w:val="00E1631D"/>
    <w:rsid w:val="00E16E2D"/>
    <w:rsid w:val="00E172A7"/>
    <w:rsid w:val="00E176B5"/>
    <w:rsid w:val="00E21FC7"/>
    <w:rsid w:val="00E2258A"/>
    <w:rsid w:val="00E22F6B"/>
    <w:rsid w:val="00E24624"/>
    <w:rsid w:val="00E24D3A"/>
    <w:rsid w:val="00E25C0C"/>
    <w:rsid w:val="00E2732C"/>
    <w:rsid w:val="00E276C2"/>
    <w:rsid w:val="00E277F9"/>
    <w:rsid w:val="00E31E27"/>
    <w:rsid w:val="00E33C51"/>
    <w:rsid w:val="00E33F57"/>
    <w:rsid w:val="00E35A2E"/>
    <w:rsid w:val="00E36843"/>
    <w:rsid w:val="00E36B5B"/>
    <w:rsid w:val="00E36E5D"/>
    <w:rsid w:val="00E371BD"/>
    <w:rsid w:val="00E40A59"/>
    <w:rsid w:val="00E410D1"/>
    <w:rsid w:val="00E41AAD"/>
    <w:rsid w:val="00E4221C"/>
    <w:rsid w:val="00E4249C"/>
    <w:rsid w:val="00E432DA"/>
    <w:rsid w:val="00E43A3F"/>
    <w:rsid w:val="00E446EB"/>
    <w:rsid w:val="00E44C64"/>
    <w:rsid w:val="00E459A0"/>
    <w:rsid w:val="00E45A29"/>
    <w:rsid w:val="00E45FC6"/>
    <w:rsid w:val="00E472EE"/>
    <w:rsid w:val="00E505BF"/>
    <w:rsid w:val="00E50775"/>
    <w:rsid w:val="00E50C21"/>
    <w:rsid w:val="00E524C3"/>
    <w:rsid w:val="00E533FA"/>
    <w:rsid w:val="00E54B87"/>
    <w:rsid w:val="00E554CF"/>
    <w:rsid w:val="00E555B6"/>
    <w:rsid w:val="00E56116"/>
    <w:rsid w:val="00E56157"/>
    <w:rsid w:val="00E564B0"/>
    <w:rsid w:val="00E56824"/>
    <w:rsid w:val="00E56B44"/>
    <w:rsid w:val="00E579D0"/>
    <w:rsid w:val="00E6189F"/>
    <w:rsid w:val="00E61ED7"/>
    <w:rsid w:val="00E627F8"/>
    <w:rsid w:val="00E6294D"/>
    <w:rsid w:val="00E62977"/>
    <w:rsid w:val="00E63FE2"/>
    <w:rsid w:val="00E6498D"/>
    <w:rsid w:val="00E64CD0"/>
    <w:rsid w:val="00E716A4"/>
    <w:rsid w:val="00E71D08"/>
    <w:rsid w:val="00E7234F"/>
    <w:rsid w:val="00E742DF"/>
    <w:rsid w:val="00E74865"/>
    <w:rsid w:val="00E74F1D"/>
    <w:rsid w:val="00E764B0"/>
    <w:rsid w:val="00E76C97"/>
    <w:rsid w:val="00E7713A"/>
    <w:rsid w:val="00E80415"/>
    <w:rsid w:val="00E804F9"/>
    <w:rsid w:val="00E80D0F"/>
    <w:rsid w:val="00E84A52"/>
    <w:rsid w:val="00E84EC4"/>
    <w:rsid w:val="00E8587A"/>
    <w:rsid w:val="00E859F6"/>
    <w:rsid w:val="00E86195"/>
    <w:rsid w:val="00E86267"/>
    <w:rsid w:val="00E87606"/>
    <w:rsid w:val="00E90197"/>
    <w:rsid w:val="00E90B63"/>
    <w:rsid w:val="00E910FD"/>
    <w:rsid w:val="00E94928"/>
    <w:rsid w:val="00E94C77"/>
    <w:rsid w:val="00E95F75"/>
    <w:rsid w:val="00E96CCB"/>
    <w:rsid w:val="00EA0A12"/>
    <w:rsid w:val="00EA0C22"/>
    <w:rsid w:val="00EA1174"/>
    <w:rsid w:val="00EA22C3"/>
    <w:rsid w:val="00EA2536"/>
    <w:rsid w:val="00EA26DD"/>
    <w:rsid w:val="00EA277A"/>
    <w:rsid w:val="00EA2923"/>
    <w:rsid w:val="00EA35C2"/>
    <w:rsid w:val="00EA4D52"/>
    <w:rsid w:val="00EA651F"/>
    <w:rsid w:val="00EA6EE2"/>
    <w:rsid w:val="00EA7669"/>
    <w:rsid w:val="00EA7768"/>
    <w:rsid w:val="00EA7AA8"/>
    <w:rsid w:val="00EB0CD1"/>
    <w:rsid w:val="00EB1712"/>
    <w:rsid w:val="00EB18AF"/>
    <w:rsid w:val="00EB29CE"/>
    <w:rsid w:val="00EB3711"/>
    <w:rsid w:val="00EB3B77"/>
    <w:rsid w:val="00EB4206"/>
    <w:rsid w:val="00EB4876"/>
    <w:rsid w:val="00EB4AFF"/>
    <w:rsid w:val="00EB4BDB"/>
    <w:rsid w:val="00EB4C1E"/>
    <w:rsid w:val="00EB4E6A"/>
    <w:rsid w:val="00EB6CDF"/>
    <w:rsid w:val="00EB6DCF"/>
    <w:rsid w:val="00EB6F3D"/>
    <w:rsid w:val="00EC00F8"/>
    <w:rsid w:val="00EC2BFB"/>
    <w:rsid w:val="00EC55F9"/>
    <w:rsid w:val="00EC596B"/>
    <w:rsid w:val="00EC65DF"/>
    <w:rsid w:val="00EC66E5"/>
    <w:rsid w:val="00EC6732"/>
    <w:rsid w:val="00EC6EE6"/>
    <w:rsid w:val="00EC7945"/>
    <w:rsid w:val="00EC7ACA"/>
    <w:rsid w:val="00ED037B"/>
    <w:rsid w:val="00ED107E"/>
    <w:rsid w:val="00ED16BA"/>
    <w:rsid w:val="00ED1873"/>
    <w:rsid w:val="00ED20C7"/>
    <w:rsid w:val="00ED2BB0"/>
    <w:rsid w:val="00ED324A"/>
    <w:rsid w:val="00ED3C73"/>
    <w:rsid w:val="00ED3D3D"/>
    <w:rsid w:val="00ED5793"/>
    <w:rsid w:val="00ED5AE1"/>
    <w:rsid w:val="00EE090B"/>
    <w:rsid w:val="00EE1F83"/>
    <w:rsid w:val="00EE2A34"/>
    <w:rsid w:val="00EE2A6C"/>
    <w:rsid w:val="00EE2F18"/>
    <w:rsid w:val="00EE3758"/>
    <w:rsid w:val="00EE5F23"/>
    <w:rsid w:val="00EE5F39"/>
    <w:rsid w:val="00EF05B2"/>
    <w:rsid w:val="00EF123A"/>
    <w:rsid w:val="00EF3223"/>
    <w:rsid w:val="00EF4234"/>
    <w:rsid w:val="00EF4AA3"/>
    <w:rsid w:val="00EF4B83"/>
    <w:rsid w:val="00EF692E"/>
    <w:rsid w:val="00F00099"/>
    <w:rsid w:val="00F00271"/>
    <w:rsid w:val="00F01AA5"/>
    <w:rsid w:val="00F0282B"/>
    <w:rsid w:val="00F030B3"/>
    <w:rsid w:val="00F03386"/>
    <w:rsid w:val="00F036FF"/>
    <w:rsid w:val="00F04380"/>
    <w:rsid w:val="00F04415"/>
    <w:rsid w:val="00F0441E"/>
    <w:rsid w:val="00F04BA5"/>
    <w:rsid w:val="00F053D3"/>
    <w:rsid w:val="00F0582C"/>
    <w:rsid w:val="00F05C3A"/>
    <w:rsid w:val="00F069D6"/>
    <w:rsid w:val="00F06DF3"/>
    <w:rsid w:val="00F070C0"/>
    <w:rsid w:val="00F07E36"/>
    <w:rsid w:val="00F10245"/>
    <w:rsid w:val="00F10890"/>
    <w:rsid w:val="00F10B8B"/>
    <w:rsid w:val="00F11840"/>
    <w:rsid w:val="00F11E95"/>
    <w:rsid w:val="00F121FB"/>
    <w:rsid w:val="00F12976"/>
    <w:rsid w:val="00F138C5"/>
    <w:rsid w:val="00F148CB"/>
    <w:rsid w:val="00F14943"/>
    <w:rsid w:val="00F153C9"/>
    <w:rsid w:val="00F158F0"/>
    <w:rsid w:val="00F1686D"/>
    <w:rsid w:val="00F21001"/>
    <w:rsid w:val="00F2110E"/>
    <w:rsid w:val="00F21DA3"/>
    <w:rsid w:val="00F21F79"/>
    <w:rsid w:val="00F22188"/>
    <w:rsid w:val="00F22A94"/>
    <w:rsid w:val="00F22BFA"/>
    <w:rsid w:val="00F23C2C"/>
    <w:rsid w:val="00F24776"/>
    <w:rsid w:val="00F266DC"/>
    <w:rsid w:val="00F2674B"/>
    <w:rsid w:val="00F26BE7"/>
    <w:rsid w:val="00F3078B"/>
    <w:rsid w:val="00F31DB1"/>
    <w:rsid w:val="00F344CD"/>
    <w:rsid w:val="00F34EB2"/>
    <w:rsid w:val="00F35035"/>
    <w:rsid w:val="00F350BE"/>
    <w:rsid w:val="00F353EC"/>
    <w:rsid w:val="00F35E60"/>
    <w:rsid w:val="00F36284"/>
    <w:rsid w:val="00F363FB"/>
    <w:rsid w:val="00F36906"/>
    <w:rsid w:val="00F36BB2"/>
    <w:rsid w:val="00F37EB2"/>
    <w:rsid w:val="00F4098C"/>
    <w:rsid w:val="00F40C24"/>
    <w:rsid w:val="00F40D1D"/>
    <w:rsid w:val="00F44799"/>
    <w:rsid w:val="00F44B28"/>
    <w:rsid w:val="00F44BEE"/>
    <w:rsid w:val="00F455D7"/>
    <w:rsid w:val="00F47547"/>
    <w:rsid w:val="00F53204"/>
    <w:rsid w:val="00F5341B"/>
    <w:rsid w:val="00F53FFD"/>
    <w:rsid w:val="00F54D58"/>
    <w:rsid w:val="00F54E6B"/>
    <w:rsid w:val="00F55773"/>
    <w:rsid w:val="00F55C95"/>
    <w:rsid w:val="00F56029"/>
    <w:rsid w:val="00F56F30"/>
    <w:rsid w:val="00F57637"/>
    <w:rsid w:val="00F60830"/>
    <w:rsid w:val="00F6172D"/>
    <w:rsid w:val="00F645C9"/>
    <w:rsid w:val="00F64E5D"/>
    <w:rsid w:val="00F663A8"/>
    <w:rsid w:val="00F670D9"/>
    <w:rsid w:val="00F6745C"/>
    <w:rsid w:val="00F67ABD"/>
    <w:rsid w:val="00F719DC"/>
    <w:rsid w:val="00F71F93"/>
    <w:rsid w:val="00F7259D"/>
    <w:rsid w:val="00F73E35"/>
    <w:rsid w:val="00F74206"/>
    <w:rsid w:val="00F74303"/>
    <w:rsid w:val="00F74444"/>
    <w:rsid w:val="00F746B0"/>
    <w:rsid w:val="00F74A8B"/>
    <w:rsid w:val="00F753A9"/>
    <w:rsid w:val="00F7541C"/>
    <w:rsid w:val="00F75923"/>
    <w:rsid w:val="00F75FC9"/>
    <w:rsid w:val="00F75FE6"/>
    <w:rsid w:val="00F77D38"/>
    <w:rsid w:val="00F8033B"/>
    <w:rsid w:val="00F82040"/>
    <w:rsid w:val="00F841B7"/>
    <w:rsid w:val="00F84409"/>
    <w:rsid w:val="00F85BC6"/>
    <w:rsid w:val="00F86596"/>
    <w:rsid w:val="00F8789D"/>
    <w:rsid w:val="00F9007D"/>
    <w:rsid w:val="00F90180"/>
    <w:rsid w:val="00F924FF"/>
    <w:rsid w:val="00F950B7"/>
    <w:rsid w:val="00F964B0"/>
    <w:rsid w:val="00F964D3"/>
    <w:rsid w:val="00F9723E"/>
    <w:rsid w:val="00F977C5"/>
    <w:rsid w:val="00F97B47"/>
    <w:rsid w:val="00FA131E"/>
    <w:rsid w:val="00FA1A0D"/>
    <w:rsid w:val="00FA215F"/>
    <w:rsid w:val="00FA2D6B"/>
    <w:rsid w:val="00FA2F11"/>
    <w:rsid w:val="00FA3629"/>
    <w:rsid w:val="00FA3E3E"/>
    <w:rsid w:val="00FA437E"/>
    <w:rsid w:val="00FA5E10"/>
    <w:rsid w:val="00FA64E2"/>
    <w:rsid w:val="00FA67B7"/>
    <w:rsid w:val="00FA7AD7"/>
    <w:rsid w:val="00FB09C2"/>
    <w:rsid w:val="00FB1CCE"/>
    <w:rsid w:val="00FB478E"/>
    <w:rsid w:val="00FB5A45"/>
    <w:rsid w:val="00FB7D86"/>
    <w:rsid w:val="00FC2034"/>
    <w:rsid w:val="00FC3BE3"/>
    <w:rsid w:val="00FC3CF3"/>
    <w:rsid w:val="00FC476B"/>
    <w:rsid w:val="00FC6546"/>
    <w:rsid w:val="00FC7FF3"/>
    <w:rsid w:val="00FD1AF4"/>
    <w:rsid w:val="00FD1FFD"/>
    <w:rsid w:val="00FD292D"/>
    <w:rsid w:val="00FD2E16"/>
    <w:rsid w:val="00FD4B2B"/>
    <w:rsid w:val="00FD59D6"/>
    <w:rsid w:val="00FD6500"/>
    <w:rsid w:val="00FD7876"/>
    <w:rsid w:val="00FE132B"/>
    <w:rsid w:val="00FE13B0"/>
    <w:rsid w:val="00FE2ADC"/>
    <w:rsid w:val="00FE48AB"/>
    <w:rsid w:val="00FE5E27"/>
    <w:rsid w:val="00FE5EB3"/>
    <w:rsid w:val="00FE61DC"/>
    <w:rsid w:val="00FE6229"/>
    <w:rsid w:val="00FE7014"/>
    <w:rsid w:val="00FE7E04"/>
    <w:rsid w:val="00FF0CC7"/>
    <w:rsid w:val="00FF1967"/>
    <w:rsid w:val="00FF1A77"/>
    <w:rsid w:val="00FF2F77"/>
    <w:rsid w:val="00FF424E"/>
    <w:rsid w:val="00FF4D81"/>
    <w:rsid w:val="00FF5204"/>
    <w:rsid w:val="00FF602B"/>
    <w:rsid w:val="00FF77C3"/>
    <w:rsid w:val="00FF7A81"/>
    <w:rsid w:val="012D6B2A"/>
    <w:rsid w:val="0A4B29DB"/>
    <w:rsid w:val="0C0AA11C"/>
    <w:rsid w:val="0E7C80E2"/>
    <w:rsid w:val="10E80059"/>
    <w:rsid w:val="16BCE276"/>
    <w:rsid w:val="199BB724"/>
    <w:rsid w:val="1A4AB4FE"/>
    <w:rsid w:val="1EC9561C"/>
    <w:rsid w:val="267AD1A4"/>
    <w:rsid w:val="2A0B5247"/>
    <w:rsid w:val="2B608455"/>
    <w:rsid w:val="320CD03D"/>
    <w:rsid w:val="32BEC36F"/>
    <w:rsid w:val="359215D0"/>
    <w:rsid w:val="366D150D"/>
    <w:rsid w:val="3780A7E6"/>
    <w:rsid w:val="397EDB8A"/>
    <w:rsid w:val="3AB1A916"/>
    <w:rsid w:val="3AB848A8"/>
    <w:rsid w:val="3D2EE1CB"/>
    <w:rsid w:val="3F72B072"/>
    <w:rsid w:val="41347A81"/>
    <w:rsid w:val="420AFA9A"/>
    <w:rsid w:val="42CE5B74"/>
    <w:rsid w:val="43D55C14"/>
    <w:rsid w:val="4732A545"/>
    <w:rsid w:val="5205B198"/>
    <w:rsid w:val="52AA1023"/>
    <w:rsid w:val="5B47F890"/>
    <w:rsid w:val="5B5B0467"/>
    <w:rsid w:val="5CE0A1C3"/>
    <w:rsid w:val="616DED07"/>
    <w:rsid w:val="64382652"/>
    <w:rsid w:val="6452AD10"/>
    <w:rsid w:val="67EDD1EA"/>
    <w:rsid w:val="6C039A12"/>
    <w:rsid w:val="6C635836"/>
    <w:rsid w:val="6C98D912"/>
    <w:rsid w:val="6DEE8394"/>
    <w:rsid w:val="728ED112"/>
    <w:rsid w:val="743A48B3"/>
    <w:rsid w:val="78F030C3"/>
    <w:rsid w:val="7A26E975"/>
    <w:rsid w:val="7E18D78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0B55C0"/>
  <w15:docId w15:val="{67FB00A7-74DE-4E94-95EE-142BBD9FE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Open Sans" w:eastAsiaTheme="minorHAnsi" w:hAnsi="Open Sans" w:cs="Open Sans"/>
        <w:szCs w:val="24"/>
        <w:lang w:val="en-GB" w:eastAsia="en-US" w:bidi="ar-SA"/>
      </w:rPr>
    </w:rPrDefault>
    <w:pPrDefault>
      <w:pPr>
        <w:spacing w:before="120" w:after="100"/>
      </w:pPr>
    </w:pPrDefault>
  </w:docDefaults>
  <w:latentStyles w:defLockedState="1" w:defUIPriority="99" w:defSemiHidden="0" w:defUnhideWhenUsed="0" w:defQFormat="0" w:count="376">
    <w:lsdException w:name="Normal" w:locked="0" w:uiPriority="0"/>
    <w:lsdException w:name="heading 1" w:locked="0" w:uiPriority="9"/>
    <w:lsdException w:name="heading 2" w:locked="0" w:semiHidden="1" w:uiPriority="9" w:unhideWhenUsed="1"/>
    <w:lsdException w:name="heading 3" w:locked="0" w:semiHidden="1" w:uiPriority="9" w:unhideWhenUsed="1" w:qFormat="1"/>
    <w:lsdException w:name="heading 4" w:locked="0"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lsdException w:name="toc 3" w:locked="0" w:semiHidden="1" w:uiPriority="39" w:unhideWhenUsed="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qFormat="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qFormat="1"/>
    <w:lsdException w:name="annotation reference" w:locked="0" w:semiHidden="1" w:unhideWhenUsed="1"/>
    <w:lsdException w:name="line number" w:semiHidden="1" w:unhideWhenUsed="1"/>
    <w:lsdException w:name="page number" w:locked="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locked="0"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locked="0" w:semiHidden="1" w:unhideWhenUsed="1"/>
    <w:lsdException w:name="Subtitle" w:uiPriority="11" w:qFormat="1"/>
    <w:lsdException w:name="Salutation" w:semiHidden="1" w:unhideWhenUsed="1"/>
    <w:lsdException w:name="Date" w:locked="0" w:semiHidden="1" w:unhideWhenUsed="1"/>
    <w:lsdException w:name="Body Text First Indent" w:semiHidden="1" w:unhideWhenUsed="1"/>
    <w:lsdException w:name="Body Text First Indent 2" w:semiHidden="1" w:unhideWhenUsed="1"/>
    <w:lsdException w:name="Note Heading" w:locked="0"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unhideWhenUsed="1"/>
    <w:lsdException w:name="Document Map" w:locked="0"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semiHidden="1" w:uiPriority="34" w:unhideWhenUsed="1" w:qFormat="1"/>
    <w:lsdException w:name="Quote" w:uiPriority="29"/>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semiHidden="1" w:uiPriority="21" w:unhideWhenUsed="1"/>
    <w:lsdException w:name="Subtle Reference" w:uiPriority="31"/>
    <w:lsdException w:name="Intense Reference" w:semiHidden="1" w:uiPriority="32" w:unhideWhenUsed="1"/>
    <w:lsdException w:name="Book Title" w:uiPriority="33"/>
    <w:lsdException w:name="Bibliography"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rsid w:val="007665E7"/>
    <w:pPr>
      <w:spacing w:after="120"/>
    </w:pPr>
  </w:style>
  <w:style w:type="paragraph" w:styleId="Heading1">
    <w:name w:val="heading 1"/>
    <w:basedOn w:val="Normal"/>
    <w:next w:val="Normal"/>
    <w:link w:val="Heading1Char"/>
    <w:uiPriority w:val="9"/>
    <w:rsid w:val="00584EAA"/>
    <w:pPr>
      <w:keepNext/>
      <w:keepLines/>
      <w:spacing w:before="240" w:after="0"/>
      <w:ind w:firstLine="567"/>
      <w:outlineLvl w:val="0"/>
    </w:pPr>
    <w:rPr>
      <w:rFonts w:eastAsiaTheme="majorEastAsia" w:cstheme="majorBidi"/>
      <w:b/>
      <w:caps/>
      <w:color w:val="034427"/>
      <w:sz w:val="24"/>
      <w:szCs w:val="32"/>
    </w:rPr>
  </w:style>
  <w:style w:type="paragraph" w:styleId="Heading2">
    <w:name w:val="heading 2"/>
    <w:aliases w:val="Heading 2 no number"/>
    <w:basedOn w:val="Heading3"/>
    <w:next w:val="Normal"/>
    <w:link w:val="Heading2Char"/>
    <w:uiPriority w:val="99"/>
    <w:semiHidden/>
    <w:locked/>
    <w:rsid w:val="0007355F"/>
    <w:pPr>
      <w:numPr>
        <w:ilvl w:val="0"/>
        <w:numId w:val="0"/>
      </w:numPr>
      <w:outlineLvl w:val="1"/>
    </w:pPr>
    <w:rPr>
      <w:rFonts w:cs="Open Sans"/>
      <w:b/>
      <w:bCs/>
      <w:color w:val="808080"/>
      <w:lang w:val="en-IE"/>
    </w:rPr>
  </w:style>
  <w:style w:type="paragraph" w:styleId="Heading3">
    <w:name w:val="heading 3"/>
    <w:basedOn w:val="Normal"/>
    <w:next w:val="Normal"/>
    <w:link w:val="Heading3Char"/>
    <w:uiPriority w:val="9"/>
    <w:unhideWhenUsed/>
    <w:qFormat/>
    <w:rsid w:val="00154290"/>
    <w:pPr>
      <w:keepNext/>
      <w:keepLines/>
      <w:numPr>
        <w:ilvl w:val="2"/>
        <w:numId w:val="1"/>
      </w:numPr>
      <w:spacing w:before="240"/>
      <w:outlineLvl w:val="2"/>
    </w:pPr>
    <w:rPr>
      <w:rFonts w:eastAsiaTheme="minorEastAsia" w:cstheme="majorBidi"/>
      <w:color w:val="5A5A5A" w:themeColor="text1" w:themeTint="A5"/>
      <w:spacing w:val="15"/>
    </w:rPr>
  </w:style>
  <w:style w:type="paragraph" w:styleId="Heading4">
    <w:name w:val="heading 4"/>
    <w:basedOn w:val="Normal"/>
    <w:next w:val="Normal"/>
    <w:link w:val="Heading4Char"/>
    <w:uiPriority w:val="9"/>
    <w:unhideWhenUsed/>
    <w:locked/>
    <w:rsid w:val="00BC7E48"/>
    <w:pPr>
      <w:keepNext/>
      <w:keepLines/>
      <w:spacing w:before="40" w:after="0"/>
      <w:outlineLvl w:val="3"/>
    </w:pPr>
    <w:rPr>
      <w:rFonts w:eastAsiaTheme="majorEastAsia"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746229"/>
    <w:pPr>
      <w:tabs>
        <w:tab w:val="center" w:pos="4513"/>
        <w:tab w:val="right" w:pos="9026"/>
      </w:tabs>
      <w:spacing w:after="0"/>
    </w:pPr>
    <w:rPr>
      <w:i/>
      <w:sz w:val="22"/>
    </w:rPr>
  </w:style>
  <w:style w:type="character" w:customStyle="1" w:styleId="HeaderChar">
    <w:name w:val="Header Char"/>
    <w:basedOn w:val="DefaultParagraphFont"/>
    <w:link w:val="Header"/>
    <w:uiPriority w:val="99"/>
    <w:rsid w:val="00746229"/>
    <w:rPr>
      <w:rFonts w:ascii="Open Sans" w:eastAsia="Times New Roman" w:hAnsi="Open Sans" w:cs="Times New Roman"/>
      <w:i/>
      <w:szCs w:val="24"/>
      <w:lang w:val="en-US"/>
    </w:rPr>
  </w:style>
  <w:style w:type="paragraph" w:customStyle="1" w:styleId="Heading2bullet">
    <w:name w:val="Heading 2 bullet"/>
    <w:basedOn w:val="Heading2"/>
    <w:qFormat/>
    <w:rsid w:val="0051327F"/>
    <w:pPr>
      <w:numPr>
        <w:ilvl w:val="1"/>
        <w:numId w:val="1"/>
      </w:numPr>
    </w:pPr>
  </w:style>
  <w:style w:type="paragraph" w:customStyle="1" w:styleId="Heading1bullet">
    <w:name w:val="Heading 1 bullet"/>
    <w:basedOn w:val="Heading1"/>
    <w:next w:val="Normal"/>
    <w:link w:val="Heading1bulletChar"/>
    <w:qFormat/>
    <w:rsid w:val="004B2DE9"/>
    <w:pPr>
      <w:numPr>
        <w:numId w:val="1"/>
      </w:numPr>
      <w:spacing w:after="160"/>
    </w:pPr>
    <w:rPr>
      <w:rFonts w:eastAsiaTheme="minorEastAsia" w:cs="Open Sans"/>
      <w:bCs/>
      <w:spacing w:val="15"/>
      <w:szCs w:val="28"/>
      <w:lang w:val="en-IE"/>
    </w:rPr>
  </w:style>
  <w:style w:type="character" w:customStyle="1" w:styleId="Heading1bulletChar">
    <w:name w:val="Heading 1 bullet Char"/>
    <w:basedOn w:val="DefaultParagraphFont"/>
    <w:link w:val="Heading1bullet"/>
    <w:rsid w:val="00D9238A"/>
    <w:rPr>
      <w:rFonts w:eastAsiaTheme="minorEastAsia"/>
      <w:b/>
      <w:bCs/>
      <w:caps/>
      <w:color w:val="034427"/>
      <w:spacing w:val="15"/>
      <w:sz w:val="24"/>
      <w:szCs w:val="28"/>
      <w:lang w:val="en-IE"/>
    </w:rPr>
  </w:style>
  <w:style w:type="paragraph" w:customStyle="1" w:styleId="Body">
    <w:name w:val="Body"/>
    <w:basedOn w:val="Normal"/>
    <w:link w:val="BodyChar"/>
    <w:qFormat/>
    <w:rsid w:val="00B66D78"/>
    <w:rPr>
      <w:bCs/>
      <w:lang w:val="en-IE"/>
    </w:rPr>
  </w:style>
  <w:style w:type="table" w:styleId="TableGrid">
    <w:name w:val="Table Grid"/>
    <w:aliases w:val="Default Table Grey"/>
    <w:basedOn w:val="TableNormal"/>
    <w:uiPriority w:val="39"/>
    <w:locked/>
    <w:rsid w:val="007665E7"/>
    <w:pPr>
      <w:spacing w:after="0"/>
    </w:pPr>
    <w:rPr>
      <w:lang w:val="en-ZA"/>
    </w:rPr>
    <w:tblPr>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Pr>
    <w:tblStylePr w:type="firstRow">
      <w:pPr>
        <w:jc w:val="center"/>
      </w:pPr>
      <w:rPr>
        <w:rFonts w:ascii="Arial Nova" w:hAnsi="Arial Nova"/>
        <w:b/>
        <w:i w:val="0"/>
        <w:caps/>
        <w:smallCaps w:val="0"/>
        <w:strike w:val="0"/>
        <w:dstrike w:val="0"/>
        <w:vanish w:val="0"/>
        <w:color w:val="385623" w:themeColor="accent6" w:themeShade="80"/>
        <w:sz w:val="20"/>
        <w:vertAlign w:val="baseline"/>
      </w:rPr>
      <w:tblPr/>
      <w:tcPr>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cBorders>
        <w:shd w:val="clear" w:color="auto" w:fill="D9D9D9" w:themeFill="background1" w:themeFillShade="D9"/>
      </w:tcPr>
    </w:tblStylePr>
  </w:style>
  <w:style w:type="character" w:customStyle="1" w:styleId="BodyChar">
    <w:name w:val="Body Char"/>
    <w:basedOn w:val="DefaultParagraphFont"/>
    <w:link w:val="Body"/>
    <w:rsid w:val="00B66D78"/>
    <w:rPr>
      <w:bCs/>
      <w:szCs w:val="20"/>
      <w:lang w:val="en-IE"/>
    </w:rPr>
  </w:style>
  <w:style w:type="paragraph" w:styleId="FootnoteText">
    <w:name w:val="footnote text"/>
    <w:basedOn w:val="Normal"/>
    <w:link w:val="FootnoteTextChar"/>
    <w:uiPriority w:val="99"/>
    <w:unhideWhenUsed/>
    <w:rsid w:val="005B5D3F"/>
    <w:rPr>
      <w:sz w:val="16"/>
    </w:rPr>
  </w:style>
  <w:style w:type="character" w:customStyle="1" w:styleId="FootnoteTextChar">
    <w:name w:val="Footnote Text Char"/>
    <w:basedOn w:val="DefaultParagraphFont"/>
    <w:link w:val="FootnoteText"/>
    <w:uiPriority w:val="99"/>
    <w:qFormat/>
    <w:rsid w:val="005B5D3F"/>
    <w:rPr>
      <w:rFonts w:ascii="Open Sans" w:eastAsia="Times New Roman" w:hAnsi="Open Sans" w:cs="Times New Roman"/>
      <w:sz w:val="16"/>
      <w:szCs w:val="20"/>
      <w:lang w:val="en-US"/>
    </w:rPr>
  </w:style>
  <w:style w:type="character" w:styleId="FootnoteReference">
    <w:name w:val="footnote reference"/>
    <w:aliases w:val="ftref,fr"/>
    <w:basedOn w:val="DefaultParagraphFont"/>
    <w:uiPriority w:val="99"/>
    <w:unhideWhenUsed/>
    <w:qFormat/>
    <w:rsid w:val="00561DCB"/>
    <w:rPr>
      <w:vertAlign w:val="superscript"/>
    </w:rPr>
  </w:style>
  <w:style w:type="character" w:customStyle="1" w:styleId="Heading1Char">
    <w:name w:val="Heading 1 Char"/>
    <w:basedOn w:val="DefaultParagraphFont"/>
    <w:link w:val="Heading1"/>
    <w:uiPriority w:val="9"/>
    <w:rsid w:val="00584EAA"/>
    <w:rPr>
      <w:rFonts w:eastAsiaTheme="majorEastAsia" w:cstheme="majorBidi"/>
      <w:b/>
      <w:caps/>
      <w:color w:val="034427"/>
      <w:sz w:val="24"/>
      <w:szCs w:val="32"/>
    </w:rPr>
  </w:style>
  <w:style w:type="paragraph" w:customStyle="1" w:styleId="Default">
    <w:name w:val="Default"/>
    <w:unhideWhenUsed/>
    <w:locked/>
    <w:rsid w:val="00A47C3A"/>
    <w:pPr>
      <w:autoSpaceDE w:val="0"/>
      <w:autoSpaceDN w:val="0"/>
      <w:adjustRightInd w:val="0"/>
      <w:spacing w:after="0"/>
    </w:pPr>
    <w:rPr>
      <w:rFonts w:cs="Georgia"/>
      <w:color w:val="000000"/>
      <w:lang w:val="pt-BR"/>
    </w:rPr>
  </w:style>
  <w:style w:type="character" w:styleId="Hyperlink">
    <w:name w:val="Hyperlink"/>
    <w:basedOn w:val="DefaultParagraphFont"/>
    <w:uiPriority w:val="99"/>
    <w:unhideWhenUsed/>
    <w:locked/>
    <w:rsid w:val="0003082A"/>
    <w:rPr>
      <w:color w:val="0563C1" w:themeColor="hyperlink"/>
      <w:u w:val="single"/>
    </w:rPr>
  </w:style>
  <w:style w:type="paragraph" w:customStyle="1" w:styleId="Pa4">
    <w:name w:val="Pa4"/>
    <w:basedOn w:val="Default"/>
    <w:next w:val="Default"/>
    <w:uiPriority w:val="99"/>
    <w:semiHidden/>
    <w:locked/>
    <w:rsid w:val="00726550"/>
    <w:pPr>
      <w:spacing w:line="201" w:lineRule="atLeast"/>
    </w:pPr>
    <w:rPr>
      <w:rFonts w:ascii="Roboto Light" w:hAnsi="Roboto Light" w:cstheme="minorBidi"/>
      <w:color w:val="auto"/>
    </w:rPr>
  </w:style>
  <w:style w:type="paragraph" w:styleId="TOCHeading">
    <w:name w:val="TOC Heading"/>
    <w:basedOn w:val="Heading1"/>
    <w:next w:val="Normal"/>
    <w:uiPriority w:val="39"/>
    <w:unhideWhenUsed/>
    <w:qFormat/>
    <w:rsid w:val="00822C99"/>
    <w:pPr>
      <w:outlineLvl w:val="9"/>
    </w:pPr>
    <w:rPr>
      <w:sz w:val="30"/>
    </w:rPr>
  </w:style>
  <w:style w:type="paragraph" w:styleId="TOC1">
    <w:name w:val="toc 1"/>
    <w:basedOn w:val="Normal"/>
    <w:next w:val="Normal"/>
    <w:uiPriority w:val="39"/>
    <w:unhideWhenUsed/>
    <w:qFormat/>
    <w:rsid w:val="00FE7E04"/>
    <w:pPr>
      <w:tabs>
        <w:tab w:val="right" w:leader="dot" w:pos="9016"/>
      </w:tabs>
      <w:spacing w:before="240"/>
    </w:pPr>
    <w:rPr>
      <w:b/>
      <w:bCs/>
      <w:caps/>
      <w:noProof/>
      <w:color w:val="034427"/>
    </w:rPr>
  </w:style>
  <w:style w:type="paragraph" w:styleId="TOC2">
    <w:name w:val="toc 2"/>
    <w:basedOn w:val="Normal"/>
    <w:next w:val="Normal"/>
    <w:autoRedefine/>
    <w:uiPriority w:val="39"/>
    <w:unhideWhenUsed/>
    <w:rsid w:val="00AE3966"/>
    <w:pPr>
      <w:tabs>
        <w:tab w:val="right" w:leader="dot" w:pos="9016"/>
      </w:tabs>
      <w:ind w:left="220"/>
    </w:pPr>
    <w:rPr>
      <w:rFonts w:eastAsiaTheme="minorEastAsia"/>
      <w:noProof/>
    </w:rPr>
  </w:style>
  <w:style w:type="table" w:styleId="PlainTable4">
    <w:name w:val="Plain Table 4"/>
    <w:basedOn w:val="TableNormal"/>
    <w:uiPriority w:val="44"/>
    <w:locked/>
    <w:rsid w:val="00D25D1E"/>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alloonText">
    <w:name w:val="Balloon Text"/>
    <w:basedOn w:val="Normal"/>
    <w:link w:val="BalloonTextChar"/>
    <w:uiPriority w:val="99"/>
    <w:semiHidden/>
    <w:unhideWhenUsed/>
    <w:locked/>
    <w:rsid w:val="00DC2B50"/>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2B50"/>
    <w:rPr>
      <w:rFonts w:ascii="Segoe UI" w:eastAsia="Times New Roman" w:hAnsi="Segoe UI" w:cs="Segoe UI"/>
      <w:sz w:val="18"/>
      <w:szCs w:val="18"/>
      <w:lang w:val="en-US"/>
    </w:rPr>
  </w:style>
  <w:style w:type="character" w:styleId="CommentReference">
    <w:name w:val="annotation reference"/>
    <w:basedOn w:val="DefaultParagraphFont"/>
    <w:uiPriority w:val="99"/>
    <w:semiHidden/>
    <w:unhideWhenUsed/>
    <w:rsid w:val="00C15236"/>
    <w:rPr>
      <w:sz w:val="16"/>
      <w:szCs w:val="16"/>
    </w:rPr>
  </w:style>
  <w:style w:type="character" w:customStyle="1" w:styleId="Heading2Char">
    <w:name w:val="Heading 2 Char"/>
    <w:aliases w:val="Heading 2 no number Char"/>
    <w:basedOn w:val="DefaultParagraphFont"/>
    <w:link w:val="Heading2"/>
    <w:uiPriority w:val="99"/>
    <w:semiHidden/>
    <w:rsid w:val="00406B32"/>
    <w:rPr>
      <w:rFonts w:eastAsiaTheme="minorEastAsia" w:cs="Open Sans"/>
      <w:b/>
      <w:bCs/>
      <w:color w:val="808080"/>
      <w:spacing w:val="15"/>
      <w:szCs w:val="20"/>
      <w:lang w:val="en-IE"/>
    </w:rPr>
  </w:style>
  <w:style w:type="paragraph" w:styleId="TOC3">
    <w:name w:val="toc 3"/>
    <w:basedOn w:val="Normal"/>
    <w:next w:val="Normal"/>
    <w:autoRedefine/>
    <w:uiPriority w:val="39"/>
    <w:unhideWhenUsed/>
    <w:rsid w:val="00A47C3A"/>
    <w:pPr>
      <w:tabs>
        <w:tab w:val="left" w:pos="1320"/>
        <w:tab w:val="right" w:leader="dot" w:pos="9016"/>
      </w:tabs>
      <w:ind w:left="480"/>
    </w:pPr>
    <w:rPr>
      <w:sz w:val="18"/>
    </w:rPr>
  </w:style>
  <w:style w:type="character" w:customStyle="1" w:styleId="Heading3Char">
    <w:name w:val="Heading 3 Char"/>
    <w:basedOn w:val="DefaultParagraphFont"/>
    <w:link w:val="Heading3"/>
    <w:uiPriority w:val="9"/>
    <w:rsid w:val="00154290"/>
    <w:rPr>
      <w:rFonts w:eastAsiaTheme="minorEastAsia" w:cstheme="majorBidi"/>
      <w:color w:val="5A5A5A" w:themeColor="text1" w:themeTint="A5"/>
      <w:spacing w:val="15"/>
    </w:rPr>
  </w:style>
  <w:style w:type="paragraph" w:styleId="Caption">
    <w:name w:val="caption"/>
    <w:basedOn w:val="Normal"/>
    <w:next w:val="Normal"/>
    <w:uiPriority w:val="35"/>
    <w:unhideWhenUsed/>
    <w:qFormat/>
    <w:rsid w:val="00746229"/>
    <w:pPr>
      <w:spacing w:after="200"/>
    </w:pPr>
    <w:rPr>
      <w:i/>
      <w:iCs/>
      <w:color w:val="034427"/>
      <w:sz w:val="18"/>
      <w:szCs w:val="18"/>
    </w:rPr>
  </w:style>
  <w:style w:type="character" w:customStyle="1" w:styleId="Heading4Char">
    <w:name w:val="Heading 4 Char"/>
    <w:basedOn w:val="DefaultParagraphFont"/>
    <w:link w:val="Heading4"/>
    <w:uiPriority w:val="9"/>
    <w:rsid w:val="00BC7E48"/>
    <w:rPr>
      <w:rFonts w:eastAsiaTheme="majorEastAsia" w:cstheme="majorBidi"/>
      <w:i/>
      <w:iCs/>
      <w:color w:val="2F5496" w:themeColor="accent1" w:themeShade="BF"/>
    </w:rPr>
  </w:style>
  <w:style w:type="paragraph" w:styleId="TOC4">
    <w:name w:val="toc 4"/>
    <w:basedOn w:val="Normal"/>
    <w:next w:val="Normal"/>
    <w:autoRedefine/>
    <w:uiPriority w:val="39"/>
    <w:semiHidden/>
    <w:unhideWhenUsed/>
    <w:locked/>
    <w:rsid w:val="00647FAD"/>
    <w:pPr>
      <w:ind w:left="720"/>
    </w:pPr>
  </w:style>
  <w:style w:type="paragraph" w:customStyle="1" w:styleId="CATabletext10">
    <w:name w:val="CA Table text 10"/>
    <w:basedOn w:val="Normal"/>
    <w:qFormat/>
    <w:rsid w:val="008B168C"/>
    <w:pPr>
      <w:spacing w:before="0" w:after="0"/>
    </w:pPr>
  </w:style>
  <w:style w:type="paragraph" w:customStyle="1" w:styleId="Bulletprimary">
    <w:name w:val="Bullet primary"/>
    <w:basedOn w:val="Body"/>
    <w:qFormat/>
    <w:rsid w:val="00EC6EE6"/>
    <w:pPr>
      <w:numPr>
        <w:numId w:val="4"/>
      </w:numPr>
    </w:pPr>
  </w:style>
  <w:style w:type="paragraph" w:customStyle="1" w:styleId="Bodysmaller">
    <w:name w:val="Body smaller"/>
    <w:basedOn w:val="Normal"/>
    <w:qFormat/>
    <w:rsid w:val="00B6717A"/>
    <w:rPr>
      <w:bCs/>
      <w:sz w:val="17"/>
      <w:szCs w:val="17"/>
      <w:lang w:val="en-IE"/>
    </w:rPr>
  </w:style>
  <w:style w:type="paragraph" w:customStyle="1" w:styleId="Bulletsecondary">
    <w:name w:val="Bullet secondary"/>
    <w:basedOn w:val="Bulletprimary"/>
    <w:qFormat/>
    <w:rsid w:val="00EC6EE6"/>
    <w:pPr>
      <w:numPr>
        <w:numId w:val="5"/>
      </w:numPr>
    </w:pPr>
  </w:style>
  <w:style w:type="paragraph" w:customStyle="1" w:styleId="Bodybold">
    <w:name w:val="Body bold"/>
    <w:basedOn w:val="Body"/>
    <w:link w:val="BodyboldChar"/>
    <w:qFormat/>
    <w:rsid w:val="00DF12EE"/>
    <w:rPr>
      <w:b/>
    </w:rPr>
  </w:style>
  <w:style w:type="paragraph" w:customStyle="1" w:styleId="Bodyitalic">
    <w:name w:val="Body italic"/>
    <w:basedOn w:val="Bodybold"/>
    <w:link w:val="BodyitalicChar"/>
    <w:qFormat/>
    <w:rsid w:val="00DF12EE"/>
    <w:rPr>
      <w:b w:val="0"/>
      <w:i/>
    </w:rPr>
  </w:style>
  <w:style w:type="character" w:customStyle="1" w:styleId="BodyboldChar">
    <w:name w:val="Body bold Char"/>
    <w:basedOn w:val="BodyChar"/>
    <w:link w:val="Bodybold"/>
    <w:rsid w:val="00DF12EE"/>
    <w:rPr>
      <w:rFonts w:ascii="Open Sans" w:eastAsia="Times New Roman" w:hAnsi="Open Sans" w:cs="Times New Roman"/>
      <w:b/>
      <w:bCs/>
      <w:sz w:val="20"/>
      <w:szCs w:val="20"/>
      <w:lang w:val="en-IE"/>
    </w:rPr>
  </w:style>
  <w:style w:type="paragraph" w:customStyle="1" w:styleId="Bodybolditalic">
    <w:name w:val="Body bold italic"/>
    <w:basedOn w:val="Bodyitalic"/>
    <w:link w:val="BodybolditalicChar"/>
    <w:qFormat/>
    <w:rsid w:val="00DF12EE"/>
    <w:rPr>
      <w:b/>
    </w:rPr>
  </w:style>
  <w:style w:type="character" w:customStyle="1" w:styleId="BodyitalicChar">
    <w:name w:val="Body italic Char"/>
    <w:basedOn w:val="BodyboldChar"/>
    <w:link w:val="Bodyitalic"/>
    <w:rsid w:val="00DF12EE"/>
    <w:rPr>
      <w:rFonts w:ascii="Open Sans" w:eastAsia="Times New Roman" w:hAnsi="Open Sans" w:cs="Times New Roman"/>
      <w:b w:val="0"/>
      <w:bCs/>
      <w:i/>
      <w:sz w:val="20"/>
      <w:szCs w:val="20"/>
      <w:lang w:val="en-IE"/>
    </w:rPr>
  </w:style>
  <w:style w:type="character" w:customStyle="1" w:styleId="BodybolditalicChar">
    <w:name w:val="Body bold italic Char"/>
    <w:basedOn w:val="BodyitalicChar"/>
    <w:link w:val="Bodybolditalic"/>
    <w:rsid w:val="00DF12EE"/>
    <w:rPr>
      <w:rFonts w:ascii="Open Sans" w:eastAsia="Times New Roman" w:hAnsi="Open Sans" w:cs="Times New Roman"/>
      <w:b/>
      <w:bCs/>
      <w:i/>
      <w:sz w:val="20"/>
      <w:szCs w:val="20"/>
      <w:lang w:val="en-IE"/>
    </w:rPr>
  </w:style>
  <w:style w:type="character" w:customStyle="1" w:styleId="Wordbold">
    <w:name w:val="Word bold"/>
    <w:basedOn w:val="DefaultParagraphFont"/>
    <w:uiPriority w:val="1"/>
    <w:qFormat/>
    <w:rsid w:val="005B5D3F"/>
    <w:rPr>
      <w:rFonts w:ascii="Open Sans" w:hAnsi="Open Sans"/>
      <w:b/>
      <w:sz w:val="20"/>
    </w:rPr>
  </w:style>
  <w:style w:type="character" w:customStyle="1" w:styleId="Worditalic">
    <w:name w:val="Word italic"/>
    <w:basedOn w:val="Wordbold"/>
    <w:uiPriority w:val="1"/>
    <w:qFormat/>
    <w:rsid w:val="00B54925"/>
    <w:rPr>
      <w:rFonts w:ascii="Open Sans" w:hAnsi="Open Sans"/>
      <w:b w:val="0"/>
      <w:i/>
      <w:sz w:val="20"/>
    </w:rPr>
  </w:style>
  <w:style w:type="character" w:customStyle="1" w:styleId="Wordbolditalic">
    <w:name w:val="Word bold italic"/>
    <w:basedOn w:val="Worditalic"/>
    <w:uiPriority w:val="1"/>
    <w:qFormat/>
    <w:rsid w:val="00B54925"/>
    <w:rPr>
      <w:rFonts w:ascii="Open Sans" w:hAnsi="Open Sans"/>
      <w:b/>
      <w:i/>
      <w:sz w:val="20"/>
    </w:rPr>
  </w:style>
  <w:style w:type="paragraph" w:customStyle="1" w:styleId="Bulletnumbers">
    <w:name w:val="Bullet numbers"/>
    <w:basedOn w:val="Normal"/>
    <w:qFormat/>
    <w:rsid w:val="002E3131"/>
    <w:pPr>
      <w:numPr>
        <w:numId w:val="6"/>
      </w:numPr>
    </w:pPr>
    <w:rPr>
      <w:color w:val="000000" w:themeColor="text1"/>
    </w:rPr>
  </w:style>
  <w:style w:type="paragraph" w:customStyle="1" w:styleId="Bulletletters">
    <w:name w:val="Bullet letters"/>
    <w:basedOn w:val="Bulletnumbers"/>
    <w:qFormat/>
    <w:rsid w:val="00746229"/>
    <w:pPr>
      <w:numPr>
        <w:numId w:val="7"/>
      </w:numPr>
    </w:pPr>
  </w:style>
  <w:style w:type="character" w:customStyle="1" w:styleId="Wordboldgreen">
    <w:name w:val="Word bold green"/>
    <w:basedOn w:val="Wordbold"/>
    <w:uiPriority w:val="1"/>
    <w:qFormat/>
    <w:rsid w:val="00746229"/>
    <w:rPr>
      <w:rFonts w:ascii="Open Sans" w:hAnsi="Open Sans"/>
      <w:b/>
      <w:noProof/>
      <w:color w:val="034427"/>
      <w:sz w:val="20"/>
    </w:rPr>
  </w:style>
  <w:style w:type="paragraph" w:customStyle="1" w:styleId="CAPcenter">
    <w:name w:val="CAP center"/>
    <w:basedOn w:val="Bodybold"/>
    <w:qFormat/>
    <w:rsid w:val="002E3131"/>
    <w:pPr>
      <w:ind w:left="98"/>
      <w:jc w:val="center"/>
    </w:pPr>
    <w:rPr>
      <w:caps/>
      <w:color w:val="034427"/>
    </w:rPr>
  </w:style>
  <w:style w:type="character" w:styleId="PlaceholderText">
    <w:name w:val="Placeholder Text"/>
    <w:basedOn w:val="DefaultParagraphFont"/>
    <w:uiPriority w:val="99"/>
    <w:semiHidden/>
    <w:locked/>
    <w:rsid w:val="00E33C51"/>
    <w:rPr>
      <w:color w:val="808080"/>
    </w:rPr>
  </w:style>
  <w:style w:type="paragraph" w:customStyle="1" w:styleId="Bodygreenitaliccentered">
    <w:name w:val="Body green italic centered"/>
    <w:basedOn w:val="Normal"/>
    <w:qFormat/>
    <w:rsid w:val="00DE4332"/>
    <w:pPr>
      <w:spacing w:after="0"/>
      <w:jc w:val="center"/>
    </w:pPr>
    <w:rPr>
      <w:i/>
      <w:iCs/>
      <w:color w:val="034427"/>
      <w:sz w:val="18"/>
      <w:szCs w:val="18"/>
    </w:rPr>
  </w:style>
  <w:style w:type="paragraph" w:customStyle="1" w:styleId="CATabletext85">
    <w:name w:val="CA Table text 8.5"/>
    <w:basedOn w:val="Normal"/>
    <w:qFormat/>
    <w:rsid w:val="00524120"/>
    <w:pPr>
      <w:framePr w:hSpace="141" w:wrap="around" w:vAnchor="text" w:hAnchor="margin" w:y="145"/>
      <w:spacing w:before="40" w:after="40"/>
      <w:ind w:left="118"/>
    </w:pPr>
    <w:rPr>
      <w:rFonts w:eastAsiaTheme="minorEastAsia"/>
      <w:bCs/>
      <w:sz w:val="17"/>
      <w:szCs w:val="17"/>
      <w:lang w:val="en-IE"/>
    </w:rPr>
  </w:style>
  <w:style w:type="table" w:styleId="GridTable5Dark">
    <w:name w:val="Grid Table 5 Dark"/>
    <w:basedOn w:val="TableNormal"/>
    <w:uiPriority w:val="50"/>
    <w:locked/>
    <w:rsid w:val="00D25D1E"/>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MediumShading2-Accent5">
    <w:name w:val="Medium Shading 2 Accent 5"/>
    <w:basedOn w:val="TableNormal"/>
    <w:uiPriority w:val="64"/>
    <w:semiHidden/>
    <w:unhideWhenUsed/>
    <w:locked/>
    <w:rsid w:val="00AD041F"/>
    <w:pPr>
      <w:spacing w:before="0"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CommentSubject">
    <w:name w:val="annotation subject"/>
    <w:basedOn w:val="Normal"/>
    <w:next w:val="Normal"/>
    <w:link w:val="CommentSubjectChar"/>
    <w:uiPriority w:val="99"/>
    <w:semiHidden/>
    <w:unhideWhenUsed/>
    <w:rsid w:val="0059513D"/>
    <w:rPr>
      <w:b/>
      <w:bCs/>
    </w:rPr>
  </w:style>
  <w:style w:type="character" w:customStyle="1" w:styleId="CommentSubjectChar">
    <w:name w:val="Comment Subject Char"/>
    <w:basedOn w:val="DefaultParagraphFont"/>
    <w:link w:val="CommentSubject"/>
    <w:uiPriority w:val="99"/>
    <w:semiHidden/>
    <w:rsid w:val="0059513D"/>
    <w:rPr>
      <w:rFonts w:ascii="Arial" w:eastAsia="Times New Roman" w:hAnsi="Arial" w:cs="Times New Roman"/>
      <w:b/>
      <w:bCs/>
      <w:szCs w:val="20"/>
      <w:lang w:val="en-US"/>
    </w:rPr>
  </w:style>
  <w:style w:type="paragraph" w:styleId="Revision">
    <w:name w:val="Revision"/>
    <w:hidden/>
    <w:uiPriority w:val="99"/>
    <w:semiHidden/>
    <w:rsid w:val="00F00099"/>
    <w:pPr>
      <w:spacing w:before="0" w:after="0"/>
    </w:pPr>
  </w:style>
  <w:style w:type="paragraph" w:customStyle="1" w:styleId="GreenHeading1">
    <w:name w:val="&amp;Green Heading 1"/>
    <w:basedOn w:val="Heading1"/>
    <w:next w:val="Normal"/>
    <w:link w:val="GreenHeading1Char"/>
    <w:autoRedefine/>
    <w:qFormat/>
    <w:rsid w:val="000A0F4A"/>
    <w:pPr>
      <w:spacing w:before="0" w:after="160"/>
      <w:ind w:left="360" w:hanging="360"/>
    </w:pPr>
    <w:rPr>
      <w:rFonts w:eastAsiaTheme="minorEastAsia" w:cs="Open Sans"/>
      <w:bCs/>
      <w:caps w:val="0"/>
      <w:spacing w:val="15"/>
      <w:szCs w:val="28"/>
      <w:lang w:val="en-IE"/>
    </w:rPr>
  </w:style>
  <w:style w:type="character" w:customStyle="1" w:styleId="GreenHeading1Char">
    <w:name w:val="&amp;Green Heading 1 Char"/>
    <w:basedOn w:val="DefaultParagraphFont"/>
    <w:link w:val="GreenHeading1"/>
    <w:rsid w:val="000A0F4A"/>
    <w:rPr>
      <w:rFonts w:eastAsiaTheme="minorEastAsia"/>
      <w:b/>
      <w:bCs/>
      <w:color w:val="034427"/>
      <w:spacing w:val="15"/>
      <w:sz w:val="24"/>
      <w:szCs w:val="28"/>
      <w:lang w:val="en-IE"/>
    </w:rPr>
  </w:style>
  <w:style w:type="paragraph" w:customStyle="1" w:styleId="Guidance">
    <w:name w:val="Guidance"/>
    <w:basedOn w:val="Normal"/>
    <w:link w:val="GuidanceChar"/>
    <w:qFormat/>
    <w:rsid w:val="004B5285"/>
    <w:pPr>
      <w:ind w:left="567"/>
    </w:pPr>
    <w:rPr>
      <w:iCs/>
      <w:color w:val="1F4E79" w:themeColor="accent5" w:themeShade="80"/>
      <w:sz w:val="18"/>
      <w:szCs w:val="18"/>
      <w:lang w:val="en-IE"/>
    </w:rPr>
  </w:style>
  <w:style w:type="character" w:customStyle="1" w:styleId="GuidanceChar">
    <w:name w:val="Guidance Char"/>
    <w:basedOn w:val="DefaultParagraphFont"/>
    <w:link w:val="Guidance"/>
    <w:rsid w:val="004B5285"/>
    <w:rPr>
      <w:iCs/>
      <w:color w:val="1F4E79" w:themeColor="accent5" w:themeShade="80"/>
      <w:sz w:val="18"/>
      <w:szCs w:val="18"/>
      <w:lang w:val="en-IE"/>
    </w:rPr>
  </w:style>
  <w:style w:type="paragraph" w:styleId="Footer">
    <w:name w:val="footer"/>
    <w:basedOn w:val="Normal"/>
    <w:link w:val="FooterChar"/>
    <w:uiPriority w:val="99"/>
    <w:unhideWhenUsed/>
    <w:qFormat/>
    <w:rsid w:val="0066033A"/>
    <w:pPr>
      <w:tabs>
        <w:tab w:val="center" w:pos="4513"/>
        <w:tab w:val="right" w:pos="9026"/>
      </w:tabs>
      <w:spacing w:before="0" w:after="0"/>
    </w:pPr>
  </w:style>
  <w:style w:type="character" w:customStyle="1" w:styleId="FooterChar">
    <w:name w:val="Footer Char"/>
    <w:basedOn w:val="DefaultParagraphFont"/>
    <w:link w:val="Footer"/>
    <w:uiPriority w:val="99"/>
    <w:rsid w:val="0066033A"/>
  </w:style>
  <w:style w:type="paragraph" w:customStyle="1" w:styleId="Heading2simple">
    <w:name w:val="Heading 2 simple"/>
    <w:basedOn w:val="Heading2bullet"/>
    <w:qFormat/>
    <w:rsid w:val="00C86821"/>
    <w:pPr>
      <w:numPr>
        <w:ilvl w:val="0"/>
        <w:numId w:val="0"/>
      </w:numPr>
    </w:pPr>
  </w:style>
  <w:style w:type="table" w:customStyle="1" w:styleId="TableGreen">
    <w:name w:val="Table Green"/>
    <w:basedOn w:val="TableNormal"/>
    <w:uiPriority w:val="99"/>
    <w:rsid w:val="00974EBD"/>
    <w:pPr>
      <w:spacing w:before="0" w:after="0"/>
      <w:jc w:val="center"/>
    </w:pPr>
    <w:tblPr>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Pr>
    <w:tcPr>
      <w:vAlign w:val="center"/>
    </w:tcPr>
    <w:tblStylePr w:type="firstRow">
      <w:pPr>
        <w:wordWrap/>
        <w:spacing w:beforeLines="0" w:before="60" w:beforeAutospacing="0" w:afterLines="0" w:after="60" w:afterAutospacing="0" w:line="240" w:lineRule="auto"/>
        <w:jc w:val="center"/>
      </w:pPr>
      <w:rPr>
        <w:rFonts w:ascii="Arial Nova" w:hAnsi="Arial Nova"/>
        <w:b/>
        <w:caps/>
        <w:smallCaps w:val="0"/>
        <w:color w:val="FFFFFF" w:themeColor="background1"/>
        <w:sz w:val="20"/>
      </w:rPr>
      <w:tblPr/>
      <w:tcPr>
        <w:shd w:val="clear" w:color="auto" w:fill="385623" w:themeFill="accent6" w:themeFillShade="80"/>
      </w:tcPr>
    </w:tblStylePr>
    <w:tblStylePr w:type="lastRow">
      <w:rPr>
        <w:rFonts w:ascii="Arial Nova" w:hAnsi="Arial Nova"/>
        <w:sz w:val="20"/>
      </w:rPr>
    </w:tblStylePr>
  </w:style>
  <w:style w:type="paragraph" w:customStyle="1" w:styleId="SailSubHeading1">
    <w:name w:val="Sail Sub Heading 1"/>
    <w:basedOn w:val="Normal"/>
    <w:next w:val="Normal"/>
    <w:link w:val="SailSubHeading1Char"/>
    <w:qFormat/>
    <w:rsid w:val="009016D8"/>
    <w:pPr>
      <w:numPr>
        <w:ilvl w:val="1"/>
      </w:numPr>
      <w:spacing w:before="0" w:after="160"/>
    </w:pPr>
    <w:rPr>
      <w:rFonts w:eastAsiaTheme="minorEastAsia"/>
      <w:b/>
      <w:bCs/>
      <w:color w:val="73BF44"/>
      <w:spacing w:val="15"/>
      <w:sz w:val="22"/>
      <w:lang w:val="en-IE"/>
    </w:rPr>
  </w:style>
  <w:style w:type="character" w:customStyle="1" w:styleId="SailSubHeading1Char">
    <w:name w:val="Sail Sub Heading 1 Char"/>
    <w:basedOn w:val="DefaultParagraphFont"/>
    <w:link w:val="SailSubHeading1"/>
    <w:rsid w:val="009016D8"/>
    <w:rPr>
      <w:rFonts w:eastAsiaTheme="minorEastAsia"/>
      <w:b/>
      <w:bCs/>
      <w:color w:val="73BF44"/>
      <w:spacing w:val="15"/>
      <w:sz w:val="22"/>
      <w:lang w:val="en-IE"/>
    </w:rPr>
  </w:style>
  <w:style w:type="table" w:styleId="TableGridLight">
    <w:name w:val="Grid Table Light"/>
    <w:aliases w:val="Default smaller"/>
    <w:basedOn w:val="TableNormal"/>
    <w:uiPriority w:val="40"/>
    <w:locked/>
    <w:rsid w:val="00FF1967"/>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rFonts w:ascii="Arial Nova" w:hAnsi="Arial Nova"/>
        <w:sz w:val="20"/>
      </w:rPr>
    </w:tblStylePr>
  </w:style>
  <w:style w:type="paragraph" w:styleId="CommentText">
    <w:name w:val="annotation text"/>
    <w:basedOn w:val="Normal"/>
    <w:link w:val="CommentTextChar"/>
    <w:uiPriority w:val="99"/>
    <w:unhideWhenUsed/>
    <w:rsid w:val="001852A9"/>
    <w:rPr>
      <w:szCs w:val="20"/>
    </w:rPr>
  </w:style>
  <w:style w:type="character" w:customStyle="1" w:styleId="CommentTextChar">
    <w:name w:val="Comment Text Char"/>
    <w:basedOn w:val="DefaultParagraphFont"/>
    <w:link w:val="CommentText"/>
    <w:uiPriority w:val="99"/>
    <w:rsid w:val="001852A9"/>
    <w:rPr>
      <w:szCs w:val="20"/>
    </w:rPr>
  </w:style>
  <w:style w:type="table" w:customStyle="1" w:styleId="TableGrid1">
    <w:name w:val="Table Grid1"/>
    <w:basedOn w:val="TableNormal"/>
    <w:next w:val="TableGrid"/>
    <w:uiPriority w:val="39"/>
    <w:rsid w:val="00417124"/>
    <w:pPr>
      <w:spacing w:before="0" w:after="0"/>
    </w:pPr>
    <w:rPr>
      <w:rFonts w:asciiTheme="minorHAnsi" w:hAnsiTheme="minorHAnsi" w:cstheme="minorBidi"/>
      <w:sz w:val="22"/>
      <w:szCs w:val="22"/>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Dot pt,Bullet Points,No Spacing1,List Paragraph Char Char Char,Indicator Text,Numbered Para 1,List Paragraph1,Bullet 1,MAIN CONTENT,List Paragraph12,OBC Bullet,F5 List Paragraph,Colorful List - Accent 11,Normal numbered,Bullet Style"/>
    <w:basedOn w:val="Normal"/>
    <w:link w:val="ListParagraphChar"/>
    <w:uiPriority w:val="34"/>
    <w:unhideWhenUsed/>
    <w:qFormat/>
    <w:locked/>
    <w:rsid w:val="00E6498D"/>
    <w:pPr>
      <w:ind w:left="720"/>
      <w:contextualSpacing/>
    </w:pPr>
  </w:style>
  <w:style w:type="character" w:customStyle="1" w:styleId="ListParagraphChar">
    <w:name w:val="List Paragraph Char"/>
    <w:aliases w:val="Dot pt Char,Bullet Points Char,No Spacing1 Char,List Paragraph Char Char Char Char,Indicator Text Char,Numbered Para 1 Char,List Paragraph1 Char,Bullet 1 Char,MAIN CONTENT Char,List Paragraph12 Char,OBC Bullet Char,Bullet Style Char"/>
    <w:link w:val="ListParagraph"/>
    <w:uiPriority w:val="34"/>
    <w:qFormat/>
    <w:locked/>
    <w:rsid w:val="008A2349"/>
  </w:style>
  <w:style w:type="character" w:styleId="UnresolvedMention">
    <w:name w:val="Unresolved Mention"/>
    <w:basedOn w:val="DefaultParagraphFont"/>
    <w:uiPriority w:val="99"/>
    <w:semiHidden/>
    <w:unhideWhenUsed/>
    <w:locked/>
    <w:rsid w:val="006418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17532">
      <w:bodyDiv w:val="1"/>
      <w:marLeft w:val="0"/>
      <w:marRight w:val="0"/>
      <w:marTop w:val="0"/>
      <w:marBottom w:val="0"/>
      <w:divBdr>
        <w:top w:val="none" w:sz="0" w:space="0" w:color="auto"/>
        <w:left w:val="none" w:sz="0" w:space="0" w:color="auto"/>
        <w:bottom w:val="none" w:sz="0" w:space="0" w:color="auto"/>
        <w:right w:val="none" w:sz="0" w:space="0" w:color="auto"/>
      </w:divBdr>
    </w:div>
    <w:div w:id="351296878">
      <w:bodyDiv w:val="1"/>
      <w:marLeft w:val="0"/>
      <w:marRight w:val="0"/>
      <w:marTop w:val="0"/>
      <w:marBottom w:val="0"/>
      <w:divBdr>
        <w:top w:val="none" w:sz="0" w:space="0" w:color="auto"/>
        <w:left w:val="none" w:sz="0" w:space="0" w:color="auto"/>
        <w:bottom w:val="none" w:sz="0" w:space="0" w:color="auto"/>
        <w:right w:val="none" w:sz="0" w:space="0" w:color="auto"/>
      </w:divBdr>
    </w:div>
    <w:div w:id="664020345">
      <w:bodyDiv w:val="1"/>
      <w:marLeft w:val="0"/>
      <w:marRight w:val="0"/>
      <w:marTop w:val="0"/>
      <w:marBottom w:val="0"/>
      <w:divBdr>
        <w:top w:val="none" w:sz="0" w:space="0" w:color="auto"/>
        <w:left w:val="none" w:sz="0" w:space="0" w:color="auto"/>
        <w:bottom w:val="none" w:sz="0" w:space="0" w:color="auto"/>
        <w:right w:val="none" w:sz="0" w:space="0" w:color="auto"/>
      </w:divBdr>
    </w:div>
    <w:div w:id="713429665">
      <w:bodyDiv w:val="1"/>
      <w:marLeft w:val="0"/>
      <w:marRight w:val="0"/>
      <w:marTop w:val="0"/>
      <w:marBottom w:val="0"/>
      <w:divBdr>
        <w:top w:val="none" w:sz="0" w:space="0" w:color="auto"/>
        <w:left w:val="none" w:sz="0" w:space="0" w:color="auto"/>
        <w:bottom w:val="none" w:sz="0" w:space="0" w:color="auto"/>
        <w:right w:val="none" w:sz="0" w:space="0" w:color="auto"/>
      </w:divBdr>
    </w:div>
    <w:div w:id="749892098">
      <w:bodyDiv w:val="1"/>
      <w:marLeft w:val="0"/>
      <w:marRight w:val="0"/>
      <w:marTop w:val="0"/>
      <w:marBottom w:val="0"/>
      <w:divBdr>
        <w:top w:val="none" w:sz="0" w:space="0" w:color="auto"/>
        <w:left w:val="none" w:sz="0" w:space="0" w:color="auto"/>
        <w:bottom w:val="none" w:sz="0" w:space="0" w:color="auto"/>
        <w:right w:val="none" w:sz="0" w:space="0" w:color="auto"/>
      </w:divBdr>
    </w:div>
    <w:div w:id="796340762">
      <w:bodyDiv w:val="1"/>
      <w:marLeft w:val="0"/>
      <w:marRight w:val="0"/>
      <w:marTop w:val="0"/>
      <w:marBottom w:val="0"/>
      <w:divBdr>
        <w:top w:val="none" w:sz="0" w:space="0" w:color="auto"/>
        <w:left w:val="none" w:sz="0" w:space="0" w:color="auto"/>
        <w:bottom w:val="none" w:sz="0" w:space="0" w:color="auto"/>
        <w:right w:val="none" w:sz="0" w:space="0" w:color="auto"/>
      </w:divBdr>
    </w:div>
    <w:div w:id="864636778">
      <w:bodyDiv w:val="1"/>
      <w:marLeft w:val="0"/>
      <w:marRight w:val="0"/>
      <w:marTop w:val="0"/>
      <w:marBottom w:val="0"/>
      <w:divBdr>
        <w:top w:val="none" w:sz="0" w:space="0" w:color="auto"/>
        <w:left w:val="none" w:sz="0" w:space="0" w:color="auto"/>
        <w:bottom w:val="none" w:sz="0" w:space="0" w:color="auto"/>
        <w:right w:val="none" w:sz="0" w:space="0" w:color="auto"/>
      </w:divBdr>
    </w:div>
    <w:div w:id="903636504">
      <w:bodyDiv w:val="1"/>
      <w:marLeft w:val="0"/>
      <w:marRight w:val="0"/>
      <w:marTop w:val="0"/>
      <w:marBottom w:val="0"/>
      <w:divBdr>
        <w:top w:val="none" w:sz="0" w:space="0" w:color="auto"/>
        <w:left w:val="none" w:sz="0" w:space="0" w:color="auto"/>
        <w:bottom w:val="none" w:sz="0" w:space="0" w:color="auto"/>
        <w:right w:val="none" w:sz="0" w:space="0" w:color="auto"/>
      </w:divBdr>
    </w:div>
    <w:div w:id="1087382303">
      <w:bodyDiv w:val="1"/>
      <w:marLeft w:val="0"/>
      <w:marRight w:val="0"/>
      <w:marTop w:val="0"/>
      <w:marBottom w:val="0"/>
      <w:divBdr>
        <w:top w:val="none" w:sz="0" w:space="0" w:color="auto"/>
        <w:left w:val="none" w:sz="0" w:space="0" w:color="auto"/>
        <w:bottom w:val="none" w:sz="0" w:space="0" w:color="auto"/>
        <w:right w:val="none" w:sz="0" w:space="0" w:color="auto"/>
      </w:divBdr>
      <w:divsChild>
        <w:div w:id="821845991">
          <w:marLeft w:val="0"/>
          <w:marRight w:val="0"/>
          <w:marTop w:val="0"/>
          <w:marBottom w:val="0"/>
          <w:divBdr>
            <w:top w:val="none" w:sz="0" w:space="0" w:color="auto"/>
            <w:left w:val="none" w:sz="0" w:space="0" w:color="auto"/>
            <w:bottom w:val="none" w:sz="0" w:space="0" w:color="auto"/>
            <w:right w:val="none" w:sz="0" w:space="0" w:color="auto"/>
          </w:divBdr>
        </w:div>
        <w:div w:id="1168637984">
          <w:marLeft w:val="0"/>
          <w:marRight w:val="0"/>
          <w:marTop w:val="0"/>
          <w:marBottom w:val="0"/>
          <w:divBdr>
            <w:top w:val="none" w:sz="0" w:space="0" w:color="auto"/>
            <w:left w:val="none" w:sz="0" w:space="0" w:color="auto"/>
            <w:bottom w:val="none" w:sz="0" w:space="0" w:color="auto"/>
            <w:right w:val="none" w:sz="0" w:space="0" w:color="auto"/>
          </w:divBdr>
        </w:div>
      </w:divsChild>
    </w:div>
    <w:div w:id="1188521877">
      <w:bodyDiv w:val="1"/>
      <w:marLeft w:val="0"/>
      <w:marRight w:val="0"/>
      <w:marTop w:val="0"/>
      <w:marBottom w:val="0"/>
      <w:divBdr>
        <w:top w:val="none" w:sz="0" w:space="0" w:color="auto"/>
        <w:left w:val="none" w:sz="0" w:space="0" w:color="auto"/>
        <w:bottom w:val="none" w:sz="0" w:space="0" w:color="auto"/>
        <w:right w:val="none" w:sz="0" w:space="0" w:color="auto"/>
      </w:divBdr>
    </w:div>
    <w:div w:id="1549956051">
      <w:bodyDiv w:val="1"/>
      <w:marLeft w:val="0"/>
      <w:marRight w:val="0"/>
      <w:marTop w:val="0"/>
      <w:marBottom w:val="0"/>
      <w:divBdr>
        <w:top w:val="none" w:sz="0" w:space="0" w:color="auto"/>
        <w:left w:val="none" w:sz="0" w:space="0" w:color="auto"/>
        <w:bottom w:val="none" w:sz="0" w:space="0" w:color="auto"/>
        <w:right w:val="none" w:sz="0" w:space="0" w:color="auto"/>
      </w:divBdr>
    </w:div>
    <w:div w:id="1722973963">
      <w:bodyDiv w:val="1"/>
      <w:marLeft w:val="0"/>
      <w:marRight w:val="0"/>
      <w:marTop w:val="0"/>
      <w:marBottom w:val="0"/>
      <w:divBdr>
        <w:top w:val="none" w:sz="0" w:space="0" w:color="auto"/>
        <w:left w:val="none" w:sz="0" w:space="0" w:color="auto"/>
        <w:bottom w:val="none" w:sz="0" w:space="0" w:color="auto"/>
        <w:right w:val="none" w:sz="0" w:space="0" w:color="auto"/>
      </w:divBdr>
    </w:div>
    <w:div w:id="1764716453">
      <w:bodyDiv w:val="1"/>
      <w:marLeft w:val="0"/>
      <w:marRight w:val="0"/>
      <w:marTop w:val="0"/>
      <w:marBottom w:val="0"/>
      <w:divBdr>
        <w:top w:val="none" w:sz="0" w:space="0" w:color="auto"/>
        <w:left w:val="none" w:sz="0" w:space="0" w:color="auto"/>
        <w:bottom w:val="none" w:sz="0" w:space="0" w:color="auto"/>
        <w:right w:val="none" w:sz="0" w:space="0" w:color="auto"/>
      </w:divBdr>
    </w:div>
    <w:div w:id="18257784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cid:image002.png@01D80E1B.4C7743A0"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jointimpactmodel.org/" TargetMode="External"/><Relationship Id="rId3" Type="http://schemas.openxmlformats.org/officeDocument/2006/relationships/hyperlink" Target="https://sciencebasedtargets.org/sectors/forest-land-and-agriculture" TargetMode="External"/><Relationship Id="rId7" Type="http://schemas.openxmlformats.org/officeDocument/2006/relationships/hyperlink" Target="https://iris.thegiin.org/metric/5.0/pi3687/" TargetMode="External"/><Relationship Id="rId2" Type="http://schemas.openxmlformats.org/officeDocument/2006/relationships/hyperlink" Target="https://www.goldstandard.org/articles/value-change" TargetMode="External"/><Relationship Id="rId1" Type="http://schemas.openxmlformats.org/officeDocument/2006/relationships/hyperlink" Target="http://www.fao.org/forestry/fra2005" TargetMode="External"/><Relationship Id="rId6" Type="http://schemas.openxmlformats.org/officeDocument/2006/relationships/hyperlink" Target="https://iris.thegiin.org/glossary/" TargetMode="External"/><Relationship Id="rId5" Type="http://schemas.openxmlformats.org/officeDocument/2006/relationships/hyperlink" Target="https://www.greenclimate.fund/sites/default/files/document/gcf-programming-manual.pdf" TargetMode="External"/><Relationship Id="rId4" Type="http://schemas.openxmlformats.org/officeDocument/2006/relationships/hyperlink" Target="https://www.greenclimate.fund/document/integrated-results-management-framework" TargetMode="External"/><Relationship Id="rId9" Type="http://schemas.openxmlformats.org/officeDocument/2006/relationships/hyperlink" Target="https://unhabitat.org/secure-land-rights-for-al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nLainPerezSAILV\Sail%20Ventures%20B.V\Communication%20site%20-%20Documents\Sail%20Ventures\Operations\Investment%20Committee\Working%20space\CA%20Templates\Word%20Template%20_AndGreen_Portrai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0979F12F22C9E4F9273E32F354CEDB7" ma:contentTypeVersion="20" ma:contentTypeDescription="Create a new document." ma:contentTypeScope="" ma:versionID="b7840d6a47e244606dc4bde491b6bc5c">
  <xsd:schema xmlns:xsd="http://www.w3.org/2001/XMLSchema" xmlns:xs="http://www.w3.org/2001/XMLSchema" xmlns:p="http://schemas.microsoft.com/office/2006/metadata/properties" xmlns:ns2="366ae72f-6d51-4737-8f6b-a9169c366b64" xmlns:ns3="a3cd7b71-671d-4139-9a97-5d1a7380fae4" xmlns:ns4="50c9b839-8b53-4ddb-9b24-b96221f2bda6" targetNamespace="http://schemas.microsoft.com/office/2006/metadata/properties" ma:root="true" ma:fieldsID="eef116cf559c424c6e953a4b4c2ee3fa" ns2:_="" ns3:_="" ns4:_="">
    <xsd:import namespace="366ae72f-6d51-4737-8f6b-a9169c366b64"/>
    <xsd:import namespace="a3cd7b71-671d-4139-9a97-5d1a7380fae4"/>
    <xsd:import namespace="50c9b839-8b53-4ddb-9b24-b96221f2bda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Status" minOccurs="0"/>
                <xsd:element ref="ns2:Camille" minOccurs="0"/>
                <xsd:element ref="ns2:Camille2" minOccurs="0"/>
                <xsd:element ref="ns2:MediaLengthInSeconds" minOccurs="0"/>
                <xsd:element ref="ns2:Tag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ae72f-6d51-4737-8f6b-a9169c366b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Status" ma:index="20" nillable="true" ma:displayName="Status" ma:format="Dropdown" ma:internalName="Status">
      <xsd:simpleType>
        <xsd:restriction base="dms:Choice">
          <xsd:enumeration value="Choice 1"/>
          <xsd:enumeration value="Choice 2"/>
          <xsd:enumeration value="Choice 3"/>
        </xsd:restriction>
      </xsd:simpleType>
    </xsd:element>
    <xsd:element name="Camille" ma:index="21" nillable="true" ma:displayName="Camille" ma:format="Dropdown" ma:internalName="Camille">
      <xsd:simpleType>
        <xsd:restriction base="dms:Choice">
          <xsd:enumeration value="Not started"/>
          <xsd:enumeration value="Completed"/>
          <xsd:enumeration value="In progress"/>
        </xsd:restriction>
      </xsd:simpleType>
    </xsd:element>
    <xsd:element name="Camille2" ma:index="22" nillable="true" ma:displayName="Camille 2" ma:format="Dropdown" ma:internalName="Camille2">
      <xsd:simpleType>
        <xsd:restriction base="dms:Choice">
          <xsd:enumeration value="Not started"/>
          <xsd:enumeration value="Completed"/>
          <xsd:enumeration value="In progress"/>
        </xsd:restriction>
      </xsd:simpleType>
    </xsd:element>
    <xsd:element name="MediaLengthInSeconds" ma:index="23" nillable="true" ma:displayName="Length (seconds)" ma:internalName="MediaLengthInSeconds" ma:readOnly="true">
      <xsd:simpleType>
        <xsd:restriction base="dms:Unknown"/>
      </xsd:simpleType>
    </xsd:element>
    <xsd:element name="Tags" ma:index="24" nillable="true" ma:displayName="Tags" ma:default="{&quot;Extraction&quot;:3,&quot;Tags&quot;:[]}" ma:hidden="true" ma:internalName="Tags">
      <xsd:simpleType>
        <xsd:restriction base="dms:Note"/>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3a5397d5-9543-4dbc-8fcb-23c3638b1d4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3cd7b71-671d-4139-9a97-5d1a7380fae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c9b839-8b53-4ddb-9b24-b96221f2bda6" elementFormDefault="qualified">
    <xsd:import namespace="http://schemas.microsoft.com/office/2006/documentManagement/types"/>
    <xsd:import namespace="http://schemas.microsoft.com/office/infopath/2007/PartnerControls"/>
    <xsd:element name="TaxCatchAll" ma:index="27" nillable="true" ma:displayName="Taxonomy Catch All Column" ma:hidden="true" ma:list="{4007c79b-2f87-4290-aeca-53282ace1665}" ma:internalName="TaxCatchAll" ma:showField="CatchAllData" ma:web="a3cd7b71-671d-4139-9a97-5d1a7380f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50c9b839-8b53-4ddb-9b24-b96221f2bda6" xsi:nil="true"/>
    <lcf76f155ced4ddcb4097134ff3c332f xmlns="366ae72f-6d51-4737-8f6b-a9169c366b64">
      <Terms xmlns="http://schemas.microsoft.com/office/infopath/2007/PartnerControls"/>
    </lcf76f155ced4ddcb4097134ff3c332f>
    <Tags xmlns="366ae72f-6d51-4737-8f6b-a9169c366b64">{"Extraction":3,"Tags":[]}</Tags>
    <Status xmlns="366ae72f-6d51-4737-8f6b-a9169c366b64" xsi:nil="true"/>
    <Camille xmlns="366ae72f-6d51-4737-8f6b-a9169c366b64" xsi:nil="true"/>
    <Camille2 xmlns="366ae72f-6d51-4737-8f6b-a9169c366b64" xsi:nil="true"/>
  </documentManagement>
</p:properties>
</file>

<file path=customXml/itemProps1.xml><?xml version="1.0" encoding="utf-8"?>
<ds:datastoreItem xmlns:ds="http://schemas.openxmlformats.org/officeDocument/2006/customXml" ds:itemID="{119B8F17-46A4-4317-AA8C-4F27E5186C46}">
  <ds:schemaRefs>
    <ds:schemaRef ds:uri="http://schemas.openxmlformats.org/officeDocument/2006/bibliography"/>
  </ds:schemaRefs>
</ds:datastoreItem>
</file>

<file path=customXml/itemProps2.xml><?xml version="1.0" encoding="utf-8"?>
<ds:datastoreItem xmlns:ds="http://schemas.openxmlformats.org/officeDocument/2006/customXml" ds:itemID="{9045A41F-6864-4572-8657-9092BAF2FA21}">
  <ds:schemaRefs>
    <ds:schemaRef ds:uri="http://schemas.microsoft.com/sharepoint/v3/contenttype/forms"/>
  </ds:schemaRefs>
</ds:datastoreItem>
</file>

<file path=customXml/itemProps3.xml><?xml version="1.0" encoding="utf-8"?>
<ds:datastoreItem xmlns:ds="http://schemas.openxmlformats.org/officeDocument/2006/customXml" ds:itemID="{A9F8ECF4-2D2B-4307-884C-A31755C17CB7}"/>
</file>

<file path=customXml/itemProps4.xml><?xml version="1.0" encoding="utf-8"?>
<ds:datastoreItem xmlns:ds="http://schemas.openxmlformats.org/officeDocument/2006/customXml" ds:itemID="{172EB3F8-3EC5-44C5-A208-085E14EF3B45}">
  <ds:schemaRefs>
    <ds:schemaRef ds:uri="http://schemas.microsoft.com/office/2006/metadata/properties"/>
    <ds:schemaRef ds:uri="http://schemas.microsoft.com/office/infopath/2007/PartnerControls"/>
    <ds:schemaRef ds:uri="9de72fd5-5d95-4977-8b15-198fcd76274b"/>
    <ds:schemaRef ds:uri="77b7411e-f82d-47e1-9c32-591005d101b1"/>
  </ds:schemaRefs>
</ds:datastoreItem>
</file>

<file path=docProps/app.xml><?xml version="1.0" encoding="utf-8"?>
<Properties xmlns="http://schemas.openxmlformats.org/officeDocument/2006/extended-properties" xmlns:vt="http://schemas.openxmlformats.org/officeDocument/2006/docPropsVTypes">
  <Template>Word Template _AndGreen_Portrait.dotx</Template>
  <TotalTime>495</TotalTime>
  <Pages>1</Pages>
  <Words>9385</Words>
  <Characters>53501</Characters>
  <Application>Microsoft Office Word</Application>
  <DocSecurity>4</DocSecurity>
  <Lines>445</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Lain Perez | SAIL Ventures</dc:creator>
  <cp:keywords>templates</cp:keywords>
  <dc:description/>
  <cp:lastModifiedBy>Matt Spannagle | SAIL Ventures</cp:lastModifiedBy>
  <cp:revision>272</cp:revision>
  <dcterms:created xsi:type="dcterms:W3CDTF">2022-05-12T17:24:00Z</dcterms:created>
  <dcterms:modified xsi:type="dcterms:W3CDTF">2022-08-04T17:34:00Z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0x01010000979F12F22C9E4F9273E32F354CEDB7</vt:lpwstr>
  </property>
  <property fmtid="{D5CDD505-2E9C-101B-9397-08002B2CF9AE}" pid="3" name="MediaServiceImageTags">
    <vt:lpwstr/>
  </property>
</Properties>
</file>