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75D9BC" w14:textId="357D9F3C" w:rsidR="00E33A01" w:rsidRPr="001A0D49" w:rsidRDefault="00E33A01" w:rsidP="00E33A01">
      <w:pPr>
        <w:pStyle w:val="Appendix"/>
      </w:pPr>
      <w:bookmarkStart w:id="0" w:name="_Toc511480732"/>
      <w:r w:rsidRPr="001A0D49">
        <w:t xml:space="preserve">Appendix </w:t>
      </w:r>
      <w:r>
        <w:t>xx</w:t>
      </w:r>
      <w:r w:rsidRPr="001A0D49">
        <w:t xml:space="preserve">: </w:t>
      </w:r>
      <w:r>
        <w:t>N</w:t>
      </w:r>
      <w:r w:rsidRPr="001A0D49">
        <w:t>ational policies and laws promoting biodiversity conservation and climate change adaptation</w:t>
      </w:r>
      <w:bookmarkEnd w:id="0"/>
      <w:r>
        <w:t xml:space="preserve"> THAT INCLUDE ENABLING ENVIRONMENT FOR IMPLEMENTATION THROUGH RANGELAND STEWARDSHIP AGREEMENTS </w:t>
      </w:r>
      <w:r w:rsidRPr="00034A04">
        <w:rPr>
          <w:i/>
          <w:iCs/>
        </w:rPr>
        <w:t>(Extracted from Cassidy, 2018, ANNEx 2 Appendix 4.6)</w:t>
      </w:r>
      <w:r w:rsidR="00034A04">
        <w:rPr>
          <w:i/>
          <w:iCs/>
        </w:rPr>
        <w:br/>
      </w:r>
    </w:p>
    <w:p w14:paraId="6E2ECF72" w14:textId="0E6DB79D" w:rsidR="00E33A01" w:rsidRDefault="00E33A01" w:rsidP="00E33A01">
      <w:r>
        <w:t xml:space="preserve">National policies, strategies and laws promoting biodiversity conservation and climate change are listed in </w:t>
      </w:r>
      <w:r>
        <w:fldChar w:fldCharType="begin"/>
      </w:r>
      <w:r>
        <w:instrText xml:space="preserve"> REF _Ref511286694 \h </w:instrText>
      </w:r>
      <w:r>
        <w:fldChar w:fldCharType="separate"/>
      </w:r>
      <w:r w:rsidRPr="002F559B">
        <w:t>Table 1</w:t>
      </w:r>
      <w:r>
        <w:fldChar w:fldCharType="end"/>
      </w:r>
      <w:r>
        <w:t>. There is a strong link between the age of the legislation and the degree to which it supports climate change in particular.  For ease of reference, the degree to which biodiversity conservation and climate change adaptation are promoted are shown in colour, ranging from strongly, through weakly to not addressed. These colour codes are also used in Appendix 2 to highlight levels of harmonisation with the Rangeland Stewardship Agreement Approach.</w:t>
      </w:r>
    </w:p>
    <w:p w14:paraId="1FC11C7F" w14:textId="77777777" w:rsidR="00034A04" w:rsidRDefault="00034A04" w:rsidP="00E33A01"/>
    <w:tbl>
      <w:tblPr>
        <w:tblStyle w:val="TableGrid"/>
        <w:tblW w:w="0" w:type="auto"/>
        <w:jc w:val="center"/>
        <w:tblLook w:val="04A0" w:firstRow="1" w:lastRow="0" w:firstColumn="1" w:lastColumn="0" w:noHBand="0" w:noVBand="1"/>
      </w:tblPr>
      <w:tblGrid>
        <w:gridCol w:w="3245"/>
        <w:gridCol w:w="3245"/>
        <w:gridCol w:w="3246"/>
      </w:tblGrid>
      <w:tr w:rsidR="00E33A01" w:rsidRPr="00620CF4" w14:paraId="7F29E1A3" w14:textId="77777777" w:rsidTr="00C32C1F">
        <w:trPr>
          <w:jc w:val="center"/>
        </w:trPr>
        <w:tc>
          <w:tcPr>
            <w:tcW w:w="3245" w:type="dxa"/>
            <w:shd w:val="clear" w:color="auto" w:fill="66FF66"/>
          </w:tcPr>
          <w:p w14:paraId="14D93391" w14:textId="77777777" w:rsidR="00E33A01" w:rsidRPr="00620CF4" w:rsidRDefault="00E33A01" w:rsidP="00C32C1F">
            <w:pPr>
              <w:jc w:val="center"/>
              <w:rPr>
                <w:rFonts w:eastAsia="Times New Roman" w:cstheme="minorHAnsi"/>
                <w:color w:val="000000"/>
                <w:sz w:val="16"/>
                <w:szCs w:val="20"/>
              </w:rPr>
            </w:pPr>
            <w:r w:rsidRPr="00620CF4">
              <w:rPr>
                <w:rFonts w:eastAsia="Times New Roman" w:cstheme="minorHAnsi"/>
                <w:color w:val="000000"/>
                <w:sz w:val="16"/>
                <w:szCs w:val="20"/>
              </w:rPr>
              <w:t>Strong</w:t>
            </w:r>
          </w:p>
        </w:tc>
        <w:tc>
          <w:tcPr>
            <w:tcW w:w="3245" w:type="dxa"/>
            <w:shd w:val="clear" w:color="auto" w:fill="CCFF66"/>
          </w:tcPr>
          <w:p w14:paraId="6B9BEB8F" w14:textId="77777777" w:rsidR="00E33A01" w:rsidRPr="00620CF4" w:rsidRDefault="00E33A01" w:rsidP="00C32C1F">
            <w:pPr>
              <w:jc w:val="center"/>
              <w:rPr>
                <w:sz w:val="16"/>
                <w:szCs w:val="20"/>
              </w:rPr>
            </w:pPr>
            <w:r w:rsidRPr="00620CF4">
              <w:rPr>
                <w:sz w:val="16"/>
                <w:szCs w:val="20"/>
              </w:rPr>
              <w:t>Weak</w:t>
            </w:r>
          </w:p>
        </w:tc>
        <w:tc>
          <w:tcPr>
            <w:tcW w:w="3246" w:type="dxa"/>
            <w:shd w:val="clear" w:color="auto" w:fill="FCF0A6"/>
          </w:tcPr>
          <w:p w14:paraId="57A8BB64" w14:textId="77777777" w:rsidR="00E33A01" w:rsidRPr="00620CF4" w:rsidRDefault="00E33A01" w:rsidP="00C32C1F">
            <w:pPr>
              <w:jc w:val="center"/>
              <w:rPr>
                <w:sz w:val="16"/>
                <w:szCs w:val="20"/>
              </w:rPr>
            </w:pPr>
            <w:r w:rsidRPr="00620CF4">
              <w:rPr>
                <w:sz w:val="16"/>
                <w:szCs w:val="20"/>
              </w:rPr>
              <w:t>Not addressed</w:t>
            </w:r>
          </w:p>
        </w:tc>
      </w:tr>
    </w:tbl>
    <w:p w14:paraId="04C22327" w14:textId="77777777" w:rsidR="00E33A01" w:rsidRDefault="00E33A01" w:rsidP="00E33A01"/>
    <w:p w14:paraId="26CB493D" w14:textId="77777777" w:rsidR="00E33A01" w:rsidRPr="002F559B" w:rsidRDefault="00E33A01" w:rsidP="00E33A01">
      <w:pPr>
        <w:pStyle w:val="Caption"/>
      </w:pPr>
      <w:bookmarkStart w:id="1" w:name="_Ref511286694"/>
      <w:r w:rsidRPr="002F559B">
        <w:t xml:space="preserve">Table </w:t>
      </w:r>
      <w:r>
        <w:fldChar w:fldCharType="begin"/>
      </w:r>
      <w:r>
        <w:instrText xml:space="preserve"> SEQ Table \* ARABIC </w:instrText>
      </w:r>
      <w:r>
        <w:fldChar w:fldCharType="separate"/>
      </w:r>
      <w:r>
        <w:rPr>
          <w:noProof/>
        </w:rPr>
        <w:t>1</w:t>
      </w:r>
      <w:r>
        <w:rPr>
          <w:noProof/>
        </w:rPr>
        <w:fldChar w:fldCharType="end"/>
      </w:r>
      <w:bookmarkEnd w:id="1"/>
      <w:r w:rsidRPr="002F559B">
        <w:t>:  Descriptions of Key</w:t>
      </w:r>
      <w:r>
        <w:t xml:space="preserve"> Policies and Laws Supporting Biodiversity Conservation and Climate Change Adaptation</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5250"/>
        <w:gridCol w:w="1134"/>
        <w:gridCol w:w="992"/>
        <w:gridCol w:w="1134"/>
      </w:tblGrid>
      <w:tr w:rsidR="00E33A01" w:rsidRPr="00580DBA" w14:paraId="06ADA81B" w14:textId="77777777" w:rsidTr="00C32C1F">
        <w:trPr>
          <w:cantSplit/>
          <w:tblHeader/>
        </w:trPr>
        <w:tc>
          <w:tcPr>
            <w:tcW w:w="1413" w:type="dxa"/>
            <w:tcBorders>
              <w:bottom w:val="single" w:sz="4" w:space="0" w:color="auto"/>
            </w:tcBorders>
            <w:shd w:val="clear" w:color="auto" w:fill="auto"/>
            <w:tcMar>
              <w:left w:w="57" w:type="dxa"/>
              <w:right w:w="57" w:type="dxa"/>
            </w:tcMar>
            <w:vAlign w:val="center"/>
            <w:hideMark/>
          </w:tcPr>
          <w:p w14:paraId="5FC57A3B" w14:textId="77777777" w:rsidR="00E33A01" w:rsidRPr="00580DBA" w:rsidRDefault="00E33A01" w:rsidP="00C32C1F">
            <w:pPr>
              <w:spacing w:before="0" w:after="0"/>
              <w:jc w:val="center"/>
              <w:rPr>
                <w:rFonts w:eastAsia="Times New Roman" w:cstheme="minorHAnsi"/>
                <w:b/>
                <w:bCs/>
                <w:color w:val="000000"/>
                <w:sz w:val="16"/>
                <w:szCs w:val="16"/>
                <w:lang w:eastAsia="en-GB"/>
              </w:rPr>
            </w:pPr>
            <w:r w:rsidRPr="00580DBA">
              <w:rPr>
                <w:rFonts w:eastAsia="Times New Roman" w:cstheme="minorHAnsi"/>
                <w:b/>
                <w:bCs/>
                <w:color w:val="000000"/>
                <w:sz w:val="16"/>
                <w:szCs w:val="16"/>
                <w:lang w:eastAsia="en-GB"/>
              </w:rPr>
              <w:t>Name</w:t>
            </w:r>
          </w:p>
        </w:tc>
        <w:tc>
          <w:tcPr>
            <w:tcW w:w="5250" w:type="dxa"/>
            <w:tcBorders>
              <w:bottom w:val="single" w:sz="4" w:space="0" w:color="auto"/>
            </w:tcBorders>
            <w:shd w:val="clear" w:color="auto" w:fill="auto"/>
            <w:tcMar>
              <w:left w:w="57" w:type="dxa"/>
              <w:right w:w="57" w:type="dxa"/>
            </w:tcMar>
            <w:vAlign w:val="center"/>
            <w:hideMark/>
          </w:tcPr>
          <w:p w14:paraId="35EF17CE" w14:textId="77777777" w:rsidR="00E33A01" w:rsidRPr="00580DBA" w:rsidRDefault="00E33A01" w:rsidP="00C32C1F">
            <w:pPr>
              <w:spacing w:before="0" w:after="0"/>
              <w:jc w:val="left"/>
              <w:rPr>
                <w:rFonts w:eastAsia="Times New Roman" w:cstheme="minorHAnsi"/>
                <w:b/>
                <w:bCs/>
                <w:color w:val="000000"/>
                <w:sz w:val="16"/>
                <w:szCs w:val="16"/>
                <w:lang w:eastAsia="en-GB"/>
              </w:rPr>
            </w:pPr>
            <w:r w:rsidRPr="00580DBA">
              <w:rPr>
                <w:rFonts w:eastAsia="Times New Roman" w:cstheme="minorHAnsi"/>
                <w:b/>
                <w:bCs/>
                <w:color w:val="000000"/>
                <w:sz w:val="16"/>
                <w:szCs w:val="16"/>
                <w:lang w:eastAsia="en-GB"/>
              </w:rPr>
              <w:t>Key objective / intention</w:t>
            </w:r>
          </w:p>
        </w:tc>
        <w:tc>
          <w:tcPr>
            <w:tcW w:w="1134" w:type="dxa"/>
            <w:tcBorders>
              <w:bottom w:val="single" w:sz="4" w:space="0" w:color="auto"/>
            </w:tcBorders>
            <w:shd w:val="clear" w:color="auto" w:fill="auto"/>
            <w:tcMar>
              <w:left w:w="57" w:type="dxa"/>
              <w:right w:w="57" w:type="dxa"/>
            </w:tcMar>
            <w:vAlign w:val="center"/>
            <w:hideMark/>
          </w:tcPr>
          <w:p w14:paraId="307102AB" w14:textId="77777777" w:rsidR="00E33A01" w:rsidRPr="00580DBA" w:rsidRDefault="00E33A01" w:rsidP="00C32C1F">
            <w:pPr>
              <w:spacing w:before="0" w:after="0"/>
              <w:jc w:val="center"/>
              <w:rPr>
                <w:rFonts w:eastAsia="Times New Roman" w:cstheme="minorHAnsi"/>
                <w:b/>
                <w:bCs/>
                <w:color w:val="000000"/>
                <w:sz w:val="16"/>
                <w:szCs w:val="16"/>
                <w:lang w:eastAsia="en-GB"/>
              </w:rPr>
            </w:pPr>
            <w:r w:rsidRPr="00580DBA">
              <w:rPr>
                <w:rFonts w:eastAsia="Times New Roman" w:cstheme="minorHAnsi"/>
                <w:b/>
                <w:bCs/>
                <w:color w:val="000000"/>
                <w:sz w:val="16"/>
                <w:szCs w:val="16"/>
                <w:lang w:eastAsia="en-GB"/>
              </w:rPr>
              <w:t>Addresses biodiversity conservation?</w:t>
            </w:r>
          </w:p>
        </w:tc>
        <w:tc>
          <w:tcPr>
            <w:tcW w:w="992" w:type="dxa"/>
            <w:tcBorders>
              <w:bottom w:val="single" w:sz="4" w:space="0" w:color="auto"/>
            </w:tcBorders>
            <w:shd w:val="clear" w:color="auto" w:fill="auto"/>
            <w:tcMar>
              <w:left w:w="57" w:type="dxa"/>
              <w:right w:w="57" w:type="dxa"/>
            </w:tcMar>
            <w:vAlign w:val="center"/>
            <w:hideMark/>
          </w:tcPr>
          <w:p w14:paraId="7A8022E0" w14:textId="77777777" w:rsidR="00E33A01" w:rsidRPr="00580DBA" w:rsidRDefault="00E33A01" w:rsidP="00C32C1F">
            <w:pPr>
              <w:spacing w:before="0" w:after="0"/>
              <w:jc w:val="center"/>
              <w:rPr>
                <w:rFonts w:eastAsia="Times New Roman" w:cstheme="minorHAnsi"/>
                <w:b/>
                <w:bCs/>
                <w:color w:val="000000"/>
                <w:sz w:val="16"/>
                <w:szCs w:val="16"/>
                <w:lang w:eastAsia="en-GB"/>
              </w:rPr>
            </w:pPr>
            <w:r w:rsidRPr="00580DBA">
              <w:rPr>
                <w:rFonts w:eastAsia="Times New Roman" w:cstheme="minorHAnsi"/>
                <w:b/>
                <w:bCs/>
                <w:color w:val="000000"/>
                <w:sz w:val="16"/>
                <w:szCs w:val="16"/>
                <w:lang w:eastAsia="en-GB"/>
              </w:rPr>
              <w:t>Addresses climate change?</w:t>
            </w:r>
          </w:p>
        </w:tc>
        <w:tc>
          <w:tcPr>
            <w:tcW w:w="1134" w:type="dxa"/>
            <w:tcBorders>
              <w:bottom w:val="single" w:sz="4" w:space="0" w:color="auto"/>
            </w:tcBorders>
            <w:shd w:val="clear" w:color="auto" w:fill="auto"/>
            <w:tcMar>
              <w:left w:w="57" w:type="dxa"/>
              <w:right w:w="57" w:type="dxa"/>
            </w:tcMar>
            <w:vAlign w:val="center"/>
            <w:hideMark/>
          </w:tcPr>
          <w:p w14:paraId="20C6D387" w14:textId="77777777" w:rsidR="00E33A01" w:rsidRPr="00580DBA" w:rsidRDefault="00E33A01" w:rsidP="00C32C1F">
            <w:pPr>
              <w:spacing w:before="0" w:after="0"/>
              <w:jc w:val="center"/>
              <w:rPr>
                <w:rFonts w:eastAsia="Times New Roman" w:cstheme="minorHAnsi"/>
                <w:b/>
                <w:bCs/>
                <w:color w:val="000000"/>
                <w:sz w:val="16"/>
                <w:szCs w:val="16"/>
                <w:lang w:eastAsia="en-GB"/>
              </w:rPr>
            </w:pPr>
            <w:r w:rsidRPr="00580DBA">
              <w:rPr>
                <w:rFonts w:eastAsia="Times New Roman" w:cstheme="minorHAnsi"/>
                <w:b/>
                <w:bCs/>
                <w:color w:val="000000"/>
                <w:sz w:val="16"/>
                <w:szCs w:val="16"/>
                <w:lang w:eastAsia="en-GB"/>
              </w:rPr>
              <w:t>Implementing agency</w:t>
            </w:r>
          </w:p>
        </w:tc>
      </w:tr>
      <w:tr w:rsidR="00E33A01" w:rsidRPr="00307160" w14:paraId="36F3B82F" w14:textId="77777777" w:rsidTr="00C32C1F">
        <w:trPr>
          <w:cantSplit/>
        </w:trPr>
        <w:tc>
          <w:tcPr>
            <w:tcW w:w="9923" w:type="dxa"/>
            <w:gridSpan w:val="5"/>
            <w:tcBorders>
              <w:bottom w:val="single" w:sz="4" w:space="0" w:color="auto"/>
            </w:tcBorders>
            <w:shd w:val="clear" w:color="auto" w:fill="auto"/>
            <w:tcMar>
              <w:left w:w="57" w:type="dxa"/>
              <w:right w:w="57" w:type="dxa"/>
            </w:tcMar>
            <w:vAlign w:val="center"/>
          </w:tcPr>
          <w:p w14:paraId="4F16C0EA" w14:textId="77777777" w:rsidR="00E33A01" w:rsidRPr="00307160" w:rsidRDefault="00E33A01" w:rsidP="00C32C1F">
            <w:pPr>
              <w:spacing w:before="0" w:after="0"/>
              <w:jc w:val="left"/>
              <w:rPr>
                <w:rFonts w:eastAsia="Times New Roman" w:cstheme="minorHAnsi"/>
                <w:color w:val="000000"/>
                <w:sz w:val="4"/>
                <w:szCs w:val="4"/>
                <w:lang w:eastAsia="en-GB"/>
              </w:rPr>
            </w:pPr>
          </w:p>
        </w:tc>
      </w:tr>
      <w:tr w:rsidR="00E33A01" w:rsidRPr="00580DBA" w14:paraId="422486CA" w14:textId="77777777" w:rsidTr="00C32C1F">
        <w:trPr>
          <w:cantSplit/>
          <w:tblHeader/>
        </w:trPr>
        <w:tc>
          <w:tcPr>
            <w:tcW w:w="9923" w:type="dxa"/>
            <w:gridSpan w:val="5"/>
            <w:tcBorders>
              <w:top w:val="single" w:sz="4" w:space="0" w:color="auto"/>
            </w:tcBorders>
            <w:shd w:val="clear" w:color="auto" w:fill="A6A6A6" w:themeFill="background1" w:themeFillShade="A6"/>
            <w:tcMar>
              <w:left w:w="57" w:type="dxa"/>
              <w:right w:w="57" w:type="dxa"/>
            </w:tcMar>
            <w:vAlign w:val="center"/>
          </w:tcPr>
          <w:p w14:paraId="3EEDC17C" w14:textId="77777777" w:rsidR="00E33A01" w:rsidRPr="00580DBA" w:rsidRDefault="00E33A01" w:rsidP="00C32C1F">
            <w:pPr>
              <w:spacing w:before="0" w:after="0"/>
              <w:jc w:val="left"/>
              <w:rPr>
                <w:rFonts w:eastAsia="Times New Roman" w:cstheme="minorHAnsi"/>
                <w:b/>
                <w:bCs/>
                <w:color w:val="000000"/>
                <w:sz w:val="16"/>
                <w:szCs w:val="16"/>
                <w:lang w:eastAsia="en-GB"/>
              </w:rPr>
            </w:pPr>
            <w:r>
              <w:rPr>
                <w:rFonts w:eastAsia="Times New Roman" w:cstheme="minorHAnsi"/>
                <w:b/>
                <w:bCs/>
                <w:color w:val="000000"/>
                <w:sz w:val="16"/>
                <w:szCs w:val="16"/>
                <w:lang w:eastAsia="en-GB"/>
              </w:rPr>
              <w:t>Policies and Strategies</w:t>
            </w:r>
          </w:p>
        </w:tc>
      </w:tr>
      <w:tr w:rsidR="00E33A01" w:rsidRPr="00580DBA" w14:paraId="327916E9" w14:textId="77777777" w:rsidTr="00C32C1F">
        <w:trPr>
          <w:cantSplit/>
        </w:trPr>
        <w:tc>
          <w:tcPr>
            <w:tcW w:w="1413" w:type="dxa"/>
            <w:shd w:val="clear" w:color="auto" w:fill="auto"/>
            <w:tcMar>
              <w:left w:w="57" w:type="dxa"/>
              <w:right w:w="57" w:type="dxa"/>
            </w:tcMar>
            <w:vAlign w:val="center"/>
            <w:hideMark/>
          </w:tcPr>
          <w:p w14:paraId="0E53DDEF"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National Biodiversity Strategy and Action Plan (2014)</w:t>
            </w:r>
          </w:p>
        </w:tc>
        <w:tc>
          <w:tcPr>
            <w:tcW w:w="5250" w:type="dxa"/>
            <w:shd w:val="clear" w:color="auto" w:fill="auto"/>
            <w:tcMar>
              <w:left w:w="57" w:type="dxa"/>
              <w:right w:w="57" w:type="dxa"/>
            </w:tcMar>
            <w:vAlign w:val="center"/>
            <w:hideMark/>
          </w:tcPr>
          <w:p w14:paraId="4275D88A" w14:textId="77777777" w:rsidR="00E33A01" w:rsidRPr="00580DBA" w:rsidRDefault="00E33A01" w:rsidP="00C32C1F">
            <w:pPr>
              <w:spacing w:before="0" w:after="0"/>
              <w:jc w:val="left"/>
              <w:rPr>
                <w:rFonts w:eastAsia="Times New Roman" w:cstheme="minorHAnsi"/>
                <w:color w:val="000000"/>
                <w:sz w:val="16"/>
                <w:szCs w:val="16"/>
                <w:lang w:eastAsia="en-GB"/>
              </w:rPr>
            </w:pPr>
            <w:r w:rsidRPr="00580DBA">
              <w:rPr>
                <w:rFonts w:eastAsia="Times New Roman" w:cstheme="minorHAnsi"/>
                <w:color w:val="000000"/>
                <w:sz w:val="16"/>
                <w:szCs w:val="16"/>
                <w:lang w:eastAsia="en-GB"/>
              </w:rPr>
              <w:t>A nation in balance with nature, with fair access to biological resources, where the benefits deriving from the use of these resources are shared equitably for the benefit and livelihoods of current and future generations, and where all citizens recognise and understand the importance of maintaining Botswana’s biological heritage and related knowledge and their role in the conservation and sustainable use of Botswana’s biodiversity</w:t>
            </w:r>
          </w:p>
        </w:tc>
        <w:tc>
          <w:tcPr>
            <w:tcW w:w="1134" w:type="dxa"/>
            <w:shd w:val="clear" w:color="auto" w:fill="66FF66"/>
            <w:tcMar>
              <w:left w:w="57" w:type="dxa"/>
              <w:right w:w="57" w:type="dxa"/>
            </w:tcMar>
            <w:vAlign w:val="center"/>
            <w:hideMark/>
          </w:tcPr>
          <w:p w14:paraId="3E01013F"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Yes</w:t>
            </w:r>
          </w:p>
        </w:tc>
        <w:tc>
          <w:tcPr>
            <w:tcW w:w="992" w:type="dxa"/>
            <w:shd w:val="clear" w:color="auto" w:fill="CCFF66"/>
            <w:tcMar>
              <w:left w:w="57" w:type="dxa"/>
              <w:right w:w="57" w:type="dxa"/>
            </w:tcMar>
            <w:vAlign w:val="center"/>
            <w:hideMark/>
          </w:tcPr>
          <w:p w14:paraId="4799A2EE"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Somewhat</w:t>
            </w:r>
          </w:p>
        </w:tc>
        <w:tc>
          <w:tcPr>
            <w:tcW w:w="1134" w:type="dxa"/>
            <w:shd w:val="clear" w:color="auto" w:fill="auto"/>
            <w:tcMar>
              <w:left w:w="57" w:type="dxa"/>
              <w:right w:w="57" w:type="dxa"/>
            </w:tcMar>
            <w:vAlign w:val="center"/>
            <w:hideMark/>
          </w:tcPr>
          <w:p w14:paraId="6C0C6484"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DEA</w:t>
            </w:r>
          </w:p>
        </w:tc>
      </w:tr>
      <w:tr w:rsidR="00E33A01" w:rsidRPr="00580DBA" w14:paraId="257B1C92" w14:textId="77777777" w:rsidTr="00C32C1F">
        <w:trPr>
          <w:cantSplit/>
        </w:trPr>
        <w:tc>
          <w:tcPr>
            <w:tcW w:w="1413" w:type="dxa"/>
            <w:shd w:val="clear" w:color="auto" w:fill="auto"/>
            <w:tcMar>
              <w:left w:w="57" w:type="dxa"/>
              <w:right w:w="57" w:type="dxa"/>
            </w:tcMar>
            <w:vAlign w:val="center"/>
            <w:hideMark/>
          </w:tcPr>
          <w:p w14:paraId="6A70C554"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National Conservation Strategy (1990)</w:t>
            </w:r>
          </w:p>
        </w:tc>
        <w:tc>
          <w:tcPr>
            <w:tcW w:w="5250" w:type="dxa"/>
            <w:shd w:val="clear" w:color="auto" w:fill="auto"/>
            <w:tcMar>
              <w:left w:w="57" w:type="dxa"/>
              <w:right w:w="57" w:type="dxa"/>
            </w:tcMar>
            <w:vAlign w:val="center"/>
            <w:hideMark/>
          </w:tcPr>
          <w:p w14:paraId="034F1BCF" w14:textId="77777777" w:rsidR="00E33A01" w:rsidRPr="00580DBA" w:rsidRDefault="00E33A01" w:rsidP="00C32C1F">
            <w:pPr>
              <w:spacing w:before="0" w:after="0"/>
              <w:jc w:val="left"/>
              <w:rPr>
                <w:rFonts w:eastAsia="Times New Roman" w:cstheme="minorHAnsi"/>
                <w:color w:val="000000"/>
                <w:sz w:val="16"/>
                <w:szCs w:val="16"/>
                <w:lang w:eastAsia="en-GB"/>
              </w:rPr>
            </w:pPr>
            <w:r w:rsidRPr="00580DBA">
              <w:rPr>
                <w:rFonts w:eastAsia="Times New Roman" w:cstheme="minorHAnsi"/>
                <w:color w:val="000000"/>
                <w:sz w:val="16"/>
                <w:szCs w:val="16"/>
                <w:lang w:eastAsia="en-GB"/>
              </w:rPr>
              <w:t>To pursue policies and measures which:</w:t>
            </w:r>
            <w:r w:rsidRPr="00580DBA">
              <w:rPr>
                <w:rFonts w:eastAsia="Times New Roman" w:cstheme="minorHAnsi"/>
                <w:color w:val="000000"/>
                <w:sz w:val="16"/>
                <w:szCs w:val="16"/>
                <w:lang w:eastAsia="en-GB"/>
              </w:rPr>
              <w:br/>
              <w:t>a) increase the effectiveness with which natural resources are used and managed, so that beneficial interactions are optimised and harmful environmental side-effects are minimised;</w:t>
            </w:r>
            <w:r w:rsidRPr="00580DBA">
              <w:rPr>
                <w:rFonts w:eastAsia="Times New Roman" w:cstheme="minorHAnsi"/>
                <w:color w:val="000000"/>
                <w:sz w:val="16"/>
                <w:szCs w:val="16"/>
                <w:lang w:eastAsia="en-GB"/>
              </w:rPr>
              <w:br/>
              <w:t>b) integrate the work of the many sectoral ministries and interest groups through Botswana, thereby improving development of natural resources through conservation, and vice versa.</w:t>
            </w:r>
            <w:r w:rsidRPr="00580DBA">
              <w:rPr>
                <w:rFonts w:eastAsia="Times New Roman" w:cstheme="minorHAnsi"/>
                <w:color w:val="000000"/>
                <w:sz w:val="16"/>
                <w:szCs w:val="16"/>
                <w:lang w:eastAsia="en-GB"/>
              </w:rPr>
              <w:br/>
              <w:t>Several development goals and conservation goals are specified.</w:t>
            </w:r>
          </w:p>
        </w:tc>
        <w:tc>
          <w:tcPr>
            <w:tcW w:w="1134" w:type="dxa"/>
            <w:shd w:val="clear" w:color="000000" w:fill="66FF66"/>
            <w:tcMar>
              <w:left w:w="57" w:type="dxa"/>
              <w:right w:w="57" w:type="dxa"/>
            </w:tcMar>
            <w:vAlign w:val="center"/>
            <w:hideMark/>
          </w:tcPr>
          <w:p w14:paraId="0CEA8415"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Yes</w:t>
            </w:r>
          </w:p>
        </w:tc>
        <w:tc>
          <w:tcPr>
            <w:tcW w:w="992" w:type="dxa"/>
            <w:shd w:val="clear" w:color="000000" w:fill="CCFF66"/>
            <w:tcMar>
              <w:left w:w="57" w:type="dxa"/>
              <w:right w:w="57" w:type="dxa"/>
            </w:tcMar>
            <w:vAlign w:val="center"/>
            <w:hideMark/>
          </w:tcPr>
          <w:p w14:paraId="1BD9CFBB"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Somewhat</w:t>
            </w:r>
          </w:p>
        </w:tc>
        <w:tc>
          <w:tcPr>
            <w:tcW w:w="1134" w:type="dxa"/>
            <w:shd w:val="clear" w:color="auto" w:fill="auto"/>
            <w:tcMar>
              <w:left w:w="57" w:type="dxa"/>
              <w:right w:w="57" w:type="dxa"/>
            </w:tcMar>
            <w:vAlign w:val="center"/>
            <w:hideMark/>
          </w:tcPr>
          <w:p w14:paraId="0E0308F3"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DEA</w:t>
            </w:r>
          </w:p>
        </w:tc>
      </w:tr>
      <w:tr w:rsidR="00E33A01" w:rsidRPr="00580DBA" w14:paraId="3A9D1F3A" w14:textId="77777777" w:rsidTr="00C32C1F">
        <w:trPr>
          <w:cantSplit/>
        </w:trPr>
        <w:tc>
          <w:tcPr>
            <w:tcW w:w="1413" w:type="dxa"/>
            <w:shd w:val="clear" w:color="auto" w:fill="auto"/>
            <w:tcMar>
              <w:left w:w="57" w:type="dxa"/>
              <w:right w:w="57" w:type="dxa"/>
            </w:tcMar>
            <w:vAlign w:val="center"/>
            <w:hideMark/>
          </w:tcPr>
          <w:p w14:paraId="7F03D767"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National Strategy for Sustainable Development (Working Draft)</w:t>
            </w:r>
          </w:p>
        </w:tc>
        <w:tc>
          <w:tcPr>
            <w:tcW w:w="5250" w:type="dxa"/>
            <w:shd w:val="clear" w:color="auto" w:fill="auto"/>
            <w:tcMar>
              <w:left w:w="57" w:type="dxa"/>
              <w:right w:w="57" w:type="dxa"/>
            </w:tcMar>
            <w:vAlign w:val="center"/>
            <w:hideMark/>
          </w:tcPr>
          <w:p w14:paraId="516B821D" w14:textId="77777777" w:rsidR="00E33A01" w:rsidRPr="00580DBA" w:rsidRDefault="00E33A01" w:rsidP="00C32C1F">
            <w:pPr>
              <w:spacing w:before="0" w:after="0"/>
              <w:jc w:val="left"/>
              <w:rPr>
                <w:rFonts w:eastAsia="Times New Roman" w:cstheme="minorHAnsi"/>
                <w:color w:val="000000"/>
                <w:sz w:val="16"/>
                <w:szCs w:val="16"/>
                <w:lang w:eastAsia="en-GB"/>
              </w:rPr>
            </w:pPr>
            <w:r w:rsidRPr="00580DBA">
              <w:rPr>
                <w:rFonts w:eastAsia="Times New Roman" w:cstheme="minorHAnsi"/>
                <w:color w:val="000000"/>
                <w:sz w:val="16"/>
                <w:szCs w:val="16"/>
                <w:lang w:eastAsia="en-GB"/>
              </w:rPr>
              <w:t>Not finalised, but based on aspiration of "prosperity for all", and related to UN Sustainable Development Goals</w:t>
            </w:r>
          </w:p>
        </w:tc>
        <w:tc>
          <w:tcPr>
            <w:tcW w:w="1134" w:type="dxa"/>
            <w:shd w:val="clear" w:color="000000" w:fill="CCFF66"/>
            <w:tcMar>
              <w:left w:w="57" w:type="dxa"/>
              <w:right w:w="57" w:type="dxa"/>
            </w:tcMar>
            <w:vAlign w:val="center"/>
            <w:hideMark/>
          </w:tcPr>
          <w:p w14:paraId="246B8627"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Somewhat</w:t>
            </w:r>
          </w:p>
        </w:tc>
        <w:tc>
          <w:tcPr>
            <w:tcW w:w="992" w:type="dxa"/>
            <w:shd w:val="clear" w:color="000000" w:fill="CCFF66"/>
            <w:tcMar>
              <w:left w:w="57" w:type="dxa"/>
              <w:right w:w="57" w:type="dxa"/>
            </w:tcMar>
            <w:vAlign w:val="center"/>
            <w:hideMark/>
          </w:tcPr>
          <w:p w14:paraId="4C06440F"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Somewhat</w:t>
            </w:r>
          </w:p>
        </w:tc>
        <w:tc>
          <w:tcPr>
            <w:tcW w:w="1134" w:type="dxa"/>
            <w:shd w:val="clear" w:color="auto" w:fill="auto"/>
            <w:tcMar>
              <w:left w:w="57" w:type="dxa"/>
              <w:right w:w="57" w:type="dxa"/>
            </w:tcMar>
            <w:vAlign w:val="center"/>
            <w:hideMark/>
          </w:tcPr>
          <w:p w14:paraId="276DCEA4"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DEA</w:t>
            </w:r>
          </w:p>
        </w:tc>
      </w:tr>
      <w:tr w:rsidR="00E33A01" w:rsidRPr="00580DBA" w14:paraId="3E660318" w14:textId="77777777" w:rsidTr="00C32C1F">
        <w:trPr>
          <w:cantSplit/>
        </w:trPr>
        <w:tc>
          <w:tcPr>
            <w:tcW w:w="1413" w:type="dxa"/>
            <w:shd w:val="clear" w:color="auto" w:fill="auto"/>
            <w:tcMar>
              <w:left w:w="57" w:type="dxa"/>
              <w:right w:w="57" w:type="dxa"/>
            </w:tcMar>
            <w:vAlign w:val="center"/>
            <w:hideMark/>
          </w:tcPr>
          <w:p w14:paraId="38C3D002"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Wildlife Policy (2012 Draft)</w:t>
            </w:r>
          </w:p>
        </w:tc>
        <w:tc>
          <w:tcPr>
            <w:tcW w:w="5250" w:type="dxa"/>
            <w:shd w:val="clear" w:color="auto" w:fill="auto"/>
            <w:tcMar>
              <w:left w:w="57" w:type="dxa"/>
              <w:right w:w="57" w:type="dxa"/>
            </w:tcMar>
            <w:vAlign w:val="center"/>
            <w:hideMark/>
          </w:tcPr>
          <w:p w14:paraId="4B0FB1B2" w14:textId="77777777" w:rsidR="00E33A01" w:rsidRPr="00580DBA" w:rsidRDefault="00E33A01" w:rsidP="00C32C1F">
            <w:pPr>
              <w:spacing w:before="0" w:after="0"/>
              <w:jc w:val="left"/>
              <w:rPr>
                <w:rFonts w:eastAsia="Times New Roman" w:cstheme="minorHAnsi"/>
                <w:color w:val="000000"/>
                <w:sz w:val="16"/>
                <w:szCs w:val="16"/>
                <w:lang w:eastAsia="en-GB"/>
              </w:rPr>
            </w:pPr>
            <w:r w:rsidRPr="00580DBA">
              <w:rPr>
                <w:rFonts w:eastAsia="Times New Roman" w:cstheme="minorHAnsi"/>
                <w:color w:val="000000"/>
                <w:sz w:val="16"/>
                <w:szCs w:val="16"/>
                <w:lang w:eastAsia="en-GB"/>
              </w:rPr>
              <w:t>To create an enabling environment for the conservation, sustainable use and management of wildlife and biodiversity resources in order to generate development benefits for current and future generations</w:t>
            </w:r>
          </w:p>
        </w:tc>
        <w:tc>
          <w:tcPr>
            <w:tcW w:w="1134" w:type="dxa"/>
            <w:shd w:val="clear" w:color="000000" w:fill="66FF66"/>
            <w:tcMar>
              <w:left w:w="57" w:type="dxa"/>
              <w:right w:w="57" w:type="dxa"/>
            </w:tcMar>
            <w:vAlign w:val="center"/>
            <w:hideMark/>
          </w:tcPr>
          <w:p w14:paraId="3420D2C1"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Yes</w:t>
            </w:r>
          </w:p>
        </w:tc>
        <w:tc>
          <w:tcPr>
            <w:tcW w:w="992" w:type="dxa"/>
            <w:shd w:val="clear" w:color="000000" w:fill="CCFF66"/>
            <w:tcMar>
              <w:left w:w="57" w:type="dxa"/>
              <w:right w:w="57" w:type="dxa"/>
            </w:tcMar>
            <w:vAlign w:val="center"/>
            <w:hideMark/>
          </w:tcPr>
          <w:p w14:paraId="6A420ED3"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Somewhat</w:t>
            </w:r>
          </w:p>
        </w:tc>
        <w:tc>
          <w:tcPr>
            <w:tcW w:w="1134" w:type="dxa"/>
            <w:shd w:val="clear" w:color="auto" w:fill="auto"/>
            <w:tcMar>
              <w:left w:w="57" w:type="dxa"/>
              <w:right w:w="57" w:type="dxa"/>
            </w:tcMar>
            <w:vAlign w:val="center"/>
            <w:hideMark/>
          </w:tcPr>
          <w:p w14:paraId="033FB742"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DWNP</w:t>
            </w:r>
          </w:p>
        </w:tc>
      </w:tr>
      <w:tr w:rsidR="00E33A01" w:rsidRPr="00580DBA" w14:paraId="1C517C32" w14:textId="77777777" w:rsidTr="00C32C1F">
        <w:trPr>
          <w:cantSplit/>
        </w:trPr>
        <w:tc>
          <w:tcPr>
            <w:tcW w:w="1413" w:type="dxa"/>
            <w:shd w:val="clear" w:color="auto" w:fill="auto"/>
            <w:tcMar>
              <w:left w:w="57" w:type="dxa"/>
              <w:right w:w="57" w:type="dxa"/>
            </w:tcMar>
            <w:vAlign w:val="center"/>
            <w:hideMark/>
          </w:tcPr>
          <w:p w14:paraId="6A917853"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National Forest Policy (2011)</w:t>
            </w:r>
          </w:p>
        </w:tc>
        <w:tc>
          <w:tcPr>
            <w:tcW w:w="5250" w:type="dxa"/>
            <w:shd w:val="clear" w:color="auto" w:fill="auto"/>
            <w:tcMar>
              <w:left w:w="57" w:type="dxa"/>
              <w:right w:w="57" w:type="dxa"/>
            </w:tcMar>
            <w:vAlign w:val="center"/>
            <w:hideMark/>
          </w:tcPr>
          <w:p w14:paraId="69C1F95E" w14:textId="77777777" w:rsidR="00E33A01" w:rsidRPr="00580DBA" w:rsidRDefault="00E33A01" w:rsidP="00C32C1F">
            <w:pPr>
              <w:spacing w:before="0" w:after="0"/>
              <w:jc w:val="left"/>
              <w:rPr>
                <w:rFonts w:eastAsia="Times New Roman" w:cstheme="minorHAnsi"/>
                <w:color w:val="000000"/>
                <w:sz w:val="16"/>
                <w:szCs w:val="16"/>
                <w:lang w:eastAsia="en-GB"/>
              </w:rPr>
            </w:pPr>
            <w:r w:rsidRPr="00580DBA">
              <w:rPr>
                <w:rFonts w:eastAsia="Times New Roman" w:cstheme="minorHAnsi"/>
                <w:color w:val="000000"/>
                <w:sz w:val="16"/>
                <w:szCs w:val="16"/>
                <w:lang w:eastAsia="en-GB"/>
              </w:rPr>
              <w:t>a) Ensure long term sustainable management of forest resources.</w:t>
            </w:r>
            <w:r w:rsidRPr="00580DBA">
              <w:rPr>
                <w:rFonts w:eastAsia="Times New Roman" w:cstheme="minorHAnsi"/>
                <w:color w:val="000000"/>
                <w:sz w:val="16"/>
                <w:szCs w:val="16"/>
                <w:lang w:eastAsia="en-GB"/>
              </w:rPr>
              <w:br w:type="page"/>
              <w:t xml:space="preserve">b) Ensure integrity and productivity of Botswana’s ecosystems. </w:t>
            </w:r>
            <w:r w:rsidRPr="00580DBA">
              <w:rPr>
                <w:rFonts w:eastAsia="Times New Roman" w:cstheme="minorHAnsi"/>
                <w:color w:val="000000"/>
                <w:sz w:val="16"/>
                <w:szCs w:val="16"/>
                <w:lang w:eastAsia="en-GB"/>
              </w:rPr>
              <w:br w:type="page"/>
              <w:t>c) Manage movement of plant genetic resources.</w:t>
            </w:r>
            <w:r w:rsidRPr="00580DBA">
              <w:rPr>
                <w:rFonts w:eastAsia="Times New Roman" w:cstheme="minorHAnsi"/>
                <w:color w:val="000000"/>
                <w:sz w:val="16"/>
                <w:szCs w:val="16"/>
                <w:lang w:eastAsia="en-GB"/>
              </w:rPr>
              <w:br w:type="page"/>
              <w:t>d) Provide integrated wildland fire management to enhance fire management capacity, promote biodiversity and ecosystem integrity, enhance health and safety and promote benefits.</w:t>
            </w:r>
            <w:r w:rsidRPr="00580DBA">
              <w:rPr>
                <w:rFonts w:eastAsia="Times New Roman" w:cstheme="minorHAnsi"/>
                <w:color w:val="000000"/>
                <w:sz w:val="16"/>
                <w:szCs w:val="16"/>
                <w:lang w:eastAsia="en-GB"/>
              </w:rPr>
              <w:br w:type="page"/>
              <w:t>e) Increase participation of local communities, individuals and private sector in sustainable management of forest resources</w:t>
            </w:r>
            <w:r w:rsidRPr="00580DBA">
              <w:rPr>
                <w:rFonts w:eastAsia="Times New Roman" w:cstheme="minorHAnsi"/>
                <w:color w:val="000000"/>
                <w:sz w:val="16"/>
                <w:szCs w:val="16"/>
                <w:lang w:eastAsia="en-GB"/>
              </w:rPr>
              <w:br w:type="page"/>
              <w:t>f) Forestry production, with the objective of reducing land degradation and pressure on forests through promotion of forest based enterprises.</w:t>
            </w:r>
            <w:r w:rsidRPr="00580DBA">
              <w:rPr>
                <w:rFonts w:eastAsia="Times New Roman" w:cstheme="minorHAnsi"/>
                <w:color w:val="000000"/>
                <w:sz w:val="16"/>
                <w:szCs w:val="16"/>
                <w:lang w:eastAsia="en-GB"/>
              </w:rPr>
              <w:br w:type="page"/>
              <w:t>g) Research and development through developing an environment to meet forestry research needs.</w:t>
            </w:r>
            <w:r w:rsidRPr="00580DBA">
              <w:rPr>
                <w:rFonts w:eastAsia="Times New Roman" w:cstheme="minorHAnsi"/>
                <w:color w:val="000000"/>
                <w:sz w:val="16"/>
                <w:szCs w:val="16"/>
                <w:lang w:eastAsia="en-GB"/>
              </w:rPr>
              <w:br w:type="page"/>
              <w:t>h) Ecotourism and socio-economic development through exploring the potential for ecotourism and CBNRM development in forest and communal areas and encouraging participation by putting in place financial mechanisms.</w:t>
            </w:r>
            <w:r w:rsidRPr="00580DBA">
              <w:rPr>
                <w:rFonts w:eastAsia="Times New Roman" w:cstheme="minorHAnsi"/>
                <w:color w:val="000000"/>
                <w:sz w:val="16"/>
                <w:szCs w:val="16"/>
                <w:lang w:eastAsia="en-GB"/>
              </w:rPr>
              <w:br w:type="page"/>
            </w:r>
            <w:proofErr w:type="spellStart"/>
            <w:r w:rsidRPr="00580DBA">
              <w:rPr>
                <w:rFonts w:eastAsia="Times New Roman" w:cstheme="minorHAnsi"/>
                <w:color w:val="000000"/>
                <w:sz w:val="16"/>
                <w:szCs w:val="16"/>
                <w:lang w:eastAsia="en-GB"/>
              </w:rPr>
              <w:t>i</w:t>
            </w:r>
            <w:proofErr w:type="spellEnd"/>
            <w:r w:rsidRPr="00580DBA">
              <w:rPr>
                <w:rFonts w:eastAsia="Times New Roman" w:cstheme="minorHAnsi"/>
                <w:color w:val="000000"/>
                <w:sz w:val="16"/>
                <w:szCs w:val="16"/>
                <w:lang w:eastAsia="en-GB"/>
              </w:rPr>
              <w:t>) Promotion of management and sustainable use of non-wood forest products by marketing non-wood products; encouraging sustainable harvesting and preparing baseline data on veld products.</w:t>
            </w:r>
            <w:r w:rsidRPr="00580DBA">
              <w:rPr>
                <w:rFonts w:eastAsia="Times New Roman" w:cstheme="minorHAnsi"/>
                <w:color w:val="000000"/>
                <w:sz w:val="16"/>
                <w:szCs w:val="16"/>
                <w:lang w:eastAsia="en-GB"/>
              </w:rPr>
              <w:br w:type="page"/>
              <w:t>j) Development of human resource capacity in the forest sector through training and collaboration with educational institutions</w:t>
            </w:r>
            <w:r w:rsidRPr="00580DBA">
              <w:rPr>
                <w:rFonts w:eastAsia="Times New Roman" w:cstheme="minorHAnsi"/>
                <w:color w:val="000000"/>
                <w:sz w:val="16"/>
                <w:szCs w:val="16"/>
                <w:lang w:eastAsia="en-GB"/>
              </w:rPr>
              <w:br w:type="page"/>
              <w:t>k) Domestication of the appropriate ratified multilateral agreements</w:t>
            </w:r>
            <w:r w:rsidRPr="00580DBA">
              <w:rPr>
                <w:rFonts w:eastAsia="Times New Roman" w:cstheme="minorHAnsi"/>
                <w:color w:val="000000"/>
                <w:sz w:val="16"/>
                <w:szCs w:val="16"/>
                <w:lang w:eastAsia="en-GB"/>
              </w:rPr>
              <w:br w:type="page"/>
              <w:t>l) Preservation of indigenous knowledge on national flora through documentation of IK on flora, promoting research relating to traditional medicines and protecting intellectual property rights</w:t>
            </w:r>
          </w:p>
        </w:tc>
        <w:tc>
          <w:tcPr>
            <w:tcW w:w="1134" w:type="dxa"/>
            <w:shd w:val="clear" w:color="000000" w:fill="66FF66"/>
            <w:tcMar>
              <w:left w:w="57" w:type="dxa"/>
              <w:right w:w="57" w:type="dxa"/>
            </w:tcMar>
            <w:vAlign w:val="center"/>
            <w:hideMark/>
          </w:tcPr>
          <w:p w14:paraId="51887698"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Yes</w:t>
            </w:r>
          </w:p>
        </w:tc>
        <w:tc>
          <w:tcPr>
            <w:tcW w:w="992" w:type="dxa"/>
            <w:shd w:val="clear" w:color="000000" w:fill="CCFF66"/>
            <w:tcMar>
              <w:left w:w="57" w:type="dxa"/>
              <w:right w:w="57" w:type="dxa"/>
            </w:tcMar>
            <w:vAlign w:val="center"/>
            <w:hideMark/>
          </w:tcPr>
          <w:p w14:paraId="7B3A9130"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Somewhat</w:t>
            </w:r>
          </w:p>
        </w:tc>
        <w:tc>
          <w:tcPr>
            <w:tcW w:w="1134" w:type="dxa"/>
            <w:shd w:val="clear" w:color="auto" w:fill="auto"/>
            <w:tcMar>
              <w:left w:w="57" w:type="dxa"/>
              <w:right w:w="57" w:type="dxa"/>
            </w:tcMar>
            <w:vAlign w:val="center"/>
            <w:hideMark/>
          </w:tcPr>
          <w:p w14:paraId="10E0D4D4"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DFRR</w:t>
            </w:r>
          </w:p>
        </w:tc>
      </w:tr>
      <w:tr w:rsidR="00E33A01" w:rsidRPr="00580DBA" w14:paraId="515DE022" w14:textId="77777777" w:rsidTr="00C32C1F">
        <w:trPr>
          <w:cantSplit/>
        </w:trPr>
        <w:tc>
          <w:tcPr>
            <w:tcW w:w="1413" w:type="dxa"/>
            <w:shd w:val="clear" w:color="auto" w:fill="auto"/>
            <w:tcMar>
              <w:left w:w="57" w:type="dxa"/>
              <w:right w:w="57" w:type="dxa"/>
            </w:tcMar>
            <w:vAlign w:val="center"/>
            <w:hideMark/>
          </w:tcPr>
          <w:p w14:paraId="7D163FF6"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lastRenderedPageBreak/>
              <w:t>Wetlands Policy and Strategy (Draft  of 2007)</w:t>
            </w:r>
          </w:p>
        </w:tc>
        <w:tc>
          <w:tcPr>
            <w:tcW w:w="5250" w:type="dxa"/>
            <w:shd w:val="clear" w:color="auto" w:fill="auto"/>
            <w:tcMar>
              <w:left w:w="57" w:type="dxa"/>
              <w:right w:w="57" w:type="dxa"/>
            </w:tcMar>
            <w:vAlign w:val="center"/>
            <w:hideMark/>
          </w:tcPr>
          <w:p w14:paraId="59A0AA3D" w14:textId="77777777" w:rsidR="00E33A01" w:rsidRPr="00580DBA" w:rsidRDefault="00E33A01" w:rsidP="00C32C1F">
            <w:pPr>
              <w:spacing w:before="0" w:after="0"/>
              <w:jc w:val="left"/>
              <w:rPr>
                <w:rFonts w:eastAsia="Times New Roman" w:cstheme="minorHAnsi"/>
                <w:color w:val="000000"/>
                <w:sz w:val="16"/>
                <w:szCs w:val="16"/>
                <w:lang w:eastAsia="en-GB"/>
              </w:rPr>
            </w:pPr>
            <w:r w:rsidRPr="00580DBA">
              <w:rPr>
                <w:rFonts w:eastAsia="Times New Roman" w:cstheme="minorHAnsi"/>
                <w:color w:val="000000"/>
                <w:sz w:val="16"/>
                <w:szCs w:val="16"/>
                <w:lang w:eastAsia="en-GB"/>
              </w:rPr>
              <w:t>The conservation of Botswana’s wetlands, in order to sustain their ecological and socio-economic functions as well as providing benefits for the present and future well-being of the people.</w:t>
            </w:r>
          </w:p>
        </w:tc>
        <w:tc>
          <w:tcPr>
            <w:tcW w:w="1134" w:type="dxa"/>
            <w:shd w:val="clear" w:color="000000" w:fill="66FF66"/>
            <w:tcMar>
              <w:left w:w="57" w:type="dxa"/>
              <w:right w:w="57" w:type="dxa"/>
            </w:tcMar>
            <w:vAlign w:val="center"/>
            <w:hideMark/>
          </w:tcPr>
          <w:p w14:paraId="03AFD954"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Yes</w:t>
            </w:r>
          </w:p>
        </w:tc>
        <w:tc>
          <w:tcPr>
            <w:tcW w:w="992" w:type="dxa"/>
            <w:shd w:val="clear" w:color="000000" w:fill="CCFF66"/>
            <w:tcMar>
              <w:left w:w="57" w:type="dxa"/>
              <w:right w:w="57" w:type="dxa"/>
            </w:tcMar>
            <w:vAlign w:val="center"/>
            <w:hideMark/>
          </w:tcPr>
          <w:p w14:paraId="0C3125F7"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Somewhat</w:t>
            </w:r>
          </w:p>
        </w:tc>
        <w:tc>
          <w:tcPr>
            <w:tcW w:w="1134" w:type="dxa"/>
            <w:shd w:val="clear" w:color="auto" w:fill="auto"/>
            <w:tcMar>
              <w:left w:w="57" w:type="dxa"/>
              <w:right w:w="57" w:type="dxa"/>
            </w:tcMar>
            <w:vAlign w:val="center"/>
            <w:hideMark/>
          </w:tcPr>
          <w:p w14:paraId="548A1BEB"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DEA</w:t>
            </w:r>
          </w:p>
        </w:tc>
      </w:tr>
      <w:tr w:rsidR="00E33A01" w:rsidRPr="00580DBA" w14:paraId="5B697767" w14:textId="77777777" w:rsidTr="00C32C1F">
        <w:trPr>
          <w:cantSplit/>
        </w:trPr>
        <w:tc>
          <w:tcPr>
            <w:tcW w:w="1413" w:type="dxa"/>
            <w:shd w:val="clear" w:color="auto" w:fill="auto"/>
            <w:tcMar>
              <w:left w:w="57" w:type="dxa"/>
              <w:right w:w="57" w:type="dxa"/>
            </w:tcMar>
            <w:vAlign w:val="center"/>
            <w:hideMark/>
          </w:tcPr>
          <w:p w14:paraId="196C696C"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Threatened Species Management Action Policy, Implementation Strategy and Action Plan (2007)</w:t>
            </w:r>
          </w:p>
        </w:tc>
        <w:tc>
          <w:tcPr>
            <w:tcW w:w="5250" w:type="dxa"/>
            <w:shd w:val="clear" w:color="auto" w:fill="auto"/>
            <w:tcMar>
              <w:left w:w="57" w:type="dxa"/>
              <w:right w:w="57" w:type="dxa"/>
            </w:tcMar>
            <w:vAlign w:val="center"/>
            <w:hideMark/>
          </w:tcPr>
          <w:p w14:paraId="6F150B61" w14:textId="77777777" w:rsidR="00E33A01" w:rsidRPr="00580DBA" w:rsidRDefault="00E33A01" w:rsidP="00C32C1F">
            <w:pPr>
              <w:spacing w:before="0" w:after="0"/>
              <w:jc w:val="left"/>
              <w:rPr>
                <w:rFonts w:eastAsia="Times New Roman" w:cstheme="minorHAnsi"/>
                <w:color w:val="000000"/>
                <w:sz w:val="16"/>
                <w:szCs w:val="16"/>
                <w:lang w:eastAsia="en-GB"/>
              </w:rPr>
            </w:pPr>
            <w:r w:rsidRPr="00580DBA">
              <w:rPr>
                <w:rFonts w:eastAsia="Times New Roman" w:cstheme="minorHAnsi"/>
                <w:color w:val="000000"/>
                <w:sz w:val="16"/>
                <w:szCs w:val="16"/>
                <w:lang w:eastAsia="en-GB"/>
              </w:rPr>
              <w:t>To prevent the extinction of Botswana’s flora and fauna, and to provide for the recovery of species that are critically endangered, endangered or vulnerable</w:t>
            </w:r>
          </w:p>
        </w:tc>
        <w:tc>
          <w:tcPr>
            <w:tcW w:w="1134" w:type="dxa"/>
            <w:shd w:val="clear" w:color="000000" w:fill="66FF66"/>
            <w:tcMar>
              <w:left w:w="57" w:type="dxa"/>
              <w:right w:w="57" w:type="dxa"/>
            </w:tcMar>
            <w:vAlign w:val="center"/>
            <w:hideMark/>
          </w:tcPr>
          <w:p w14:paraId="15627C74"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Yes</w:t>
            </w:r>
          </w:p>
        </w:tc>
        <w:tc>
          <w:tcPr>
            <w:tcW w:w="992" w:type="dxa"/>
            <w:shd w:val="clear" w:color="000000" w:fill="CCFF66"/>
            <w:tcMar>
              <w:left w:w="57" w:type="dxa"/>
              <w:right w:w="57" w:type="dxa"/>
            </w:tcMar>
            <w:vAlign w:val="center"/>
            <w:hideMark/>
          </w:tcPr>
          <w:p w14:paraId="7E4D3D7C"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Somewhat</w:t>
            </w:r>
          </w:p>
        </w:tc>
        <w:tc>
          <w:tcPr>
            <w:tcW w:w="1134" w:type="dxa"/>
            <w:shd w:val="clear" w:color="auto" w:fill="auto"/>
            <w:tcMar>
              <w:left w:w="57" w:type="dxa"/>
              <w:right w:w="57" w:type="dxa"/>
            </w:tcMar>
            <w:vAlign w:val="center"/>
            <w:hideMark/>
          </w:tcPr>
          <w:p w14:paraId="743CCBF5"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DWNP</w:t>
            </w:r>
          </w:p>
        </w:tc>
      </w:tr>
      <w:tr w:rsidR="00E33A01" w:rsidRPr="00580DBA" w14:paraId="6EFE8947" w14:textId="77777777" w:rsidTr="00C32C1F">
        <w:trPr>
          <w:cantSplit/>
        </w:trPr>
        <w:tc>
          <w:tcPr>
            <w:tcW w:w="1413" w:type="dxa"/>
            <w:shd w:val="clear" w:color="auto" w:fill="auto"/>
            <w:tcMar>
              <w:left w:w="57" w:type="dxa"/>
              <w:right w:w="57" w:type="dxa"/>
            </w:tcMar>
            <w:vAlign w:val="center"/>
            <w:hideMark/>
          </w:tcPr>
          <w:p w14:paraId="78169EEE"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Predator Management Strategy (Draft of 2013)</w:t>
            </w:r>
          </w:p>
        </w:tc>
        <w:tc>
          <w:tcPr>
            <w:tcW w:w="5250" w:type="dxa"/>
            <w:shd w:val="clear" w:color="auto" w:fill="auto"/>
            <w:tcMar>
              <w:left w:w="57" w:type="dxa"/>
              <w:right w:w="57" w:type="dxa"/>
            </w:tcMar>
            <w:vAlign w:val="center"/>
            <w:hideMark/>
          </w:tcPr>
          <w:p w14:paraId="16DBFB9C" w14:textId="77777777" w:rsidR="00E33A01" w:rsidRPr="00580DBA" w:rsidRDefault="00E33A01" w:rsidP="00C32C1F">
            <w:pPr>
              <w:spacing w:before="0" w:after="0"/>
              <w:jc w:val="left"/>
              <w:rPr>
                <w:rFonts w:eastAsia="Times New Roman" w:cstheme="minorHAnsi"/>
                <w:color w:val="000000"/>
                <w:sz w:val="16"/>
                <w:szCs w:val="16"/>
                <w:lang w:eastAsia="en-GB"/>
              </w:rPr>
            </w:pPr>
            <w:r w:rsidRPr="00580DBA">
              <w:rPr>
                <w:rFonts w:eastAsia="Times New Roman" w:cstheme="minorHAnsi"/>
                <w:color w:val="000000"/>
                <w:sz w:val="16"/>
                <w:szCs w:val="16"/>
                <w:lang w:eastAsia="en-GB"/>
              </w:rPr>
              <w:t>Calls for the maintenance of large conservation areas as a way of ensuring all predator species are afforded protection, focusing on zoning and ecosystem approaches</w:t>
            </w:r>
          </w:p>
        </w:tc>
        <w:tc>
          <w:tcPr>
            <w:tcW w:w="1134" w:type="dxa"/>
            <w:shd w:val="clear" w:color="000000" w:fill="66FF66"/>
            <w:tcMar>
              <w:left w:w="57" w:type="dxa"/>
              <w:right w:w="57" w:type="dxa"/>
            </w:tcMar>
            <w:vAlign w:val="center"/>
            <w:hideMark/>
          </w:tcPr>
          <w:p w14:paraId="10505FEC"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Yes</w:t>
            </w:r>
          </w:p>
        </w:tc>
        <w:tc>
          <w:tcPr>
            <w:tcW w:w="992" w:type="dxa"/>
            <w:shd w:val="clear" w:color="000000" w:fill="CCFF66"/>
            <w:tcMar>
              <w:left w:w="57" w:type="dxa"/>
              <w:right w:w="57" w:type="dxa"/>
            </w:tcMar>
            <w:vAlign w:val="center"/>
            <w:hideMark/>
          </w:tcPr>
          <w:p w14:paraId="767CA8D0"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Somewhat</w:t>
            </w:r>
          </w:p>
        </w:tc>
        <w:tc>
          <w:tcPr>
            <w:tcW w:w="1134" w:type="dxa"/>
            <w:shd w:val="clear" w:color="auto" w:fill="auto"/>
            <w:tcMar>
              <w:left w:w="57" w:type="dxa"/>
              <w:right w:w="57" w:type="dxa"/>
            </w:tcMar>
            <w:vAlign w:val="center"/>
            <w:hideMark/>
          </w:tcPr>
          <w:p w14:paraId="276529BA"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DWNP</w:t>
            </w:r>
          </w:p>
        </w:tc>
      </w:tr>
      <w:tr w:rsidR="00E33A01" w:rsidRPr="00580DBA" w14:paraId="471724F1" w14:textId="77777777" w:rsidTr="00C32C1F">
        <w:trPr>
          <w:cantSplit/>
        </w:trPr>
        <w:tc>
          <w:tcPr>
            <w:tcW w:w="1413" w:type="dxa"/>
            <w:shd w:val="clear" w:color="auto" w:fill="auto"/>
            <w:tcMar>
              <w:left w:w="57" w:type="dxa"/>
              <w:right w:w="57" w:type="dxa"/>
            </w:tcMar>
            <w:vAlign w:val="center"/>
            <w:hideMark/>
          </w:tcPr>
          <w:p w14:paraId="35E5584A"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Community Based Natural Resources Management Policy (2007)</w:t>
            </w:r>
          </w:p>
        </w:tc>
        <w:tc>
          <w:tcPr>
            <w:tcW w:w="5250" w:type="dxa"/>
            <w:shd w:val="clear" w:color="auto" w:fill="auto"/>
            <w:tcMar>
              <w:left w:w="57" w:type="dxa"/>
              <w:right w:w="57" w:type="dxa"/>
            </w:tcMar>
            <w:vAlign w:val="center"/>
            <w:hideMark/>
          </w:tcPr>
          <w:p w14:paraId="3A78CD26" w14:textId="77777777" w:rsidR="00E33A01" w:rsidRPr="00580DBA" w:rsidRDefault="00E33A01" w:rsidP="00C32C1F">
            <w:pPr>
              <w:spacing w:before="0" w:after="0"/>
              <w:jc w:val="left"/>
              <w:rPr>
                <w:rFonts w:eastAsia="Times New Roman" w:cstheme="minorHAnsi"/>
                <w:color w:val="000000"/>
                <w:sz w:val="16"/>
                <w:szCs w:val="16"/>
                <w:lang w:eastAsia="en-GB"/>
              </w:rPr>
            </w:pPr>
            <w:r w:rsidRPr="00580DBA">
              <w:rPr>
                <w:rFonts w:eastAsia="Times New Roman" w:cstheme="minorHAnsi"/>
                <w:color w:val="000000"/>
                <w:sz w:val="16"/>
                <w:szCs w:val="16"/>
                <w:lang w:eastAsia="en-GB"/>
              </w:rPr>
              <w:t>Conservation-based development, where the protection of ecosystems and biodiversity is balanced against poverty reduction and rural livelihood improvement</w:t>
            </w:r>
          </w:p>
        </w:tc>
        <w:tc>
          <w:tcPr>
            <w:tcW w:w="1134" w:type="dxa"/>
            <w:shd w:val="clear" w:color="000000" w:fill="66FF66"/>
            <w:tcMar>
              <w:left w:w="57" w:type="dxa"/>
              <w:right w:w="57" w:type="dxa"/>
            </w:tcMar>
            <w:vAlign w:val="center"/>
            <w:hideMark/>
          </w:tcPr>
          <w:p w14:paraId="47630278"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Yes</w:t>
            </w:r>
          </w:p>
        </w:tc>
        <w:tc>
          <w:tcPr>
            <w:tcW w:w="992" w:type="dxa"/>
            <w:shd w:val="clear" w:color="auto" w:fill="FCF0A6"/>
            <w:tcMar>
              <w:left w:w="57" w:type="dxa"/>
              <w:right w:w="57" w:type="dxa"/>
            </w:tcMar>
            <w:vAlign w:val="center"/>
            <w:hideMark/>
          </w:tcPr>
          <w:p w14:paraId="3C62A35D"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No</w:t>
            </w:r>
          </w:p>
        </w:tc>
        <w:tc>
          <w:tcPr>
            <w:tcW w:w="1134" w:type="dxa"/>
            <w:shd w:val="clear" w:color="auto" w:fill="auto"/>
            <w:tcMar>
              <w:left w:w="57" w:type="dxa"/>
              <w:right w:w="57" w:type="dxa"/>
            </w:tcMar>
            <w:vAlign w:val="center"/>
            <w:hideMark/>
          </w:tcPr>
          <w:p w14:paraId="2F220499"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MEWT</w:t>
            </w:r>
          </w:p>
        </w:tc>
      </w:tr>
      <w:tr w:rsidR="00E33A01" w:rsidRPr="00580DBA" w14:paraId="302A6775" w14:textId="77777777" w:rsidTr="00C32C1F">
        <w:trPr>
          <w:cantSplit/>
        </w:trPr>
        <w:tc>
          <w:tcPr>
            <w:tcW w:w="1413" w:type="dxa"/>
            <w:shd w:val="clear" w:color="auto" w:fill="auto"/>
            <w:tcMar>
              <w:left w:w="57" w:type="dxa"/>
              <w:right w:w="57" w:type="dxa"/>
            </w:tcMar>
            <w:vAlign w:val="center"/>
            <w:hideMark/>
          </w:tcPr>
          <w:p w14:paraId="5DF116B4"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Indigenous Knowledge Systems Policy (Final Draft)</w:t>
            </w:r>
          </w:p>
        </w:tc>
        <w:tc>
          <w:tcPr>
            <w:tcW w:w="5250" w:type="dxa"/>
            <w:shd w:val="clear" w:color="auto" w:fill="auto"/>
            <w:tcMar>
              <w:left w:w="57" w:type="dxa"/>
              <w:right w:w="57" w:type="dxa"/>
            </w:tcMar>
            <w:vAlign w:val="center"/>
            <w:hideMark/>
          </w:tcPr>
          <w:p w14:paraId="0500D97A" w14:textId="77777777" w:rsidR="00E33A01" w:rsidRPr="00580DBA" w:rsidRDefault="00E33A01" w:rsidP="00C32C1F">
            <w:pPr>
              <w:spacing w:before="0" w:after="0"/>
              <w:jc w:val="left"/>
              <w:rPr>
                <w:rFonts w:eastAsia="Times New Roman" w:cstheme="minorHAnsi"/>
                <w:color w:val="000000"/>
                <w:sz w:val="16"/>
                <w:szCs w:val="16"/>
                <w:lang w:eastAsia="en-GB"/>
              </w:rPr>
            </w:pPr>
            <w:r w:rsidRPr="00580DBA">
              <w:rPr>
                <w:rFonts w:eastAsia="Times New Roman" w:cstheme="minorHAnsi"/>
                <w:color w:val="000000"/>
                <w:sz w:val="16"/>
                <w:szCs w:val="16"/>
                <w:lang w:eastAsia="en-GB"/>
              </w:rPr>
              <w:t>a) Anchor the nation’s expressed vision and mission for safeguarding IK and rights of holders for increased beneficiation.</w:t>
            </w:r>
            <w:r w:rsidRPr="00580DBA">
              <w:rPr>
                <w:rFonts w:eastAsia="Times New Roman" w:cstheme="minorHAnsi"/>
                <w:color w:val="000000"/>
                <w:sz w:val="16"/>
                <w:szCs w:val="16"/>
                <w:lang w:eastAsia="en-GB"/>
              </w:rPr>
              <w:br/>
              <w:t>b) Harness capital embedded within traditional/local institutions by giving them space and relevance for sustained contribution to local and national development.</w:t>
            </w:r>
            <w:r w:rsidRPr="00580DBA">
              <w:rPr>
                <w:rFonts w:eastAsia="Times New Roman" w:cstheme="minorHAnsi"/>
                <w:color w:val="000000"/>
                <w:sz w:val="16"/>
                <w:szCs w:val="16"/>
                <w:lang w:eastAsia="en-GB"/>
              </w:rPr>
              <w:br/>
              <w:t xml:space="preserve">c) Integrate and operationalise inclusive and participatory approaches to development planning and implementation embracing </w:t>
            </w:r>
            <w:proofErr w:type="spellStart"/>
            <w:r w:rsidRPr="00580DBA">
              <w:rPr>
                <w:rFonts w:eastAsia="Times New Roman" w:cstheme="minorHAnsi"/>
                <w:color w:val="000000"/>
                <w:sz w:val="16"/>
                <w:szCs w:val="16"/>
                <w:lang w:eastAsia="en-GB"/>
              </w:rPr>
              <w:t>Therisanyo</w:t>
            </w:r>
            <w:proofErr w:type="spellEnd"/>
            <w:r w:rsidRPr="00580DBA">
              <w:rPr>
                <w:rFonts w:eastAsia="Times New Roman" w:cstheme="minorHAnsi"/>
                <w:color w:val="000000"/>
                <w:sz w:val="16"/>
                <w:szCs w:val="16"/>
                <w:lang w:eastAsia="en-GB"/>
              </w:rPr>
              <w:t>.</w:t>
            </w:r>
            <w:r w:rsidRPr="00580DBA">
              <w:rPr>
                <w:rFonts w:eastAsia="Times New Roman" w:cstheme="minorHAnsi"/>
                <w:color w:val="000000"/>
                <w:sz w:val="16"/>
                <w:szCs w:val="16"/>
                <w:lang w:eastAsia="en-GB"/>
              </w:rPr>
              <w:br/>
              <w:t>d) Provide the basis for designing programmes and services that are administered in a manner consistent with IKS.</w:t>
            </w:r>
            <w:r w:rsidRPr="00580DBA">
              <w:rPr>
                <w:rFonts w:eastAsia="Times New Roman" w:cstheme="minorHAnsi"/>
                <w:color w:val="000000"/>
                <w:sz w:val="16"/>
                <w:szCs w:val="16"/>
                <w:lang w:eastAsia="en-GB"/>
              </w:rPr>
              <w:br/>
              <w:t>e) Provide structure for implementation, enhancing integrity and restoring the pride of Batswana by enabling engagement in sustained IK use for national development.</w:t>
            </w:r>
          </w:p>
        </w:tc>
        <w:tc>
          <w:tcPr>
            <w:tcW w:w="1134" w:type="dxa"/>
            <w:shd w:val="clear" w:color="000000" w:fill="CCFF66"/>
            <w:tcMar>
              <w:left w:w="57" w:type="dxa"/>
              <w:right w:w="57" w:type="dxa"/>
            </w:tcMar>
            <w:vAlign w:val="center"/>
            <w:hideMark/>
          </w:tcPr>
          <w:p w14:paraId="0CA3C7E2"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Somewhat</w:t>
            </w:r>
          </w:p>
        </w:tc>
        <w:tc>
          <w:tcPr>
            <w:tcW w:w="992" w:type="dxa"/>
            <w:shd w:val="clear" w:color="000000" w:fill="CCFF66"/>
            <w:tcMar>
              <w:left w:w="57" w:type="dxa"/>
              <w:right w:w="57" w:type="dxa"/>
            </w:tcMar>
            <w:vAlign w:val="center"/>
            <w:hideMark/>
          </w:tcPr>
          <w:p w14:paraId="0237E32D"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Somewhat</w:t>
            </w:r>
          </w:p>
        </w:tc>
        <w:tc>
          <w:tcPr>
            <w:tcW w:w="1134" w:type="dxa"/>
            <w:shd w:val="clear" w:color="auto" w:fill="auto"/>
            <w:tcMar>
              <w:left w:w="57" w:type="dxa"/>
              <w:right w:w="57" w:type="dxa"/>
            </w:tcMar>
            <w:vAlign w:val="center"/>
            <w:hideMark/>
          </w:tcPr>
          <w:p w14:paraId="3512E00F"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Rural Development Council</w:t>
            </w:r>
          </w:p>
        </w:tc>
      </w:tr>
      <w:tr w:rsidR="00E33A01" w:rsidRPr="00580DBA" w14:paraId="319501E1" w14:textId="77777777" w:rsidTr="00C32C1F">
        <w:trPr>
          <w:cantSplit/>
        </w:trPr>
        <w:tc>
          <w:tcPr>
            <w:tcW w:w="1413" w:type="dxa"/>
            <w:shd w:val="clear" w:color="auto" w:fill="auto"/>
            <w:tcMar>
              <w:left w:w="57" w:type="dxa"/>
              <w:right w:w="57" w:type="dxa"/>
            </w:tcMar>
            <w:vAlign w:val="center"/>
            <w:hideMark/>
          </w:tcPr>
          <w:p w14:paraId="65CFD356"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Environmental Research Strategy (Draft of 2010)</w:t>
            </w:r>
          </w:p>
        </w:tc>
        <w:tc>
          <w:tcPr>
            <w:tcW w:w="5250" w:type="dxa"/>
            <w:shd w:val="clear" w:color="auto" w:fill="auto"/>
            <w:tcMar>
              <w:left w:w="57" w:type="dxa"/>
              <w:right w:w="57" w:type="dxa"/>
            </w:tcMar>
            <w:vAlign w:val="center"/>
            <w:hideMark/>
          </w:tcPr>
          <w:p w14:paraId="70EB704B" w14:textId="77777777" w:rsidR="00E33A01" w:rsidRPr="00580DBA" w:rsidRDefault="00E33A01" w:rsidP="00C32C1F">
            <w:pPr>
              <w:spacing w:before="0" w:after="0"/>
              <w:jc w:val="left"/>
              <w:rPr>
                <w:rFonts w:eastAsia="Times New Roman" w:cstheme="minorHAnsi"/>
                <w:color w:val="000000"/>
                <w:sz w:val="16"/>
                <w:szCs w:val="16"/>
                <w:lang w:eastAsia="en-GB"/>
              </w:rPr>
            </w:pPr>
            <w:r w:rsidRPr="00580DBA">
              <w:rPr>
                <w:rFonts w:eastAsia="Times New Roman" w:cstheme="minorHAnsi"/>
                <w:color w:val="000000"/>
                <w:sz w:val="16"/>
                <w:szCs w:val="16"/>
                <w:lang w:eastAsia="en-GB"/>
              </w:rPr>
              <w:t>1. Enhance national environmental management by seeking effective solutions to existing problems, prevent new ones arising and develop people’s environmental awareness and active participation in resolving and preventing them.</w:t>
            </w:r>
            <w:r w:rsidRPr="00580DBA">
              <w:rPr>
                <w:rFonts w:eastAsia="Times New Roman" w:cstheme="minorHAnsi"/>
                <w:color w:val="000000"/>
                <w:sz w:val="16"/>
                <w:szCs w:val="16"/>
                <w:lang w:eastAsia="en-GB"/>
              </w:rPr>
              <w:br/>
              <w:t>2. Strengthen the environmental dimension in decision making, policies, programmes and plans at national, sectoral and local level.</w:t>
            </w:r>
            <w:r w:rsidRPr="00580DBA">
              <w:rPr>
                <w:rFonts w:eastAsia="Times New Roman" w:cstheme="minorHAnsi"/>
                <w:color w:val="000000"/>
                <w:sz w:val="16"/>
                <w:szCs w:val="16"/>
                <w:lang w:eastAsia="en-GB"/>
              </w:rPr>
              <w:br/>
              <w:t>3. Attend to the material, spiritual, cultural and environmental needs of the people</w:t>
            </w:r>
          </w:p>
        </w:tc>
        <w:tc>
          <w:tcPr>
            <w:tcW w:w="1134" w:type="dxa"/>
            <w:shd w:val="clear" w:color="000000" w:fill="CCFF66"/>
            <w:tcMar>
              <w:left w:w="57" w:type="dxa"/>
              <w:right w:w="57" w:type="dxa"/>
            </w:tcMar>
            <w:vAlign w:val="center"/>
            <w:hideMark/>
          </w:tcPr>
          <w:p w14:paraId="133FD639"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Somewhat</w:t>
            </w:r>
          </w:p>
        </w:tc>
        <w:tc>
          <w:tcPr>
            <w:tcW w:w="992" w:type="dxa"/>
            <w:shd w:val="clear" w:color="000000" w:fill="CCFF66"/>
            <w:tcMar>
              <w:left w:w="57" w:type="dxa"/>
              <w:right w:w="57" w:type="dxa"/>
            </w:tcMar>
            <w:vAlign w:val="center"/>
            <w:hideMark/>
          </w:tcPr>
          <w:p w14:paraId="130A0E9E"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Somewhat</w:t>
            </w:r>
          </w:p>
        </w:tc>
        <w:tc>
          <w:tcPr>
            <w:tcW w:w="1134" w:type="dxa"/>
            <w:shd w:val="clear" w:color="auto" w:fill="auto"/>
            <w:tcMar>
              <w:left w:w="57" w:type="dxa"/>
              <w:right w:w="57" w:type="dxa"/>
            </w:tcMar>
            <w:vAlign w:val="center"/>
            <w:hideMark/>
          </w:tcPr>
          <w:p w14:paraId="03DF88F0"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MEWT</w:t>
            </w:r>
          </w:p>
        </w:tc>
      </w:tr>
      <w:tr w:rsidR="00E33A01" w:rsidRPr="00580DBA" w14:paraId="1AB5D840" w14:textId="77777777" w:rsidTr="00C32C1F">
        <w:trPr>
          <w:cantSplit/>
        </w:trPr>
        <w:tc>
          <w:tcPr>
            <w:tcW w:w="1413" w:type="dxa"/>
            <w:shd w:val="clear" w:color="auto" w:fill="auto"/>
            <w:tcMar>
              <w:left w:w="57" w:type="dxa"/>
              <w:right w:w="57" w:type="dxa"/>
            </w:tcMar>
            <w:vAlign w:val="center"/>
            <w:hideMark/>
          </w:tcPr>
          <w:p w14:paraId="3C75F266"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Waste Management Strategy (1998)</w:t>
            </w:r>
          </w:p>
        </w:tc>
        <w:tc>
          <w:tcPr>
            <w:tcW w:w="5250" w:type="dxa"/>
            <w:shd w:val="clear" w:color="auto" w:fill="auto"/>
            <w:tcMar>
              <w:left w:w="57" w:type="dxa"/>
              <w:right w:w="57" w:type="dxa"/>
            </w:tcMar>
            <w:vAlign w:val="center"/>
            <w:hideMark/>
          </w:tcPr>
          <w:p w14:paraId="13E10ED8" w14:textId="77777777" w:rsidR="00E33A01" w:rsidRPr="00580DBA" w:rsidRDefault="00E33A01" w:rsidP="00C32C1F">
            <w:pPr>
              <w:spacing w:before="0" w:after="0"/>
              <w:jc w:val="left"/>
              <w:rPr>
                <w:rFonts w:eastAsia="Times New Roman" w:cstheme="minorHAnsi"/>
                <w:color w:val="000000"/>
                <w:sz w:val="16"/>
                <w:szCs w:val="16"/>
                <w:lang w:eastAsia="en-GB"/>
              </w:rPr>
            </w:pPr>
            <w:r w:rsidRPr="00580DBA">
              <w:rPr>
                <w:rFonts w:eastAsia="Times New Roman" w:cstheme="minorHAnsi"/>
                <w:color w:val="000000"/>
                <w:sz w:val="16"/>
                <w:szCs w:val="16"/>
                <w:lang w:eastAsia="en-GB"/>
              </w:rPr>
              <w:t>Focused on minimising waste, maximising reuse and recycling, and promoting environmentally sound disposal, and based on principles of: prevention; polluter pays; co-operation</w:t>
            </w:r>
          </w:p>
        </w:tc>
        <w:tc>
          <w:tcPr>
            <w:tcW w:w="1134" w:type="dxa"/>
            <w:shd w:val="clear" w:color="000000" w:fill="CCFF66"/>
            <w:tcMar>
              <w:left w:w="57" w:type="dxa"/>
              <w:right w:w="57" w:type="dxa"/>
            </w:tcMar>
            <w:vAlign w:val="center"/>
            <w:hideMark/>
          </w:tcPr>
          <w:p w14:paraId="3C033B80"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Somewhat</w:t>
            </w:r>
          </w:p>
        </w:tc>
        <w:tc>
          <w:tcPr>
            <w:tcW w:w="992" w:type="dxa"/>
            <w:shd w:val="clear" w:color="000000" w:fill="CCFF66"/>
            <w:tcMar>
              <w:left w:w="57" w:type="dxa"/>
              <w:right w:w="57" w:type="dxa"/>
            </w:tcMar>
            <w:vAlign w:val="center"/>
            <w:hideMark/>
          </w:tcPr>
          <w:p w14:paraId="630E7ED4"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Somewhat</w:t>
            </w:r>
          </w:p>
        </w:tc>
        <w:tc>
          <w:tcPr>
            <w:tcW w:w="1134" w:type="dxa"/>
            <w:shd w:val="clear" w:color="auto" w:fill="auto"/>
            <w:tcMar>
              <w:left w:w="57" w:type="dxa"/>
              <w:right w:w="57" w:type="dxa"/>
            </w:tcMar>
            <w:vAlign w:val="center"/>
            <w:hideMark/>
          </w:tcPr>
          <w:p w14:paraId="3E248958"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DWMPC</w:t>
            </w:r>
          </w:p>
        </w:tc>
      </w:tr>
      <w:tr w:rsidR="00E33A01" w:rsidRPr="00580DBA" w14:paraId="795DFDEC" w14:textId="77777777" w:rsidTr="00C32C1F">
        <w:trPr>
          <w:cantSplit/>
        </w:trPr>
        <w:tc>
          <w:tcPr>
            <w:tcW w:w="1413" w:type="dxa"/>
            <w:shd w:val="clear" w:color="auto" w:fill="auto"/>
            <w:tcMar>
              <w:left w:w="57" w:type="dxa"/>
              <w:right w:w="57" w:type="dxa"/>
            </w:tcMar>
            <w:vAlign w:val="center"/>
            <w:hideMark/>
          </w:tcPr>
          <w:p w14:paraId="4D35DC93"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National Policy on Agricultural Development (1991 but being updated)</w:t>
            </w:r>
          </w:p>
        </w:tc>
        <w:tc>
          <w:tcPr>
            <w:tcW w:w="5250" w:type="dxa"/>
            <w:shd w:val="clear" w:color="auto" w:fill="auto"/>
            <w:tcMar>
              <w:left w:w="57" w:type="dxa"/>
              <w:right w:w="57" w:type="dxa"/>
            </w:tcMar>
            <w:vAlign w:val="center"/>
            <w:hideMark/>
          </w:tcPr>
          <w:p w14:paraId="265BDEA0" w14:textId="77777777" w:rsidR="00E33A01" w:rsidRPr="00580DBA" w:rsidRDefault="00E33A01" w:rsidP="00C32C1F">
            <w:pPr>
              <w:spacing w:before="0" w:after="0"/>
              <w:jc w:val="left"/>
              <w:rPr>
                <w:rFonts w:eastAsia="Times New Roman" w:cstheme="minorHAnsi"/>
                <w:color w:val="000000"/>
                <w:sz w:val="16"/>
                <w:szCs w:val="16"/>
                <w:lang w:eastAsia="en-GB"/>
              </w:rPr>
            </w:pPr>
            <w:r w:rsidRPr="00580DBA">
              <w:rPr>
                <w:rFonts w:eastAsia="Times New Roman" w:cstheme="minorHAnsi"/>
                <w:color w:val="000000"/>
                <w:sz w:val="16"/>
                <w:szCs w:val="16"/>
                <w:lang w:eastAsia="en-GB"/>
              </w:rPr>
              <w:t>The conservation of agricultural and land resources for future generations</w:t>
            </w:r>
          </w:p>
        </w:tc>
        <w:tc>
          <w:tcPr>
            <w:tcW w:w="1134" w:type="dxa"/>
            <w:shd w:val="clear" w:color="000000" w:fill="CCFF66"/>
            <w:tcMar>
              <w:left w:w="57" w:type="dxa"/>
              <w:right w:w="57" w:type="dxa"/>
            </w:tcMar>
            <w:vAlign w:val="center"/>
            <w:hideMark/>
          </w:tcPr>
          <w:p w14:paraId="2D787731"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Somewhat</w:t>
            </w:r>
          </w:p>
        </w:tc>
        <w:tc>
          <w:tcPr>
            <w:tcW w:w="992" w:type="dxa"/>
            <w:shd w:val="clear" w:color="000000" w:fill="CCFF66"/>
            <w:tcMar>
              <w:left w:w="57" w:type="dxa"/>
              <w:right w:w="57" w:type="dxa"/>
            </w:tcMar>
            <w:vAlign w:val="center"/>
            <w:hideMark/>
          </w:tcPr>
          <w:p w14:paraId="01816F31"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Somewhat</w:t>
            </w:r>
          </w:p>
        </w:tc>
        <w:tc>
          <w:tcPr>
            <w:tcW w:w="1134" w:type="dxa"/>
            <w:shd w:val="clear" w:color="auto" w:fill="auto"/>
            <w:tcMar>
              <w:left w:w="57" w:type="dxa"/>
              <w:right w:w="57" w:type="dxa"/>
            </w:tcMar>
            <w:vAlign w:val="center"/>
            <w:hideMark/>
          </w:tcPr>
          <w:p w14:paraId="5D935CDA"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DAP and DCP</w:t>
            </w:r>
          </w:p>
        </w:tc>
      </w:tr>
      <w:tr w:rsidR="00E33A01" w:rsidRPr="00580DBA" w14:paraId="3D33D0BF" w14:textId="77777777" w:rsidTr="00C32C1F">
        <w:trPr>
          <w:cantSplit/>
        </w:trPr>
        <w:tc>
          <w:tcPr>
            <w:tcW w:w="1413" w:type="dxa"/>
            <w:shd w:val="clear" w:color="auto" w:fill="auto"/>
            <w:tcMar>
              <w:left w:w="57" w:type="dxa"/>
              <w:right w:w="57" w:type="dxa"/>
            </w:tcMar>
            <w:vAlign w:val="center"/>
            <w:hideMark/>
          </w:tcPr>
          <w:p w14:paraId="25E32D2A"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Strategy for Economic Diversification and Sustainable Growth</w:t>
            </w:r>
          </w:p>
        </w:tc>
        <w:tc>
          <w:tcPr>
            <w:tcW w:w="5250" w:type="dxa"/>
            <w:shd w:val="clear" w:color="auto" w:fill="auto"/>
            <w:tcMar>
              <w:left w:w="57" w:type="dxa"/>
              <w:right w:w="57" w:type="dxa"/>
            </w:tcMar>
            <w:vAlign w:val="center"/>
            <w:hideMark/>
          </w:tcPr>
          <w:p w14:paraId="1748636D" w14:textId="77777777" w:rsidR="00E33A01" w:rsidRPr="00580DBA" w:rsidRDefault="00E33A01" w:rsidP="00C32C1F">
            <w:pPr>
              <w:spacing w:before="0" w:after="0"/>
              <w:jc w:val="left"/>
              <w:rPr>
                <w:rFonts w:eastAsia="Times New Roman" w:cstheme="minorHAnsi"/>
                <w:color w:val="000000"/>
                <w:sz w:val="16"/>
                <w:szCs w:val="16"/>
                <w:lang w:eastAsia="en-GB"/>
              </w:rPr>
            </w:pPr>
            <w:r w:rsidRPr="00580DBA">
              <w:rPr>
                <w:rFonts w:eastAsia="Times New Roman" w:cstheme="minorHAnsi"/>
                <w:color w:val="000000"/>
                <w:sz w:val="16"/>
                <w:szCs w:val="16"/>
                <w:lang w:eastAsia="en-GB"/>
              </w:rPr>
              <w:t>Accelerating economic diversification and growth, and thus reduce dependence on the mining sector, notably diamonds</w:t>
            </w:r>
          </w:p>
        </w:tc>
        <w:tc>
          <w:tcPr>
            <w:tcW w:w="1134" w:type="dxa"/>
            <w:shd w:val="clear" w:color="000000" w:fill="FCF0A6"/>
            <w:tcMar>
              <w:left w:w="57" w:type="dxa"/>
              <w:right w:w="57" w:type="dxa"/>
            </w:tcMar>
            <w:vAlign w:val="center"/>
            <w:hideMark/>
          </w:tcPr>
          <w:p w14:paraId="4F1B04CB"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No</w:t>
            </w:r>
          </w:p>
        </w:tc>
        <w:tc>
          <w:tcPr>
            <w:tcW w:w="992" w:type="dxa"/>
            <w:shd w:val="clear" w:color="000000" w:fill="FCF0A6"/>
            <w:tcMar>
              <w:left w:w="57" w:type="dxa"/>
              <w:right w:w="57" w:type="dxa"/>
            </w:tcMar>
            <w:vAlign w:val="center"/>
            <w:hideMark/>
          </w:tcPr>
          <w:p w14:paraId="5A93C26D"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No</w:t>
            </w:r>
          </w:p>
        </w:tc>
        <w:tc>
          <w:tcPr>
            <w:tcW w:w="1134" w:type="dxa"/>
            <w:shd w:val="clear" w:color="auto" w:fill="auto"/>
            <w:tcMar>
              <w:left w:w="57" w:type="dxa"/>
              <w:right w:w="57" w:type="dxa"/>
            </w:tcMar>
            <w:vAlign w:val="center"/>
            <w:hideMark/>
          </w:tcPr>
          <w:p w14:paraId="7196B1E7"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Business and Economic Advisory Council</w:t>
            </w:r>
          </w:p>
        </w:tc>
      </w:tr>
      <w:tr w:rsidR="00E33A01" w:rsidRPr="00580DBA" w14:paraId="3BE73AD0" w14:textId="77777777" w:rsidTr="00C32C1F">
        <w:trPr>
          <w:cantSplit/>
        </w:trPr>
        <w:tc>
          <w:tcPr>
            <w:tcW w:w="1413" w:type="dxa"/>
            <w:shd w:val="clear" w:color="auto" w:fill="auto"/>
            <w:tcMar>
              <w:left w:w="57" w:type="dxa"/>
              <w:right w:w="57" w:type="dxa"/>
            </w:tcMar>
            <w:vAlign w:val="center"/>
            <w:hideMark/>
          </w:tcPr>
          <w:p w14:paraId="07DC0389" w14:textId="77777777" w:rsidR="00E33A01" w:rsidRPr="00580DBA" w:rsidRDefault="00E33A01" w:rsidP="00C32C1F">
            <w:pPr>
              <w:spacing w:before="0" w:after="0"/>
              <w:jc w:val="center"/>
              <w:rPr>
                <w:rFonts w:eastAsia="Times New Roman" w:cstheme="minorHAnsi"/>
                <w:sz w:val="16"/>
                <w:szCs w:val="16"/>
                <w:lang w:eastAsia="en-GB"/>
              </w:rPr>
            </w:pPr>
            <w:r w:rsidRPr="00580DBA">
              <w:rPr>
                <w:rFonts w:eastAsia="Times New Roman" w:cstheme="minorHAnsi"/>
                <w:sz w:val="16"/>
                <w:szCs w:val="16"/>
                <w:lang w:eastAsia="en-GB"/>
              </w:rPr>
              <w:t>Integrated National Wildland Fire Management Strategy (Final Draft of 2012)</w:t>
            </w:r>
          </w:p>
        </w:tc>
        <w:tc>
          <w:tcPr>
            <w:tcW w:w="5250" w:type="dxa"/>
            <w:shd w:val="clear" w:color="auto" w:fill="auto"/>
            <w:tcMar>
              <w:left w:w="57" w:type="dxa"/>
              <w:right w:w="57" w:type="dxa"/>
            </w:tcMar>
            <w:vAlign w:val="center"/>
            <w:hideMark/>
          </w:tcPr>
          <w:p w14:paraId="1E805193" w14:textId="77777777" w:rsidR="00E33A01" w:rsidRPr="00580DBA" w:rsidRDefault="00E33A01" w:rsidP="00C32C1F">
            <w:pPr>
              <w:spacing w:before="0" w:after="0"/>
              <w:jc w:val="left"/>
              <w:rPr>
                <w:rFonts w:eastAsia="Times New Roman" w:cstheme="minorHAnsi"/>
                <w:sz w:val="16"/>
                <w:szCs w:val="16"/>
                <w:lang w:eastAsia="en-GB"/>
              </w:rPr>
            </w:pPr>
            <w:r w:rsidRPr="00580DBA">
              <w:rPr>
                <w:rFonts w:eastAsia="Times New Roman" w:cstheme="minorHAnsi"/>
                <w:sz w:val="16"/>
                <w:szCs w:val="16"/>
                <w:lang w:eastAsia="en-GB"/>
              </w:rPr>
              <w:t>To provide a framework for an integrated wildland fire management approach that will enhance the fire management capacity of all stakeholders and so promote biodiversity and ecosystem integrity, enhance human health and safety, and promote social, cultural and economic benefits at all levels of society/</w:t>
            </w:r>
          </w:p>
        </w:tc>
        <w:tc>
          <w:tcPr>
            <w:tcW w:w="1134" w:type="dxa"/>
            <w:shd w:val="clear" w:color="000000" w:fill="CCFF66"/>
            <w:tcMar>
              <w:left w:w="57" w:type="dxa"/>
              <w:right w:w="57" w:type="dxa"/>
            </w:tcMar>
            <w:vAlign w:val="center"/>
            <w:hideMark/>
          </w:tcPr>
          <w:p w14:paraId="3BC62DB9"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Somewhat</w:t>
            </w:r>
          </w:p>
        </w:tc>
        <w:tc>
          <w:tcPr>
            <w:tcW w:w="992" w:type="dxa"/>
            <w:shd w:val="clear" w:color="000000" w:fill="CCFF66"/>
            <w:tcMar>
              <w:left w:w="57" w:type="dxa"/>
              <w:right w:w="57" w:type="dxa"/>
            </w:tcMar>
            <w:vAlign w:val="center"/>
            <w:hideMark/>
          </w:tcPr>
          <w:p w14:paraId="3CD4EA53"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Somewhat</w:t>
            </w:r>
          </w:p>
        </w:tc>
        <w:tc>
          <w:tcPr>
            <w:tcW w:w="1134" w:type="dxa"/>
            <w:shd w:val="clear" w:color="auto" w:fill="auto"/>
            <w:tcMar>
              <w:left w:w="57" w:type="dxa"/>
              <w:right w:w="57" w:type="dxa"/>
            </w:tcMar>
            <w:vAlign w:val="center"/>
            <w:hideMark/>
          </w:tcPr>
          <w:p w14:paraId="4F2E3D01" w14:textId="77777777" w:rsidR="00E33A01" w:rsidRPr="00580DBA" w:rsidRDefault="00E33A01" w:rsidP="00C32C1F">
            <w:pPr>
              <w:spacing w:before="0" w:after="0"/>
              <w:jc w:val="center"/>
              <w:rPr>
                <w:rFonts w:eastAsia="Times New Roman" w:cstheme="minorHAnsi"/>
                <w:sz w:val="16"/>
                <w:szCs w:val="16"/>
                <w:lang w:eastAsia="en-GB"/>
              </w:rPr>
            </w:pPr>
            <w:r w:rsidRPr="00580DBA">
              <w:rPr>
                <w:rFonts w:eastAsia="Times New Roman" w:cstheme="minorHAnsi"/>
                <w:sz w:val="16"/>
                <w:szCs w:val="16"/>
                <w:lang w:eastAsia="en-GB"/>
              </w:rPr>
              <w:t>DFRR</w:t>
            </w:r>
          </w:p>
        </w:tc>
      </w:tr>
      <w:tr w:rsidR="00E33A01" w:rsidRPr="00580DBA" w14:paraId="2AF0B29F" w14:textId="77777777" w:rsidTr="00C32C1F">
        <w:trPr>
          <w:cantSplit/>
        </w:trPr>
        <w:tc>
          <w:tcPr>
            <w:tcW w:w="1413" w:type="dxa"/>
            <w:shd w:val="clear" w:color="auto" w:fill="auto"/>
            <w:tcMar>
              <w:left w:w="57" w:type="dxa"/>
              <w:right w:w="57" w:type="dxa"/>
            </w:tcMar>
            <w:vAlign w:val="center"/>
            <w:hideMark/>
          </w:tcPr>
          <w:p w14:paraId="30C8032C" w14:textId="77777777" w:rsidR="00E33A01" w:rsidRPr="00580DBA" w:rsidRDefault="00E33A01" w:rsidP="00C32C1F">
            <w:pPr>
              <w:spacing w:before="0" w:after="0"/>
              <w:jc w:val="center"/>
              <w:rPr>
                <w:rFonts w:eastAsia="Times New Roman" w:cstheme="minorHAnsi"/>
                <w:sz w:val="16"/>
                <w:szCs w:val="16"/>
                <w:lang w:eastAsia="en-GB"/>
              </w:rPr>
            </w:pPr>
            <w:r w:rsidRPr="00580DBA">
              <w:rPr>
                <w:rFonts w:eastAsia="Times New Roman" w:cstheme="minorHAnsi"/>
                <w:sz w:val="16"/>
                <w:szCs w:val="16"/>
                <w:lang w:eastAsia="en-GB"/>
              </w:rPr>
              <w:t>Land Policy (2015)</w:t>
            </w:r>
          </w:p>
        </w:tc>
        <w:tc>
          <w:tcPr>
            <w:tcW w:w="5250" w:type="dxa"/>
            <w:shd w:val="clear" w:color="auto" w:fill="auto"/>
            <w:tcMar>
              <w:left w:w="57" w:type="dxa"/>
              <w:right w:w="57" w:type="dxa"/>
            </w:tcMar>
            <w:vAlign w:val="center"/>
            <w:hideMark/>
          </w:tcPr>
          <w:p w14:paraId="042E7F03" w14:textId="77777777" w:rsidR="00E33A01" w:rsidRPr="00580DBA" w:rsidRDefault="00E33A01" w:rsidP="00C32C1F">
            <w:pPr>
              <w:spacing w:before="0" w:after="0"/>
              <w:jc w:val="left"/>
              <w:rPr>
                <w:rFonts w:eastAsia="Times New Roman" w:cstheme="minorHAnsi"/>
                <w:sz w:val="16"/>
                <w:szCs w:val="16"/>
                <w:lang w:eastAsia="en-GB"/>
              </w:rPr>
            </w:pPr>
            <w:r w:rsidRPr="00580DBA">
              <w:rPr>
                <w:rFonts w:eastAsia="Times New Roman" w:cstheme="minorHAnsi"/>
                <w:sz w:val="16"/>
                <w:szCs w:val="16"/>
                <w:lang w:eastAsia="en-GB"/>
              </w:rPr>
              <w:t>To provide policy direction and guidelines for implementing land related laws and programmes that promote access, equity, efficiency and transparency in land allocation.</w:t>
            </w:r>
          </w:p>
        </w:tc>
        <w:tc>
          <w:tcPr>
            <w:tcW w:w="1134" w:type="dxa"/>
            <w:shd w:val="clear" w:color="000000" w:fill="FCF0A6"/>
            <w:tcMar>
              <w:left w:w="57" w:type="dxa"/>
              <w:right w:w="57" w:type="dxa"/>
            </w:tcMar>
            <w:vAlign w:val="center"/>
            <w:hideMark/>
          </w:tcPr>
          <w:p w14:paraId="06CB4945"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No</w:t>
            </w:r>
          </w:p>
        </w:tc>
        <w:tc>
          <w:tcPr>
            <w:tcW w:w="992" w:type="dxa"/>
            <w:shd w:val="clear" w:color="000000" w:fill="FCF0A6"/>
            <w:tcMar>
              <w:left w:w="57" w:type="dxa"/>
              <w:right w:w="57" w:type="dxa"/>
            </w:tcMar>
            <w:vAlign w:val="center"/>
            <w:hideMark/>
          </w:tcPr>
          <w:p w14:paraId="3FC691DE"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No</w:t>
            </w:r>
          </w:p>
        </w:tc>
        <w:tc>
          <w:tcPr>
            <w:tcW w:w="1134" w:type="dxa"/>
            <w:shd w:val="clear" w:color="auto" w:fill="auto"/>
            <w:tcMar>
              <w:left w:w="57" w:type="dxa"/>
              <w:right w:w="57" w:type="dxa"/>
            </w:tcMar>
            <w:vAlign w:val="center"/>
            <w:hideMark/>
          </w:tcPr>
          <w:p w14:paraId="3FD6B529" w14:textId="77777777" w:rsidR="00E33A01" w:rsidRPr="00580DBA" w:rsidRDefault="00E33A01" w:rsidP="00C32C1F">
            <w:pPr>
              <w:spacing w:before="0" w:after="0"/>
              <w:jc w:val="center"/>
              <w:rPr>
                <w:rFonts w:eastAsia="Times New Roman" w:cstheme="minorHAnsi"/>
                <w:sz w:val="16"/>
                <w:szCs w:val="16"/>
                <w:lang w:eastAsia="en-GB"/>
              </w:rPr>
            </w:pPr>
            <w:r w:rsidRPr="00580DBA">
              <w:rPr>
                <w:rFonts w:eastAsia="Times New Roman" w:cstheme="minorHAnsi"/>
                <w:sz w:val="16"/>
                <w:szCs w:val="16"/>
                <w:lang w:eastAsia="en-GB"/>
              </w:rPr>
              <w:t>MLH</w:t>
            </w:r>
          </w:p>
        </w:tc>
      </w:tr>
      <w:tr w:rsidR="00E33A01" w:rsidRPr="00580DBA" w14:paraId="4933C70E" w14:textId="77777777" w:rsidTr="00C32C1F">
        <w:trPr>
          <w:cantSplit/>
        </w:trPr>
        <w:tc>
          <w:tcPr>
            <w:tcW w:w="1413" w:type="dxa"/>
            <w:shd w:val="clear" w:color="auto" w:fill="auto"/>
            <w:tcMar>
              <w:left w:w="57" w:type="dxa"/>
              <w:right w:w="57" w:type="dxa"/>
            </w:tcMar>
            <w:vAlign w:val="center"/>
            <w:hideMark/>
          </w:tcPr>
          <w:p w14:paraId="6F015799" w14:textId="77777777" w:rsidR="00E33A01" w:rsidRPr="00580DBA" w:rsidRDefault="00E33A01" w:rsidP="00C32C1F">
            <w:pPr>
              <w:spacing w:before="0" w:after="0"/>
              <w:jc w:val="center"/>
              <w:rPr>
                <w:rFonts w:eastAsia="Times New Roman" w:cstheme="minorHAnsi"/>
                <w:sz w:val="16"/>
                <w:szCs w:val="16"/>
                <w:lang w:eastAsia="en-GB"/>
              </w:rPr>
            </w:pPr>
            <w:r w:rsidRPr="00580DBA">
              <w:rPr>
                <w:rFonts w:eastAsia="Times New Roman" w:cstheme="minorHAnsi"/>
                <w:sz w:val="16"/>
                <w:szCs w:val="16"/>
                <w:lang w:eastAsia="en-GB"/>
              </w:rPr>
              <w:t>Tourism Policy (1990)</w:t>
            </w:r>
          </w:p>
        </w:tc>
        <w:tc>
          <w:tcPr>
            <w:tcW w:w="5250" w:type="dxa"/>
            <w:shd w:val="clear" w:color="auto" w:fill="auto"/>
            <w:tcMar>
              <w:left w:w="57" w:type="dxa"/>
              <w:right w:w="57" w:type="dxa"/>
            </w:tcMar>
            <w:vAlign w:val="center"/>
            <w:hideMark/>
          </w:tcPr>
          <w:p w14:paraId="218A809F" w14:textId="77777777" w:rsidR="00E33A01" w:rsidRPr="00580DBA" w:rsidRDefault="00E33A01" w:rsidP="00C32C1F">
            <w:pPr>
              <w:spacing w:before="0" w:after="0"/>
              <w:jc w:val="left"/>
              <w:rPr>
                <w:rFonts w:eastAsia="Times New Roman" w:cstheme="minorHAnsi"/>
                <w:sz w:val="16"/>
                <w:szCs w:val="16"/>
                <w:lang w:eastAsia="en-GB"/>
              </w:rPr>
            </w:pPr>
            <w:r w:rsidRPr="00580DBA">
              <w:rPr>
                <w:rFonts w:eastAsia="Times New Roman" w:cstheme="minorHAnsi"/>
                <w:sz w:val="16"/>
                <w:szCs w:val="16"/>
                <w:lang w:eastAsia="en-GB"/>
              </w:rPr>
              <w:t>• Increase foreign exchanges earnings and government revenues;</w:t>
            </w:r>
            <w:r w:rsidRPr="00580DBA">
              <w:rPr>
                <w:rFonts w:eastAsia="Times New Roman" w:cstheme="minorHAnsi"/>
                <w:sz w:val="16"/>
                <w:szCs w:val="16"/>
                <w:lang w:eastAsia="en-GB"/>
              </w:rPr>
              <w:br/>
              <w:t>• Generate employment mainly in rural areas;</w:t>
            </w:r>
            <w:r w:rsidRPr="00580DBA">
              <w:rPr>
                <w:rFonts w:eastAsia="Times New Roman" w:cstheme="minorHAnsi"/>
                <w:sz w:val="16"/>
                <w:szCs w:val="16"/>
                <w:lang w:eastAsia="en-GB"/>
              </w:rPr>
              <w:br/>
              <w:t>• Raise incomes in rural areas in order to reduce urban drift;</w:t>
            </w:r>
            <w:r w:rsidRPr="00580DBA">
              <w:rPr>
                <w:rFonts w:eastAsia="Times New Roman" w:cstheme="minorHAnsi"/>
                <w:sz w:val="16"/>
                <w:szCs w:val="16"/>
                <w:lang w:eastAsia="en-GB"/>
              </w:rPr>
              <w:br/>
              <w:t>• Promote rural development and the provision of services in remote areas;</w:t>
            </w:r>
            <w:r w:rsidRPr="00580DBA">
              <w:rPr>
                <w:rFonts w:eastAsia="Times New Roman" w:cstheme="minorHAnsi"/>
                <w:sz w:val="16"/>
                <w:szCs w:val="16"/>
                <w:lang w:eastAsia="en-GB"/>
              </w:rPr>
              <w:br/>
              <w:t>• Improve the quality of life by providing recreational opportunities; • Establish a favourable national image to the outside world.</w:t>
            </w:r>
          </w:p>
        </w:tc>
        <w:tc>
          <w:tcPr>
            <w:tcW w:w="1134" w:type="dxa"/>
            <w:shd w:val="clear" w:color="000000" w:fill="FCF0A6"/>
            <w:tcMar>
              <w:left w:w="57" w:type="dxa"/>
              <w:right w:w="57" w:type="dxa"/>
            </w:tcMar>
            <w:vAlign w:val="center"/>
            <w:hideMark/>
          </w:tcPr>
          <w:p w14:paraId="597506F0"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No</w:t>
            </w:r>
          </w:p>
        </w:tc>
        <w:tc>
          <w:tcPr>
            <w:tcW w:w="992" w:type="dxa"/>
            <w:shd w:val="clear" w:color="000000" w:fill="FCF0A6"/>
            <w:tcMar>
              <w:left w:w="57" w:type="dxa"/>
              <w:right w:w="57" w:type="dxa"/>
            </w:tcMar>
            <w:vAlign w:val="center"/>
            <w:hideMark/>
          </w:tcPr>
          <w:p w14:paraId="79980159"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No</w:t>
            </w:r>
          </w:p>
        </w:tc>
        <w:tc>
          <w:tcPr>
            <w:tcW w:w="1134" w:type="dxa"/>
            <w:shd w:val="clear" w:color="auto" w:fill="auto"/>
            <w:tcMar>
              <w:left w:w="57" w:type="dxa"/>
              <w:right w:w="57" w:type="dxa"/>
            </w:tcMar>
            <w:vAlign w:val="center"/>
            <w:hideMark/>
          </w:tcPr>
          <w:p w14:paraId="57789D34" w14:textId="77777777" w:rsidR="00E33A01" w:rsidRPr="00580DBA" w:rsidRDefault="00E33A01" w:rsidP="00C32C1F">
            <w:pPr>
              <w:spacing w:before="0" w:after="0"/>
              <w:jc w:val="center"/>
              <w:rPr>
                <w:rFonts w:eastAsia="Times New Roman" w:cstheme="minorHAnsi"/>
                <w:sz w:val="16"/>
                <w:szCs w:val="16"/>
                <w:lang w:eastAsia="en-GB"/>
              </w:rPr>
            </w:pPr>
            <w:r w:rsidRPr="00580DBA">
              <w:rPr>
                <w:rFonts w:eastAsia="Times New Roman" w:cstheme="minorHAnsi"/>
                <w:sz w:val="16"/>
                <w:szCs w:val="16"/>
                <w:lang w:eastAsia="en-GB"/>
              </w:rPr>
              <w:t>Dept of Tourism, BTO</w:t>
            </w:r>
          </w:p>
        </w:tc>
      </w:tr>
      <w:tr w:rsidR="00E33A01" w:rsidRPr="00580DBA" w14:paraId="16968396" w14:textId="77777777" w:rsidTr="00C32C1F">
        <w:trPr>
          <w:cantSplit/>
        </w:trPr>
        <w:tc>
          <w:tcPr>
            <w:tcW w:w="1413" w:type="dxa"/>
            <w:shd w:val="clear" w:color="auto" w:fill="auto"/>
            <w:tcMar>
              <w:left w:w="57" w:type="dxa"/>
              <w:right w:w="57" w:type="dxa"/>
            </w:tcMar>
            <w:vAlign w:val="center"/>
            <w:hideMark/>
          </w:tcPr>
          <w:p w14:paraId="626844E4"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lastRenderedPageBreak/>
              <w:t>Ecotourism Strategy (2002)</w:t>
            </w:r>
          </w:p>
        </w:tc>
        <w:tc>
          <w:tcPr>
            <w:tcW w:w="5250" w:type="dxa"/>
            <w:shd w:val="clear" w:color="auto" w:fill="auto"/>
            <w:tcMar>
              <w:left w:w="57" w:type="dxa"/>
              <w:right w:w="57" w:type="dxa"/>
            </w:tcMar>
            <w:vAlign w:val="center"/>
            <w:hideMark/>
          </w:tcPr>
          <w:p w14:paraId="5527D2BE" w14:textId="77777777" w:rsidR="00E33A01" w:rsidRPr="00580DBA" w:rsidRDefault="00E33A01" w:rsidP="00C32C1F">
            <w:pPr>
              <w:spacing w:before="0" w:after="0"/>
              <w:jc w:val="left"/>
              <w:rPr>
                <w:rFonts w:eastAsia="Times New Roman" w:cstheme="minorHAnsi"/>
                <w:color w:val="000000"/>
                <w:sz w:val="16"/>
                <w:szCs w:val="16"/>
                <w:lang w:eastAsia="en-GB"/>
              </w:rPr>
            </w:pPr>
            <w:r w:rsidRPr="00580DBA">
              <w:rPr>
                <w:rFonts w:eastAsia="Times New Roman" w:cstheme="minorHAnsi"/>
                <w:color w:val="000000"/>
                <w:sz w:val="16"/>
                <w:szCs w:val="16"/>
                <w:lang w:eastAsia="en-GB"/>
              </w:rPr>
              <w:t>Minimising negative social, cultural and environmental impacts.</w:t>
            </w:r>
            <w:r w:rsidRPr="00580DBA">
              <w:rPr>
                <w:rFonts w:eastAsia="Times New Roman" w:cstheme="minorHAnsi"/>
                <w:color w:val="000000"/>
                <w:sz w:val="16"/>
                <w:szCs w:val="16"/>
                <w:lang w:eastAsia="en-GB"/>
              </w:rPr>
              <w:br/>
              <w:t>Maximising the involvement in, and the equitable distribution of economic benefits to, host communities.</w:t>
            </w:r>
            <w:r w:rsidRPr="00580DBA">
              <w:rPr>
                <w:rFonts w:eastAsia="Times New Roman" w:cstheme="minorHAnsi"/>
                <w:color w:val="000000"/>
                <w:sz w:val="16"/>
                <w:szCs w:val="16"/>
                <w:lang w:eastAsia="en-GB"/>
              </w:rPr>
              <w:br/>
              <w:t>Maximising revenues for re-investment in conservation.</w:t>
            </w:r>
            <w:r w:rsidRPr="00580DBA">
              <w:rPr>
                <w:rFonts w:eastAsia="Times New Roman" w:cstheme="minorHAnsi"/>
                <w:color w:val="000000"/>
                <w:sz w:val="16"/>
                <w:szCs w:val="16"/>
                <w:lang w:eastAsia="en-GB"/>
              </w:rPr>
              <w:br/>
              <w:t>Educating both visitors and local people as to the importance of conserving natural and cultural resources.</w:t>
            </w:r>
            <w:r w:rsidRPr="00580DBA">
              <w:rPr>
                <w:rFonts w:eastAsia="Times New Roman" w:cstheme="minorHAnsi"/>
                <w:color w:val="000000"/>
                <w:sz w:val="16"/>
                <w:szCs w:val="16"/>
                <w:lang w:eastAsia="en-GB"/>
              </w:rPr>
              <w:br/>
              <w:t>Delivering a quality experience for tourists</w:t>
            </w:r>
          </w:p>
        </w:tc>
        <w:tc>
          <w:tcPr>
            <w:tcW w:w="1134" w:type="dxa"/>
            <w:shd w:val="clear" w:color="000000" w:fill="CCFF66"/>
            <w:tcMar>
              <w:left w:w="57" w:type="dxa"/>
              <w:right w:w="57" w:type="dxa"/>
            </w:tcMar>
            <w:vAlign w:val="center"/>
            <w:hideMark/>
          </w:tcPr>
          <w:p w14:paraId="73CC9CC9"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Somewhat</w:t>
            </w:r>
          </w:p>
        </w:tc>
        <w:tc>
          <w:tcPr>
            <w:tcW w:w="992" w:type="dxa"/>
            <w:shd w:val="clear" w:color="000000" w:fill="FCF0A6"/>
            <w:tcMar>
              <w:left w:w="57" w:type="dxa"/>
              <w:right w:w="57" w:type="dxa"/>
            </w:tcMar>
            <w:vAlign w:val="center"/>
            <w:hideMark/>
          </w:tcPr>
          <w:p w14:paraId="0BA7BC17"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No</w:t>
            </w:r>
          </w:p>
        </w:tc>
        <w:tc>
          <w:tcPr>
            <w:tcW w:w="1134" w:type="dxa"/>
            <w:shd w:val="clear" w:color="auto" w:fill="auto"/>
            <w:tcMar>
              <w:left w:w="57" w:type="dxa"/>
              <w:right w:w="57" w:type="dxa"/>
            </w:tcMar>
            <w:vAlign w:val="center"/>
            <w:hideMark/>
          </w:tcPr>
          <w:p w14:paraId="3CE77594"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Dept of Tourism, BTO</w:t>
            </w:r>
          </w:p>
        </w:tc>
      </w:tr>
      <w:tr w:rsidR="00E33A01" w:rsidRPr="00580DBA" w14:paraId="759D0508" w14:textId="77777777" w:rsidTr="00C32C1F">
        <w:trPr>
          <w:cantSplit/>
        </w:trPr>
        <w:tc>
          <w:tcPr>
            <w:tcW w:w="1413" w:type="dxa"/>
            <w:shd w:val="clear" w:color="auto" w:fill="auto"/>
            <w:tcMar>
              <w:left w:w="57" w:type="dxa"/>
              <w:right w:w="57" w:type="dxa"/>
            </w:tcMar>
            <w:vAlign w:val="center"/>
            <w:hideMark/>
          </w:tcPr>
          <w:p w14:paraId="2742DCA6"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Draft Climate Change Response Policy (Draft of 2016)</w:t>
            </w:r>
          </w:p>
        </w:tc>
        <w:tc>
          <w:tcPr>
            <w:tcW w:w="5250" w:type="dxa"/>
            <w:shd w:val="clear" w:color="auto" w:fill="auto"/>
            <w:tcMar>
              <w:left w:w="57" w:type="dxa"/>
              <w:right w:w="57" w:type="dxa"/>
            </w:tcMar>
            <w:vAlign w:val="center"/>
            <w:hideMark/>
          </w:tcPr>
          <w:p w14:paraId="4B1786E6" w14:textId="77777777" w:rsidR="00E33A01" w:rsidRPr="00580DBA" w:rsidRDefault="00E33A01" w:rsidP="00C32C1F">
            <w:pPr>
              <w:spacing w:before="0" w:after="0"/>
              <w:jc w:val="left"/>
              <w:rPr>
                <w:rFonts w:eastAsia="Times New Roman" w:cstheme="minorHAnsi"/>
                <w:color w:val="000000"/>
                <w:sz w:val="16"/>
                <w:szCs w:val="16"/>
                <w:lang w:eastAsia="en-GB"/>
              </w:rPr>
            </w:pPr>
            <w:r w:rsidRPr="00580DBA">
              <w:rPr>
                <w:rFonts w:eastAsia="Times New Roman" w:cstheme="minorHAnsi"/>
                <w:color w:val="000000"/>
                <w:sz w:val="16"/>
                <w:szCs w:val="16"/>
                <w:lang w:eastAsia="en-GB"/>
              </w:rPr>
              <w:t>To mainstream sustainability and climate change into development planning and in so doing, enhance Botswana’s resilience and capacity to respond to existing and anticipated climate change impacts.</w:t>
            </w:r>
          </w:p>
        </w:tc>
        <w:tc>
          <w:tcPr>
            <w:tcW w:w="1134" w:type="dxa"/>
            <w:shd w:val="clear" w:color="000000" w:fill="CCFF66"/>
            <w:tcMar>
              <w:left w:w="57" w:type="dxa"/>
              <w:right w:w="57" w:type="dxa"/>
            </w:tcMar>
            <w:vAlign w:val="center"/>
            <w:hideMark/>
          </w:tcPr>
          <w:p w14:paraId="609F010A"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Somewhat</w:t>
            </w:r>
          </w:p>
        </w:tc>
        <w:tc>
          <w:tcPr>
            <w:tcW w:w="992" w:type="dxa"/>
            <w:shd w:val="clear" w:color="000000" w:fill="66FF66"/>
            <w:tcMar>
              <w:left w:w="57" w:type="dxa"/>
              <w:right w:w="57" w:type="dxa"/>
            </w:tcMar>
            <w:vAlign w:val="center"/>
            <w:hideMark/>
          </w:tcPr>
          <w:p w14:paraId="4EF7D484"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Yes</w:t>
            </w:r>
          </w:p>
        </w:tc>
        <w:tc>
          <w:tcPr>
            <w:tcW w:w="1134" w:type="dxa"/>
            <w:shd w:val="clear" w:color="auto" w:fill="auto"/>
            <w:tcMar>
              <w:left w:w="57" w:type="dxa"/>
              <w:right w:w="57" w:type="dxa"/>
            </w:tcMar>
            <w:vAlign w:val="center"/>
            <w:hideMark/>
          </w:tcPr>
          <w:p w14:paraId="14A0BDC6"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DMS</w:t>
            </w:r>
          </w:p>
        </w:tc>
      </w:tr>
      <w:tr w:rsidR="00E33A01" w:rsidRPr="00580DBA" w14:paraId="088C5187" w14:textId="77777777" w:rsidTr="00C32C1F">
        <w:trPr>
          <w:cantSplit/>
          <w:tblHeader/>
        </w:trPr>
        <w:tc>
          <w:tcPr>
            <w:tcW w:w="9923" w:type="dxa"/>
            <w:gridSpan w:val="5"/>
            <w:shd w:val="clear" w:color="auto" w:fill="A6A6A6" w:themeFill="background1" w:themeFillShade="A6"/>
            <w:tcMar>
              <w:left w:w="57" w:type="dxa"/>
              <w:right w:w="57" w:type="dxa"/>
            </w:tcMar>
            <w:vAlign w:val="center"/>
          </w:tcPr>
          <w:p w14:paraId="23D6F546" w14:textId="77777777" w:rsidR="00E33A01" w:rsidRPr="00580DBA" w:rsidRDefault="00E33A01" w:rsidP="00C32C1F">
            <w:pPr>
              <w:spacing w:before="0" w:after="0"/>
              <w:jc w:val="left"/>
              <w:rPr>
                <w:rFonts w:eastAsia="Times New Roman" w:cstheme="minorHAnsi"/>
                <w:b/>
                <w:bCs/>
                <w:color w:val="000000"/>
                <w:sz w:val="16"/>
                <w:szCs w:val="16"/>
                <w:lang w:eastAsia="en-GB"/>
              </w:rPr>
            </w:pPr>
            <w:r>
              <w:rPr>
                <w:rFonts w:eastAsia="Times New Roman" w:cstheme="minorHAnsi"/>
                <w:b/>
                <w:bCs/>
                <w:color w:val="000000"/>
                <w:sz w:val="16"/>
                <w:szCs w:val="16"/>
                <w:lang w:eastAsia="en-GB"/>
              </w:rPr>
              <w:t>Legal Acts</w:t>
            </w:r>
          </w:p>
        </w:tc>
      </w:tr>
      <w:tr w:rsidR="00E33A01" w:rsidRPr="00580DBA" w14:paraId="1BD008F5" w14:textId="77777777" w:rsidTr="00C32C1F">
        <w:trPr>
          <w:cantSplit/>
        </w:trPr>
        <w:tc>
          <w:tcPr>
            <w:tcW w:w="1413" w:type="dxa"/>
            <w:shd w:val="clear" w:color="auto" w:fill="auto"/>
            <w:tcMar>
              <w:left w:w="57" w:type="dxa"/>
              <w:right w:w="57" w:type="dxa"/>
            </w:tcMar>
            <w:vAlign w:val="center"/>
            <w:hideMark/>
          </w:tcPr>
          <w:p w14:paraId="0A206C62"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Environmental Assessment Act (2011)</w:t>
            </w:r>
          </w:p>
        </w:tc>
        <w:tc>
          <w:tcPr>
            <w:tcW w:w="5250" w:type="dxa"/>
            <w:shd w:val="clear" w:color="auto" w:fill="auto"/>
            <w:tcMar>
              <w:left w:w="57" w:type="dxa"/>
              <w:right w:w="57" w:type="dxa"/>
            </w:tcMar>
            <w:vAlign w:val="center"/>
            <w:hideMark/>
          </w:tcPr>
          <w:p w14:paraId="18EA91E5" w14:textId="77777777" w:rsidR="00E33A01" w:rsidRPr="00580DBA" w:rsidRDefault="00E33A01" w:rsidP="00C32C1F">
            <w:pPr>
              <w:spacing w:before="0" w:after="0"/>
              <w:jc w:val="left"/>
              <w:rPr>
                <w:rFonts w:eastAsia="Times New Roman" w:cstheme="minorHAnsi"/>
                <w:color w:val="000000"/>
                <w:sz w:val="16"/>
                <w:szCs w:val="16"/>
                <w:lang w:eastAsia="en-GB"/>
              </w:rPr>
            </w:pPr>
            <w:r w:rsidRPr="00580DBA">
              <w:rPr>
                <w:rFonts w:eastAsia="Times New Roman" w:cstheme="minorHAnsi"/>
                <w:color w:val="000000"/>
                <w:sz w:val="16"/>
                <w:szCs w:val="16"/>
                <w:lang w:eastAsia="en-GB"/>
              </w:rPr>
              <w:t xml:space="preserve">Requires that environmental assessment studies be carried out for listed </w:t>
            </w:r>
            <w:proofErr w:type="spellStart"/>
            <w:r w:rsidRPr="00580DBA">
              <w:rPr>
                <w:rFonts w:eastAsia="Times New Roman" w:cstheme="minorHAnsi"/>
                <w:color w:val="000000"/>
                <w:sz w:val="16"/>
                <w:szCs w:val="16"/>
                <w:lang w:eastAsia="en-GB"/>
              </w:rPr>
              <w:t>activitie</w:t>
            </w:r>
            <w:proofErr w:type="spellEnd"/>
            <w:r>
              <w:rPr>
                <w:rFonts w:eastAsia="Times New Roman" w:cstheme="minorHAnsi"/>
                <w:color w:val="000000"/>
                <w:sz w:val="16"/>
                <w:szCs w:val="16"/>
                <w:lang w:eastAsia="en-GB"/>
              </w:rPr>
              <w:t xml:space="preserve"> </w:t>
            </w:r>
            <w:r w:rsidRPr="00580DBA">
              <w:rPr>
                <w:rFonts w:eastAsia="Times New Roman" w:cstheme="minorHAnsi"/>
                <w:color w:val="000000"/>
                <w:sz w:val="16"/>
                <w:szCs w:val="16"/>
                <w:lang w:eastAsia="en-GB"/>
              </w:rPr>
              <w:t>sin order to protect natural resources and minimising disruptions to the people’s way of life</w:t>
            </w:r>
          </w:p>
        </w:tc>
        <w:tc>
          <w:tcPr>
            <w:tcW w:w="1134" w:type="dxa"/>
            <w:shd w:val="clear" w:color="000000" w:fill="CCFF66"/>
            <w:tcMar>
              <w:left w:w="57" w:type="dxa"/>
              <w:right w:w="57" w:type="dxa"/>
            </w:tcMar>
            <w:vAlign w:val="center"/>
            <w:hideMark/>
          </w:tcPr>
          <w:p w14:paraId="79EBAAB2"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Somewhat</w:t>
            </w:r>
          </w:p>
        </w:tc>
        <w:tc>
          <w:tcPr>
            <w:tcW w:w="992" w:type="dxa"/>
            <w:shd w:val="clear" w:color="000000" w:fill="FCF0A6"/>
            <w:tcMar>
              <w:left w:w="57" w:type="dxa"/>
              <w:right w:w="57" w:type="dxa"/>
            </w:tcMar>
            <w:vAlign w:val="center"/>
            <w:hideMark/>
          </w:tcPr>
          <w:p w14:paraId="61006AD2"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No</w:t>
            </w:r>
          </w:p>
        </w:tc>
        <w:tc>
          <w:tcPr>
            <w:tcW w:w="1134" w:type="dxa"/>
            <w:shd w:val="clear" w:color="auto" w:fill="auto"/>
            <w:tcMar>
              <w:left w:w="57" w:type="dxa"/>
              <w:right w:w="57" w:type="dxa"/>
            </w:tcMar>
            <w:vAlign w:val="center"/>
            <w:hideMark/>
          </w:tcPr>
          <w:p w14:paraId="680ED360"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DEA</w:t>
            </w:r>
          </w:p>
        </w:tc>
      </w:tr>
      <w:tr w:rsidR="00E33A01" w:rsidRPr="00580DBA" w14:paraId="618101E1" w14:textId="77777777" w:rsidTr="00C32C1F">
        <w:trPr>
          <w:cantSplit/>
        </w:trPr>
        <w:tc>
          <w:tcPr>
            <w:tcW w:w="1413" w:type="dxa"/>
            <w:shd w:val="clear" w:color="auto" w:fill="auto"/>
            <w:tcMar>
              <w:left w:w="57" w:type="dxa"/>
              <w:right w:w="57" w:type="dxa"/>
            </w:tcMar>
            <w:vAlign w:val="center"/>
            <w:hideMark/>
          </w:tcPr>
          <w:p w14:paraId="16F454E1"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Tribal Land Act (amended 1993)</w:t>
            </w:r>
          </w:p>
        </w:tc>
        <w:tc>
          <w:tcPr>
            <w:tcW w:w="5250" w:type="dxa"/>
            <w:shd w:val="clear" w:color="auto" w:fill="auto"/>
            <w:tcMar>
              <w:left w:w="57" w:type="dxa"/>
              <w:right w:w="57" w:type="dxa"/>
            </w:tcMar>
            <w:vAlign w:val="center"/>
            <w:hideMark/>
          </w:tcPr>
          <w:p w14:paraId="36690638" w14:textId="77777777" w:rsidR="00E33A01" w:rsidRPr="00580DBA" w:rsidRDefault="00E33A01" w:rsidP="00C32C1F">
            <w:pPr>
              <w:spacing w:before="0" w:after="0"/>
              <w:jc w:val="left"/>
              <w:rPr>
                <w:rFonts w:eastAsia="Times New Roman" w:cstheme="minorHAnsi"/>
                <w:color w:val="000000"/>
                <w:sz w:val="16"/>
                <w:szCs w:val="16"/>
                <w:lang w:eastAsia="en-GB"/>
              </w:rPr>
            </w:pPr>
            <w:r w:rsidRPr="00580DBA">
              <w:rPr>
                <w:rFonts w:eastAsia="Times New Roman" w:cstheme="minorHAnsi"/>
                <w:color w:val="000000"/>
                <w:sz w:val="16"/>
                <w:szCs w:val="16"/>
                <w:lang w:eastAsia="en-GB"/>
              </w:rPr>
              <w:t>Describes the responsibility of Tribal Land Boards relating to tribal land and explains their authority in relation to subsequent land issues.</w:t>
            </w:r>
          </w:p>
        </w:tc>
        <w:tc>
          <w:tcPr>
            <w:tcW w:w="1134" w:type="dxa"/>
            <w:shd w:val="clear" w:color="000000" w:fill="FCF0A6"/>
            <w:tcMar>
              <w:left w:w="57" w:type="dxa"/>
              <w:right w:w="57" w:type="dxa"/>
            </w:tcMar>
            <w:vAlign w:val="center"/>
            <w:hideMark/>
          </w:tcPr>
          <w:p w14:paraId="76205AF2"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No</w:t>
            </w:r>
          </w:p>
        </w:tc>
        <w:tc>
          <w:tcPr>
            <w:tcW w:w="992" w:type="dxa"/>
            <w:shd w:val="clear" w:color="000000" w:fill="FCF0A6"/>
            <w:tcMar>
              <w:left w:w="57" w:type="dxa"/>
              <w:right w:w="57" w:type="dxa"/>
            </w:tcMar>
            <w:vAlign w:val="center"/>
            <w:hideMark/>
          </w:tcPr>
          <w:p w14:paraId="524DF67D"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No</w:t>
            </w:r>
          </w:p>
        </w:tc>
        <w:tc>
          <w:tcPr>
            <w:tcW w:w="1134" w:type="dxa"/>
            <w:shd w:val="clear" w:color="auto" w:fill="auto"/>
            <w:tcMar>
              <w:left w:w="57" w:type="dxa"/>
              <w:right w:w="57" w:type="dxa"/>
            </w:tcMar>
            <w:vAlign w:val="center"/>
            <w:hideMark/>
          </w:tcPr>
          <w:p w14:paraId="13F60DED"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Land Boards</w:t>
            </w:r>
          </w:p>
        </w:tc>
      </w:tr>
      <w:tr w:rsidR="00E33A01" w:rsidRPr="00580DBA" w14:paraId="1340C42D" w14:textId="77777777" w:rsidTr="00C32C1F">
        <w:trPr>
          <w:cantSplit/>
        </w:trPr>
        <w:tc>
          <w:tcPr>
            <w:tcW w:w="1413" w:type="dxa"/>
            <w:shd w:val="clear" w:color="auto" w:fill="auto"/>
            <w:tcMar>
              <w:left w:w="57" w:type="dxa"/>
              <w:right w:w="57" w:type="dxa"/>
            </w:tcMar>
            <w:vAlign w:val="center"/>
            <w:hideMark/>
          </w:tcPr>
          <w:p w14:paraId="2D320B34"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State Land Act (1966)</w:t>
            </w:r>
          </w:p>
        </w:tc>
        <w:tc>
          <w:tcPr>
            <w:tcW w:w="5250" w:type="dxa"/>
            <w:shd w:val="clear" w:color="auto" w:fill="auto"/>
            <w:tcMar>
              <w:left w:w="57" w:type="dxa"/>
              <w:right w:w="57" w:type="dxa"/>
            </w:tcMar>
            <w:vAlign w:val="center"/>
            <w:hideMark/>
          </w:tcPr>
          <w:p w14:paraId="73E48408" w14:textId="77777777" w:rsidR="00E33A01" w:rsidRPr="00580DBA" w:rsidRDefault="00E33A01" w:rsidP="00C32C1F">
            <w:pPr>
              <w:spacing w:before="0" w:after="0"/>
              <w:jc w:val="left"/>
              <w:rPr>
                <w:rFonts w:eastAsia="Times New Roman" w:cstheme="minorHAnsi"/>
                <w:color w:val="000000"/>
                <w:sz w:val="16"/>
                <w:szCs w:val="16"/>
                <w:lang w:eastAsia="en-GB"/>
              </w:rPr>
            </w:pPr>
            <w:r w:rsidRPr="00580DBA">
              <w:rPr>
                <w:rFonts w:eastAsia="Times New Roman" w:cstheme="minorHAnsi"/>
                <w:color w:val="000000"/>
                <w:sz w:val="16"/>
                <w:szCs w:val="16"/>
                <w:lang w:eastAsia="en-GB"/>
              </w:rPr>
              <w:t>Defines state land as unalienated land and reacquired land held by the state for the nation and national interest.</w:t>
            </w:r>
          </w:p>
        </w:tc>
        <w:tc>
          <w:tcPr>
            <w:tcW w:w="1134" w:type="dxa"/>
            <w:shd w:val="clear" w:color="000000" w:fill="FCF0A6"/>
            <w:tcMar>
              <w:left w:w="57" w:type="dxa"/>
              <w:right w:w="57" w:type="dxa"/>
            </w:tcMar>
            <w:vAlign w:val="center"/>
            <w:hideMark/>
          </w:tcPr>
          <w:p w14:paraId="20AA2550"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No</w:t>
            </w:r>
          </w:p>
        </w:tc>
        <w:tc>
          <w:tcPr>
            <w:tcW w:w="992" w:type="dxa"/>
            <w:shd w:val="clear" w:color="000000" w:fill="FCF0A6"/>
            <w:tcMar>
              <w:left w:w="57" w:type="dxa"/>
              <w:right w:w="57" w:type="dxa"/>
            </w:tcMar>
            <w:vAlign w:val="center"/>
            <w:hideMark/>
          </w:tcPr>
          <w:p w14:paraId="3A663206"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No</w:t>
            </w:r>
          </w:p>
        </w:tc>
        <w:tc>
          <w:tcPr>
            <w:tcW w:w="1134" w:type="dxa"/>
            <w:shd w:val="clear" w:color="auto" w:fill="auto"/>
            <w:tcMar>
              <w:left w:w="57" w:type="dxa"/>
              <w:right w:w="57" w:type="dxa"/>
            </w:tcMar>
            <w:vAlign w:val="center"/>
            <w:hideMark/>
          </w:tcPr>
          <w:p w14:paraId="7D99E059"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Department of Lands</w:t>
            </w:r>
          </w:p>
        </w:tc>
      </w:tr>
      <w:tr w:rsidR="00E33A01" w:rsidRPr="00580DBA" w14:paraId="5A0E7488" w14:textId="77777777" w:rsidTr="00C32C1F">
        <w:trPr>
          <w:cantSplit/>
        </w:trPr>
        <w:tc>
          <w:tcPr>
            <w:tcW w:w="1413" w:type="dxa"/>
            <w:shd w:val="clear" w:color="auto" w:fill="auto"/>
            <w:tcMar>
              <w:left w:w="57" w:type="dxa"/>
              <w:right w:w="57" w:type="dxa"/>
            </w:tcMar>
            <w:vAlign w:val="center"/>
            <w:hideMark/>
          </w:tcPr>
          <w:p w14:paraId="36B29FFB"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Forest Act (1968)</w:t>
            </w:r>
          </w:p>
        </w:tc>
        <w:tc>
          <w:tcPr>
            <w:tcW w:w="5250" w:type="dxa"/>
            <w:shd w:val="clear" w:color="auto" w:fill="auto"/>
            <w:tcMar>
              <w:left w:w="57" w:type="dxa"/>
              <w:right w:w="57" w:type="dxa"/>
            </w:tcMar>
            <w:vAlign w:val="center"/>
            <w:hideMark/>
          </w:tcPr>
          <w:p w14:paraId="7DB02B68" w14:textId="77777777" w:rsidR="00E33A01" w:rsidRPr="00580DBA" w:rsidRDefault="00E33A01" w:rsidP="00C32C1F">
            <w:pPr>
              <w:spacing w:before="0" w:after="0"/>
              <w:jc w:val="left"/>
              <w:rPr>
                <w:rFonts w:eastAsia="Times New Roman" w:cstheme="minorHAnsi"/>
                <w:color w:val="000000"/>
                <w:sz w:val="16"/>
                <w:szCs w:val="16"/>
                <w:lang w:eastAsia="en-GB"/>
              </w:rPr>
            </w:pPr>
            <w:r w:rsidRPr="00580DBA">
              <w:rPr>
                <w:rFonts w:eastAsia="Times New Roman" w:cstheme="minorHAnsi"/>
                <w:color w:val="000000"/>
                <w:sz w:val="16"/>
                <w:szCs w:val="16"/>
                <w:lang w:eastAsia="en-GB"/>
              </w:rPr>
              <w:t>Provides for the protection of forests and forest produce. Forest produce includes trees, brushwood, leaves, seeds, grass, reeds, fruits, roots, and bark. Focus is mainly on those areas of State Land gazetted as forest reserve</w:t>
            </w:r>
          </w:p>
        </w:tc>
        <w:tc>
          <w:tcPr>
            <w:tcW w:w="1134" w:type="dxa"/>
            <w:shd w:val="clear" w:color="000000" w:fill="66FF66"/>
            <w:tcMar>
              <w:left w:w="57" w:type="dxa"/>
              <w:right w:w="57" w:type="dxa"/>
            </w:tcMar>
            <w:vAlign w:val="center"/>
            <w:hideMark/>
          </w:tcPr>
          <w:p w14:paraId="6A7E4311"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Yes</w:t>
            </w:r>
          </w:p>
        </w:tc>
        <w:tc>
          <w:tcPr>
            <w:tcW w:w="992" w:type="dxa"/>
            <w:shd w:val="clear" w:color="000000" w:fill="FCF0A6"/>
            <w:tcMar>
              <w:left w:w="57" w:type="dxa"/>
              <w:right w:w="57" w:type="dxa"/>
            </w:tcMar>
            <w:vAlign w:val="center"/>
            <w:hideMark/>
          </w:tcPr>
          <w:p w14:paraId="08DFE0FC"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No</w:t>
            </w:r>
          </w:p>
        </w:tc>
        <w:tc>
          <w:tcPr>
            <w:tcW w:w="1134" w:type="dxa"/>
            <w:shd w:val="clear" w:color="auto" w:fill="auto"/>
            <w:tcMar>
              <w:left w:w="57" w:type="dxa"/>
              <w:right w:w="57" w:type="dxa"/>
            </w:tcMar>
            <w:vAlign w:val="center"/>
            <w:hideMark/>
          </w:tcPr>
          <w:p w14:paraId="0FC6D60D"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DFRR</w:t>
            </w:r>
          </w:p>
        </w:tc>
      </w:tr>
      <w:tr w:rsidR="00E33A01" w:rsidRPr="00580DBA" w14:paraId="2E1B332D" w14:textId="77777777" w:rsidTr="00C32C1F">
        <w:trPr>
          <w:cantSplit/>
        </w:trPr>
        <w:tc>
          <w:tcPr>
            <w:tcW w:w="1413" w:type="dxa"/>
            <w:shd w:val="clear" w:color="auto" w:fill="auto"/>
            <w:tcMar>
              <w:left w:w="57" w:type="dxa"/>
              <w:right w:w="57" w:type="dxa"/>
            </w:tcMar>
            <w:vAlign w:val="center"/>
            <w:hideMark/>
          </w:tcPr>
          <w:p w14:paraId="77996E01"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Wildlife Conservation and National Parks Act  (1992)</w:t>
            </w:r>
          </w:p>
        </w:tc>
        <w:tc>
          <w:tcPr>
            <w:tcW w:w="5250" w:type="dxa"/>
            <w:shd w:val="clear" w:color="auto" w:fill="auto"/>
            <w:tcMar>
              <w:left w:w="57" w:type="dxa"/>
              <w:right w:w="57" w:type="dxa"/>
            </w:tcMar>
            <w:vAlign w:val="center"/>
            <w:hideMark/>
          </w:tcPr>
          <w:p w14:paraId="541E0C15" w14:textId="77777777" w:rsidR="00E33A01" w:rsidRPr="00580DBA" w:rsidRDefault="00E33A01" w:rsidP="00C32C1F">
            <w:pPr>
              <w:spacing w:before="0" w:after="0"/>
              <w:jc w:val="left"/>
              <w:rPr>
                <w:rFonts w:eastAsia="Times New Roman" w:cstheme="minorHAnsi"/>
                <w:color w:val="000000"/>
                <w:sz w:val="16"/>
                <w:szCs w:val="16"/>
                <w:lang w:eastAsia="en-GB"/>
              </w:rPr>
            </w:pPr>
            <w:r w:rsidRPr="00580DBA">
              <w:rPr>
                <w:rFonts w:eastAsia="Times New Roman" w:cstheme="minorHAnsi"/>
                <w:color w:val="000000"/>
                <w:sz w:val="16"/>
                <w:szCs w:val="16"/>
                <w:lang w:eastAsia="en-GB"/>
              </w:rPr>
              <w:t>Provides for the protection of game animals in Botswana.</w:t>
            </w:r>
          </w:p>
        </w:tc>
        <w:tc>
          <w:tcPr>
            <w:tcW w:w="1134" w:type="dxa"/>
            <w:shd w:val="clear" w:color="000000" w:fill="66FF66"/>
            <w:tcMar>
              <w:left w:w="57" w:type="dxa"/>
              <w:right w:w="57" w:type="dxa"/>
            </w:tcMar>
            <w:vAlign w:val="center"/>
            <w:hideMark/>
          </w:tcPr>
          <w:p w14:paraId="1FC254E0"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Yes</w:t>
            </w:r>
          </w:p>
        </w:tc>
        <w:tc>
          <w:tcPr>
            <w:tcW w:w="992" w:type="dxa"/>
            <w:shd w:val="clear" w:color="000000" w:fill="FCF0A6"/>
            <w:tcMar>
              <w:left w:w="57" w:type="dxa"/>
              <w:right w:w="57" w:type="dxa"/>
            </w:tcMar>
            <w:vAlign w:val="center"/>
            <w:hideMark/>
          </w:tcPr>
          <w:p w14:paraId="7D3EE7A5"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No</w:t>
            </w:r>
          </w:p>
        </w:tc>
        <w:tc>
          <w:tcPr>
            <w:tcW w:w="1134" w:type="dxa"/>
            <w:shd w:val="clear" w:color="auto" w:fill="auto"/>
            <w:tcMar>
              <w:left w:w="57" w:type="dxa"/>
              <w:right w:w="57" w:type="dxa"/>
            </w:tcMar>
            <w:vAlign w:val="center"/>
            <w:hideMark/>
          </w:tcPr>
          <w:p w14:paraId="71498FB6"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DWNP</w:t>
            </w:r>
          </w:p>
        </w:tc>
      </w:tr>
      <w:tr w:rsidR="00E33A01" w:rsidRPr="00580DBA" w14:paraId="466EB73C" w14:textId="77777777" w:rsidTr="00C32C1F">
        <w:trPr>
          <w:cantSplit/>
        </w:trPr>
        <w:tc>
          <w:tcPr>
            <w:tcW w:w="1413" w:type="dxa"/>
            <w:shd w:val="clear" w:color="auto" w:fill="auto"/>
            <w:tcMar>
              <w:left w:w="57" w:type="dxa"/>
              <w:right w:w="57" w:type="dxa"/>
            </w:tcMar>
            <w:vAlign w:val="center"/>
            <w:hideMark/>
          </w:tcPr>
          <w:p w14:paraId="64871B23"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Agricultural Resources Conservation Act (1974, but under review)</w:t>
            </w:r>
          </w:p>
        </w:tc>
        <w:tc>
          <w:tcPr>
            <w:tcW w:w="5250" w:type="dxa"/>
            <w:shd w:val="clear" w:color="auto" w:fill="auto"/>
            <w:tcMar>
              <w:left w:w="57" w:type="dxa"/>
              <w:right w:w="57" w:type="dxa"/>
            </w:tcMar>
            <w:vAlign w:val="center"/>
            <w:hideMark/>
          </w:tcPr>
          <w:p w14:paraId="2E290D18" w14:textId="77777777" w:rsidR="00E33A01" w:rsidRPr="00580DBA" w:rsidRDefault="00E33A01" w:rsidP="00C32C1F">
            <w:pPr>
              <w:spacing w:before="0" w:after="0"/>
              <w:jc w:val="left"/>
              <w:rPr>
                <w:rFonts w:eastAsia="Times New Roman" w:cstheme="minorHAnsi"/>
                <w:color w:val="000000"/>
                <w:sz w:val="16"/>
                <w:szCs w:val="16"/>
                <w:lang w:eastAsia="en-GB"/>
              </w:rPr>
            </w:pPr>
            <w:r w:rsidRPr="00580DBA">
              <w:rPr>
                <w:rFonts w:eastAsia="Times New Roman" w:cstheme="minorHAnsi"/>
                <w:color w:val="000000"/>
                <w:sz w:val="16"/>
                <w:szCs w:val="16"/>
                <w:lang w:eastAsia="en-GB"/>
              </w:rPr>
              <w:t>Provides for the conservation and improvement of the agricultural resources of Botswana. The Act defines agriculture resources in Section 2 as soils, water, animal life and fauna (animals, birds, reptiles, fish and insects). Its focus is more on crop resources than grazing resources.</w:t>
            </w:r>
          </w:p>
        </w:tc>
        <w:tc>
          <w:tcPr>
            <w:tcW w:w="1134" w:type="dxa"/>
            <w:shd w:val="clear" w:color="000000" w:fill="66FF66"/>
            <w:tcMar>
              <w:left w:w="57" w:type="dxa"/>
              <w:right w:w="57" w:type="dxa"/>
            </w:tcMar>
            <w:vAlign w:val="center"/>
            <w:hideMark/>
          </w:tcPr>
          <w:p w14:paraId="77E82376"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Yes</w:t>
            </w:r>
          </w:p>
        </w:tc>
        <w:tc>
          <w:tcPr>
            <w:tcW w:w="992" w:type="dxa"/>
            <w:shd w:val="clear" w:color="000000" w:fill="FCF0A6"/>
            <w:tcMar>
              <w:left w:w="57" w:type="dxa"/>
              <w:right w:w="57" w:type="dxa"/>
            </w:tcMar>
            <w:vAlign w:val="center"/>
            <w:hideMark/>
          </w:tcPr>
          <w:p w14:paraId="1FA56C97"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No</w:t>
            </w:r>
          </w:p>
        </w:tc>
        <w:tc>
          <w:tcPr>
            <w:tcW w:w="1134" w:type="dxa"/>
            <w:shd w:val="clear" w:color="auto" w:fill="auto"/>
            <w:tcMar>
              <w:left w:w="57" w:type="dxa"/>
              <w:right w:w="57" w:type="dxa"/>
            </w:tcMar>
            <w:vAlign w:val="center"/>
            <w:hideMark/>
          </w:tcPr>
          <w:p w14:paraId="2843A71C"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DFRR</w:t>
            </w:r>
          </w:p>
        </w:tc>
      </w:tr>
      <w:tr w:rsidR="00E33A01" w:rsidRPr="00580DBA" w14:paraId="6B229800" w14:textId="77777777" w:rsidTr="00C32C1F">
        <w:trPr>
          <w:cantSplit/>
        </w:trPr>
        <w:tc>
          <w:tcPr>
            <w:tcW w:w="1413" w:type="dxa"/>
            <w:shd w:val="clear" w:color="auto" w:fill="auto"/>
            <w:tcMar>
              <w:left w:w="57" w:type="dxa"/>
              <w:right w:w="57" w:type="dxa"/>
            </w:tcMar>
            <w:vAlign w:val="center"/>
            <w:hideMark/>
          </w:tcPr>
          <w:p w14:paraId="20785F60"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Herbage Preservation Act (1978)</w:t>
            </w:r>
          </w:p>
        </w:tc>
        <w:tc>
          <w:tcPr>
            <w:tcW w:w="5250" w:type="dxa"/>
            <w:shd w:val="clear" w:color="auto" w:fill="auto"/>
            <w:tcMar>
              <w:left w:w="57" w:type="dxa"/>
              <w:right w:w="57" w:type="dxa"/>
            </w:tcMar>
            <w:vAlign w:val="center"/>
            <w:hideMark/>
          </w:tcPr>
          <w:p w14:paraId="44EFB2E7" w14:textId="77777777" w:rsidR="00E33A01" w:rsidRPr="00580DBA" w:rsidRDefault="00E33A01" w:rsidP="00C32C1F">
            <w:pPr>
              <w:spacing w:before="0" w:after="0"/>
              <w:jc w:val="left"/>
              <w:rPr>
                <w:rFonts w:eastAsia="Times New Roman" w:cstheme="minorHAnsi"/>
                <w:color w:val="000000"/>
                <w:sz w:val="16"/>
                <w:szCs w:val="16"/>
                <w:lang w:eastAsia="en-GB"/>
              </w:rPr>
            </w:pPr>
            <w:r w:rsidRPr="00580DBA">
              <w:rPr>
                <w:rFonts w:eastAsia="Times New Roman" w:cstheme="minorHAnsi"/>
                <w:color w:val="000000"/>
                <w:sz w:val="16"/>
                <w:szCs w:val="16"/>
                <w:lang w:eastAsia="en-GB"/>
              </w:rPr>
              <w:t>To prevent and control bush and other fires.</w:t>
            </w:r>
          </w:p>
        </w:tc>
        <w:tc>
          <w:tcPr>
            <w:tcW w:w="1134" w:type="dxa"/>
            <w:shd w:val="clear" w:color="000000" w:fill="66FF66"/>
            <w:tcMar>
              <w:left w:w="57" w:type="dxa"/>
              <w:right w:w="57" w:type="dxa"/>
            </w:tcMar>
            <w:vAlign w:val="center"/>
            <w:hideMark/>
          </w:tcPr>
          <w:p w14:paraId="3AAF1745"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Yes</w:t>
            </w:r>
          </w:p>
        </w:tc>
        <w:tc>
          <w:tcPr>
            <w:tcW w:w="992" w:type="dxa"/>
            <w:shd w:val="clear" w:color="000000" w:fill="FCF0A6"/>
            <w:tcMar>
              <w:left w:w="57" w:type="dxa"/>
              <w:right w:w="57" w:type="dxa"/>
            </w:tcMar>
            <w:vAlign w:val="center"/>
            <w:hideMark/>
          </w:tcPr>
          <w:p w14:paraId="6A1C7340"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No</w:t>
            </w:r>
          </w:p>
        </w:tc>
        <w:tc>
          <w:tcPr>
            <w:tcW w:w="1134" w:type="dxa"/>
            <w:shd w:val="clear" w:color="auto" w:fill="auto"/>
            <w:tcMar>
              <w:left w:w="57" w:type="dxa"/>
              <w:right w:w="57" w:type="dxa"/>
            </w:tcMar>
            <w:vAlign w:val="center"/>
            <w:hideMark/>
          </w:tcPr>
          <w:p w14:paraId="607E5F80"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DFRR</w:t>
            </w:r>
          </w:p>
        </w:tc>
      </w:tr>
      <w:tr w:rsidR="00E33A01" w:rsidRPr="00580DBA" w14:paraId="32F00537" w14:textId="77777777" w:rsidTr="00C32C1F">
        <w:trPr>
          <w:cantSplit/>
        </w:trPr>
        <w:tc>
          <w:tcPr>
            <w:tcW w:w="1413" w:type="dxa"/>
            <w:shd w:val="clear" w:color="auto" w:fill="auto"/>
            <w:tcMar>
              <w:left w:w="57" w:type="dxa"/>
              <w:right w:w="57" w:type="dxa"/>
            </w:tcMar>
            <w:vAlign w:val="center"/>
            <w:hideMark/>
          </w:tcPr>
          <w:p w14:paraId="292E246C"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BTO Act (2009)</w:t>
            </w:r>
          </w:p>
        </w:tc>
        <w:tc>
          <w:tcPr>
            <w:tcW w:w="5250" w:type="dxa"/>
            <w:shd w:val="clear" w:color="auto" w:fill="auto"/>
            <w:tcMar>
              <w:left w:w="57" w:type="dxa"/>
              <w:right w:w="57" w:type="dxa"/>
            </w:tcMar>
            <w:vAlign w:val="center"/>
            <w:hideMark/>
          </w:tcPr>
          <w:p w14:paraId="6A3816C7" w14:textId="77777777" w:rsidR="00E33A01" w:rsidRPr="00580DBA" w:rsidRDefault="00E33A01" w:rsidP="00C32C1F">
            <w:pPr>
              <w:spacing w:before="0" w:after="0"/>
              <w:jc w:val="left"/>
              <w:rPr>
                <w:rFonts w:eastAsia="Times New Roman" w:cstheme="minorHAnsi"/>
                <w:color w:val="000000"/>
                <w:sz w:val="16"/>
                <w:szCs w:val="16"/>
                <w:lang w:eastAsia="en-GB"/>
              </w:rPr>
            </w:pPr>
            <w:r w:rsidRPr="00580DBA">
              <w:rPr>
                <w:rFonts w:eastAsia="Times New Roman" w:cstheme="minorHAnsi"/>
                <w:color w:val="000000"/>
                <w:sz w:val="16"/>
                <w:szCs w:val="16"/>
                <w:lang w:eastAsia="en-GB"/>
              </w:rPr>
              <w:t>Allows for the establishment and functioning of a Botswana Tourism Board with authority to regulate the tourism industry</w:t>
            </w:r>
            <w:r>
              <w:rPr>
                <w:rFonts w:eastAsia="Times New Roman" w:cstheme="minorHAnsi"/>
                <w:color w:val="000000"/>
                <w:sz w:val="16"/>
                <w:szCs w:val="16"/>
                <w:lang w:eastAsia="en-GB"/>
              </w:rPr>
              <w:t xml:space="preserve"> </w:t>
            </w:r>
            <w:r w:rsidRPr="00580DBA">
              <w:rPr>
                <w:rFonts w:eastAsia="Times New Roman" w:cstheme="minorHAnsi"/>
                <w:color w:val="000000"/>
                <w:sz w:val="16"/>
                <w:szCs w:val="16"/>
                <w:lang w:eastAsia="en-GB"/>
              </w:rPr>
              <w:t>through grading of enterprises, and the role of promoting and marketing tourism in Botswana.</w:t>
            </w:r>
          </w:p>
        </w:tc>
        <w:tc>
          <w:tcPr>
            <w:tcW w:w="1134" w:type="dxa"/>
            <w:shd w:val="clear" w:color="000000" w:fill="FCF0A6"/>
            <w:tcMar>
              <w:left w:w="57" w:type="dxa"/>
              <w:right w:w="57" w:type="dxa"/>
            </w:tcMar>
            <w:vAlign w:val="center"/>
            <w:hideMark/>
          </w:tcPr>
          <w:p w14:paraId="04CEBE71"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No</w:t>
            </w:r>
          </w:p>
        </w:tc>
        <w:tc>
          <w:tcPr>
            <w:tcW w:w="992" w:type="dxa"/>
            <w:shd w:val="clear" w:color="000000" w:fill="FCF0A6"/>
            <w:tcMar>
              <w:left w:w="57" w:type="dxa"/>
              <w:right w:w="57" w:type="dxa"/>
            </w:tcMar>
            <w:vAlign w:val="center"/>
            <w:hideMark/>
          </w:tcPr>
          <w:p w14:paraId="0A6CA8FB"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No</w:t>
            </w:r>
          </w:p>
        </w:tc>
        <w:tc>
          <w:tcPr>
            <w:tcW w:w="1134" w:type="dxa"/>
            <w:shd w:val="clear" w:color="auto" w:fill="auto"/>
            <w:tcMar>
              <w:left w:w="57" w:type="dxa"/>
              <w:right w:w="57" w:type="dxa"/>
            </w:tcMar>
            <w:vAlign w:val="center"/>
            <w:hideMark/>
          </w:tcPr>
          <w:p w14:paraId="059B53F1"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BTO</w:t>
            </w:r>
          </w:p>
        </w:tc>
      </w:tr>
    </w:tbl>
    <w:p w14:paraId="3D04DF74" w14:textId="77777777" w:rsidR="00E33A01" w:rsidRDefault="00E33A01" w:rsidP="00E33A01"/>
    <w:p w14:paraId="7EFD4220" w14:textId="77777777" w:rsidR="00E33A01" w:rsidRDefault="00E33A01" w:rsidP="00E33A01">
      <w:r>
        <w:t>In addition to these national level documents, Botswana is also party to the following international and regional agreements related to conservation, climate change and sustainable development:</w:t>
      </w:r>
    </w:p>
    <w:p w14:paraId="54DEAF6C" w14:textId="77777777" w:rsidR="00E33A01" w:rsidRDefault="00E33A01" w:rsidP="00207F06">
      <w:pPr>
        <w:pStyle w:val="ListParagraph"/>
      </w:pPr>
      <w:r>
        <w:t>Convention on Biological diversity, including:</w:t>
      </w:r>
    </w:p>
    <w:p w14:paraId="7DFCAE5A" w14:textId="77777777" w:rsidR="00E33A01" w:rsidRDefault="00E33A01" w:rsidP="00207F06">
      <w:pPr>
        <w:pStyle w:val="ListParagraph"/>
      </w:pPr>
      <w:r>
        <w:t>CBD Cartagena Protocol</w:t>
      </w:r>
    </w:p>
    <w:p w14:paraId="61B9B704" w14:textId="77777777" w:rsidR="00E33A01" w:rsidRDefault="00E33A01" w:rsidP="00207F06">
      <w:pPr>
        <w:pStyle w:val="ListParagraph"/>
      </w:pPr>
      <w:r>
        <w:t>CBD Kuala Lumpur supplementary Protocol</w:t>
      </w:r>
    </w:p>
    <w:p w14:paraId="2CAF0C44" w14:textId="77777777" w:rsidR="00E33A01" w:rsidRDefault="00E33A01" w:rsidP="00207F06">
      <w:pPr>
        <w:pStyle w:val="ListParagraph"/>
      </w:pPr>
      <w:r>
        <w:t>CBD Nagoya Protocol</w:t>
      </w:r>
    </w:p>
    <w:p w14:paraId="52765130" w14:textId="77777777" w:rsidR="00E33A01" w:rsidRDefault="00E33A01" w:rsidP="00207F06">
      <w:pPr>
        <w:pStyle w:val="ListParagraph"/>
      </w:pPr>
      <w:r>
        <w:t>CBD Global Taxonomy Initiative</w:t>
      </w:r>
    </w:p>
    <w:p w14:paraId="20157907" w14:textId="77777777" w:rsidR="00E33A01" w:rsidRDefault="00E33A01" w:rsidP="00207F06">
      <w:pPr>
        <w:pStyle w:val="ListParagraph"/>
      </w:pPr>
      <w:r>
        <w:t>Ramsar Convention on Wetlands</w:t>
      </w:r>
    </w:p>
    <w:p w14:paraId="72D0CC2B" w14:textId="77777777" w:rsidR="00E33A01" w:rsidRPr="008C5257" w:rsidRDefault="00E33A01" w:rsidP="00207F06">
      <w:pPr>
        <w:pStyle w:val="ListParagraph"/>
      </w:pPr>
      <w:r w:rsidRPr="008C5257">
        <w:t>Convention on International Trade in Endangered Species</w:t>
      </w:r>
    </w:p>
    <w:p w14:paraId="4F358A87" w14:textId="77777777" w:rsidR="00E33A01" w:rsidRDefault="00E33A01" w:rsidP="00207F06">
      <w:pPr>
        <w:pStyle w:val="ListParagraph"/>
      </w:pPr>
      <w:r w:rsidRPr="008C5257">
        <w:t xml:space="preserve">United Nations Framework Convention on Climate Change </w:t>
      </w:r>
    </w:p>
    <w:p w14:paraId="54102F17" w14:textId="77777777" w:rsidR="00E33A01" w:rsidRDefault="00E33A01" w:rsidP="00207F06">
      <w:pPr>
        <w:pStyle w:val="ListParagraph"/>
      </w:pPr>
      <w:r w:rsidRPr="008C5257">
        <w:t>United Nations Convention to Combat Desertification</w:t>
      </w:r>
    </w:p>
    <w:p w14:paraId="0BEB5B3A" w14:textId="77777777" w:rsidR="00E33A01" w:rsidRDefault="00E33A01" w:rsidP="00207F06">
      <w:pPr>
        <w:pStyle w:val="ListParagraph"/>
      </w:pPr>
      <w:r>
        <w:t>World Heritage Convention</w:t>
      </w:r>
    </w:p>
    <w:p w14:paraId="5F1779B0" w14:textId="77777777" w:rsidR="00E33A01" w:rsidRDefault="00E33A01" w:rsidP="00207F06">
      <w:pPr>
        <w:pStyle w:val="ListParagraph"/>
      </w:pPr>
      <w:r>
        <w:t>Gaborone Declaration on Sustainability</w:t>
      </w:r>
    </w:p>
    <w:p w14:paraId="22A448EE" w14:textId="77777777" w:rsidR="00E33A01" w:rsidRDefault="00E33A01" w:rsidP="00207F06">
      <w:pPr>
        <w:pStyle w:val="ListParagraph"/>
      </w:pPr>
      <w:r>
        <w:t>Vienna Convention for the Protection of the Ozone Layer</w:t>
      </w:r>
    </w:p>
    <w:p w14:paraId="138E8CD5" w14:textId="77777777" w:rsidR="00E33A01" w:rsidRDefault="00E33A01" w:rsidP="00207F06">
      <w:pPr>
        <w:pStyle w:val="ListParagraph"/>
      </w:pPr>
      <w:r w:rsidRPr="008C5257">
        <w:t>Basel Convention on Trans-boundary Movement of Hazardous Waste</w:t>
      </w:r>
    </w:p>
    <w:p w14:paraId="5EBD8DF6" w14:textId="77777777" w:rsidR="00E33A01" w:rsidRDefault="00E33A01" w:rsidP="00207F06">
      <w:pPr>
        <w:pStyle w:val="ListParagraph"/>
      </w:pPr>
      <w:r>
        <w:t>Rotterdam Convention on the International Trade in Hazardous Chemicals</w:t>
      </w:r>
    </w:p>
    <w:p w14:paraId="28FBF441" w14:textId="77777777" w:rsidR="00E33A01" w:rsidRDefault="00E33A01" w:rsidP="00207F06">
      <w:pPr>
        <w:pStyle w:val="ListParagraph"/>
      </w:pPr>
      <w:r>
        <w:t>Stockholm Convention on Persistent Organic Pollutants</w:t>
      </w:r>
    </w:p>
    <w:p w14:paraId="64D62BF1" w14:textId="77777777" w:rsidR="00E33A01" w:rsidRDefault="00E33A01" w:rsidP="00207F06">
      <w:pPr>
        <w:pStyle w:val="ListParagraph"/>
      </w:pPr>
      <w:r>
        <w:t>Convention on the Conservation of Migratory Species of Wild Animals</w:t>
      </w:r>
    </w:p>
    <w:p w14:paraId="07609D96" w14:textId="77777777" w:rsidR="00E33A01" w:rsidRDefault="00E33A01" w:rsidP="00207F06">
      <w:pPr>
        <w:pStyle w:val="ListParagraph"/>
      </w:pPr>
      <w:r>
        <w:t xml:space="preserve">Agreement on the Conservation of African Eurasian Migratory Waterbirds </w:t>
      </w:r>
    </w:p>
    <w:p w14:paraId="208A3F96" w14:textId="77777777" w:rsidR="00E33A01" w:rsidRDefault="00E33A01" w:rsidP="00207F06">
      <w:pPr>
        <w:pStyle w:val="ListParagraph"/>
      </w:pPr>
      <w:r>
        <w:t>International Treaty on Plant Genetic Resources for Food and Agriculture</w:t>
      </w:r>
    </w:p>
    <w:p w14:paraId="72B62AE4" w14:textId="77777777" w:rsidR="00E33A01" w:rsidRDefault="00E33A01" w:rsidP="00207F06">
      <w:pPr>
        <w:pStyle w:val="ListParagraph"/>
      </w:pPr>
      <w:r>
        <w:t>IUCN member</w:t>
      </w:r>
    </w:p>
    <w:p w14:paraId="51985F05" w14:textId="77777777" w:rsidR="00E33A01" w:rsidRDefault="00E33A01" w:rsidP="00207F06">
      <w:pPr>
        <w:pStyle w:val="ListParagraph"/>
      </w:pPr>
      <w:r>
        <w:lastRenderedPageBreak/>
        <w:t>Sustainable Development Goals</w:t>
      </w:r>
    </w:p>
    <w:p w14:paraId="5D8215C3" w14:textId="77777777" w:rsidR="00E33A01" w:rsidRDefault="00E33A01" w:rsidP="00207F06">
      <w:pPr>
        <w:pStyle w:val="ListParagraph"/>
      </w:pPr>
      <w:r>
        <w:t>African Convention on the Conservation of Nature and Natural Resources</w:t>
      </w:r>
    </w:p>
    <w:p w14:paraId="6289B699" w14:textId="77777777" w:rsidR="00E33A01" w:rsidRDefault="00E33A01" w:rsidP="00207F06">
      <w:pPr>
        <w:pStyle w:val="ListParagraph"/>
      </w:pPr>
      <w:r>
        <w:t>Libreville Declaration on Health and Environment</w:t>
      </w:r>
    </w:p>
    <w:p w14:paraId="582F06D7" w14:textId="77777777" w:rsidR="00E33A01" w:rsidRDefault="00E33A01" w:rsidP="00207F06">
      <w:pPr>
        <w:pStyle w:val="ListParagraph"/>
      </w:pPr>
      <w:r>
        <w:t>SADC Regional Biodiversity Strategy</w:t>
      </w:r>
    </w:p>
    <w:p w14:paraId="1F26383B" w14:textId="77777777" w:rsidR="00E33A01" w:rsidRDefault="00E33A01" w:rsidP="00207F06">
      <w:pPr>
        <w:pStyle w:val="ListParagraph"/>
      </w:pPr>
      <w:r>
        <w:t>SADC Protocol on Wildlife Conservation and Law Enforcement</w:t>
      </w:r>
    </w:p>
    <w:p w14:paraId="1847E5E9" w14:textId="77777777" w:rsidR="00E33A01" w:rsidRDefault="00E33A01" w:rsidP="00207F06">
      <w:pPr>
        <w:pStyle w:val="ListParagraph"/>
      </w:pPr>
      <w:r>
        <w:t>SADC Protocol on Fisheries</w:t>
      </w:r>
    </w:p>
    <w:p w14:paraId="194BD125" w14:textId="77777777" w:rsidR="00E33A01" w:rsidRDefault="00E33A01" w:rsidP="00207F06">
      <w:pPr>
        <w:pStyle w:val="ListParagraph"/>
      </w:pPr>
      <w:r>
        <w:t>SADC Protocol on Forestry.</w:t>
      </w:r>
    </w:p>
    <w:p w14:paraId="063EC4D7" w14:textId="6CD60D01" w:rsidR="00CE315D" w:rsidRDefault="00CE315D"/>
    <w:p w14:paraId="6ABDE170" w14:textId="117E6C1E" w:rsidR="00E33A01" w:rsidRDefault="00E33A01"/>
    <w:p w14:paraId="3A0679FD" w14:textId="2582B681" w:rsidR="00E33A01" w:rsidRDefault="00E33A01"/>
    <w:p w14:paraId="22A0334E" w14:textId="76DCF2E7" w:rsidR="00E33A01" w:rsidRDefault="00E33A01"/>
    <w:p w14:paraId="155F7145" w14:textId="09892688" w:rsidR="00E33A01" w:rsidRDefault="00E33A01">
      <w:pPr>
        <w:spacing w:before="0" w:after="160" w:line="259" w:lineRule="auto"/>
        <w:jc w:val="left"/>
      </w:pPr>
      <w:r>
        <w:br w:type="page"/>
      </w:r>
    </w:p>
    <w:p w14:paraId="1F6EF1F2" w14:textId="60CC1ED9" w:rsidR="00E33A01" w:rsidRDefault="00E33A01" w:rsidP="00E33A01">
      <w:pPr>
        <w:pStyle w:val="Appendix"/>
      </w:pPr>
      <w:bookmarkStart w:id="2" w:name="_Toc511480733"/>
      <w:r>
        <w:lastRenderedPageBreak/>
        <w:t xml:space="preserve">Evaluation of harmony among </w:t>
      </w:r>
      <w:r w:rsidRPr="00E75058">
        <w:t>policies and laws</w:t>
      </w:r>
      <w:r>
        <w:t>, and Level of implementation</w:t>
      </w:r>
      <w:bookmarkEnd w:id="2"/>
    </w:p>
    <w:p w14:paraId="7E4495EB" w14:textId="77777777" w:rsidR="00E33A01" w:rsidRDefault="00E33A01" w:rsidP="00E33A01"/>
    <w:p w14:paraId="283863BD" w14:textId="77777777" w:rsidR="00E33A01" w:rsidRDefault="00E33A01" w:rsidP="00E33A01">
      <w:r>
        <w:t xml:space="preserve">Working with the same list of policies, strategies and laws presented in </w:t>
      </w:r>
      <w:r>
        <w:fldChar w:fldCharType="begin"/>
      </w:r>
      <w:r>
        <w:instrText xml:space="preserve"> REF _Ref511286694 \h </w:instrText>
      </w:r>
      <w:r>
        <w:fldChar w:fldCharType="separate"/>
      </w:r>
      <w:r w:rsidRPr="002F559B">
        <w:t xml:space="preserve">Table </w:t>
      </w:r>
      <w:r>
        <w:rPr>
          <w:noProof/>
        </w:rPr>
        <w:t>1</w:t>
      </w:r>
      <w:r>
        <w:fldChar w:fldCharType="end"/>
      </w:r>
      <w:r>
        <w:t xml:space="preserve">, </w:t>
      </w:r>
      <w:r>
        <w:fldChar w:fldCharType="begin"/>
      </w:r>
      <w:r>
        <w:instrText xml:space="preserve"> REF _Ref511287166 \h </w:instrText>
      </w:r>
      <w:r>
        <w:fldChar w:fldCharType="separate"/>
      </w:r>
      <w:r>
        <w:t xml:space="preserve">Table </w:t>
      </w:r>
      <w:r>
        <w:rPr>
          <w:noProof/>
        </w:rPr>
        <w:t>2</w:t>
      </w:r>
      <w:r>
        <w:fldChar w:fldCharType="end"/>
      </w:r>
      <w:r>
        <w:t xml:space="preserve"> shows which policies tend to be well harmonised with each other, and with the principles of sustainable development, conservation and adaptation.  The qualitative assessment of degree of implementation is based on existing studies, key informant opinions, and an interpretation based on general observations.  The colour codes are described in Appendix 1, and indicate a rank ranging from highly harmonised, through weakly, to not at all.</w:t>
      </w:r>
    </w:p>
    <w:p w14:paraId="16571DCF" w14:textId="77777777" w:rsidR="00E33A01" w:rsidRDefault="00E33A01" w:rsidP="00E33A01"/>
    <w:p w14:paraId="271F4101" w14:textId="77777777" w:rsidR="00E33A01" w:rsidRPr="001A0D49" w:rsidRDefault="00E33A01" w:rsidP="00E33A01">
      <w:pPr>
        <w:pStyle w:val="Caption"/>
      </w:pPr>
      <w:bookmarkStart w:id="3" w:name="_Ref511287166"/>
      <w:r>
        <w:t xml:space="preserve">Table </w:t>
      </w:r>
      <w:r>
        <w:fldChar w:fldCharType="begin"/>
      </w:r>
      <w:r>
        <w:instrText xml:space="preserve"> SEQ Table \* ARABIC </w:instrText>
      </w:r>
      <w:r>
        <w:fldChar w:fldCharType="separate"/>
      </w:r>
      <w:r>
        <w:rPr>
          <w:noProof/>
        </w:rPr>
        <w:t>2</w:t>
      </w:r>
      <w:r>
        <w:rPr>
          <w:noProof/>
        </w:rPr>
        <w:fldChar w:fldCharType="end"/>
      </w:r>
      <w:bookmarkEnd w:id="3"/>
      <w:r>
        <w:t>: Extent of Harmonisation and Implementation of Policies and Laws Supporting Biodiversity Conservation and Climate Change Adaptation</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3035"/>
        <w:gridCol w:w="2551"/>
        <w:gridCol w:w="2410"/>
      </w:tblGrid>
      <w:tr w:rsidR="00E33A01" w:rsidRPr="00580DBA" w14:paraId="0E847403" w14:textId="77777777" w:rsidTr="00C32C1F">
        <w:trPr>
          <w:cantSplit/>
          <w:tblHeader/>
        </w:trPr>
        <w:tc>
          <w:tcPr>
            <w:tcW w:w="1927" w:type="dxa"/>
            <w:shd w:val="clear" w:color="auto" w:fill="auto"/>
            <w:tcMar>
              <w:left w:w="57" w:type="dxa"/>
              <w:right w:w="57" w:type="dxa"/>
            </w:tcMar>
            <w:vAlign w:val="center"/>
            <w:hideMark/>
          </w:tcPr>
          <w:p w14:paraId="750D7CAE" w14:textId="77777777" w:rsidR="00E33A01" w:rsidRPr="00580DBA" w:rsidRDefault="00E33A01" w:rsidP="00C32C1F">
            <w:pPr>
              <w:spacing w:before="0" w:after="0"/>
              <w:jc w:val="center"/>
              <w:rPr>
                <w:rFonts w:eastAsia="Times New Roman" w:cstheme="minorHAnsi"/>
                <w:b/>
                <w:bCs/>
                <w:color w:val="000000"/>
                <w:sz w:val="16"/>
                <w:szCs w:val="16"/>
                <w:lang w:eastAsia="en-GB"/>
              </w:rPr>
            </w:pPr>
            <w:r w:rsidRPr="00580DBA">
              <w:rPr>
                <w:rFonts w:eastAsia="Times New Roman" w:cstheme="minorHAnsi"/>
                <w:b/>
                <w:bCs/>
                <w:color w:val="000000"/>
                <w:sz w:val="16"/>
                <w:szCs w:val="16"/>
                <w:lang w:eastAsia="en-GB"/>
              </w:rPr>
              <w:t>Name</w:t>
            </w:r>
          </w:p>
        </w:tc>
        <w:tc>
          <w:tcPr>
            <w:tcW w:w="3035" w:type="dxa"/>
            <w:shd w:val="clear" w:color="auto" w:fill="auto"/>
            <w:tcMar>
              <w:left w:w="57" w:type="dxa"/>
              <w:right w:w="57" w:type="dxa"/>
            </w:tcMar>
            <w:vAlign w:val="center"/>
            <w:hideMark/>
          </w:tcPr>
          <w:p w14:paraId="21751DB1" w14:textId="77777777" w:rsidR="00E33A01" w:rsidRPr="00580DBA" w:rsidRDefault="00E33A01" w:rsidP="00C32C1F">
            <w:pPr>
              <w:spacing w:before="0" w:after="0"/>
              <w:jc w:val="center"/>
              <w:rPr>
                <w:rFonts w:eastAsia="Times New Roman" w:cstheme="minorHAnsi"/>
                <w:b/>
                <w:bCs/>
                <w:color w:val="000000"/>
                <w:sz w:val="16"/>
                <w:szCs w:val="16"/>
                <w:lang w:eastAsia="en-GB"/>
              </w:rPr>
            </w:pPr>
            <w:r w:rsidRPr="00580DBA">
              <w:rPr>
                <w:rFonts w:eastAsia="Times New Roman" w:cstheme="minorHAnsi"/>
                <w:b/>
                <w:bCs/>
                <w:color w:val="000000"/>
                <w:sz w:val="16"/>
                <w:szCs w:val="16"/>
                <w:lang w:eastAsia="en-GB"/>
              </w:rPr>
              <w:t>Level of harmonisation</w:t>
            </w:r>
          </w:p>
        </w:tc>
        <w:tc>
          <w:tcPr>
            <w:tcW w:w="2551" w:type="dxa"/>
            <w:shd w:val="clear" w:color="auto" w:fill="auto"/>
            <w:tcMar>
              <w:left w:w="57" w:type="dxa"/>
              <w:right w:w="57" w:type="dxa"/>
            </w:tcMar>
            <w:vAlign w:val="center"/>
            <w:hideMark/>
          </w:tcPr>
          <w:p w14:paraId="2500DA28" w14:textId="77777777" w:rsidR="00E33A01" w:rsidRPr="00580DBA" w:rsidRDefault="00E33A01" w:rsidP="00C32C1F">
            <w:pPr>
              <w:spacing w:before="0" w:after="0"/>
              <w:jc w:val="center"/>
              <w:rPr>
                <w:rFonts w:eastAsia="Times New Roman" w:cstheme="minorHAnsi"/>
                <w:b/>
                <w:bCs/>
                <w:color w:val="000000"/>
                <w:sz w:val="16"/>
                <w:szCs w:val="16"/>
                <w:lang w:eastAsia="en-GB"/>
              </w:rPr>
            </w:pPr>
            <w:r w:rsidRPr="00580DBA">
              <w:rPr>
                <w:rFonts w:eastAsia="Times New Roman" w:cstheme="minorHAnsi"/>
                <w:b/>
                <w:bCs/>
                <w:color w:val="000000"/>
                <w:sz w:val="16"/>
                <w:szCs w:val="16"/>
                <w:lang w:eastAsia="en-GB"/>
              </w:rPr>
              <w:t>Known state of implementation</w:t>
            </w:r>
          </w:p>
        </w:tc>
        <w:tc>
          <w:tcPr>
            <w:tcW w:w="2410" w:type="dxa"/>
            <w:shd w:val="clear" w:color="auto" w:fill="auto"/>
            <w:tcMar>
              <w:left w:w="57" w:type="dxa"/>
              <w:right w:w="57" w:type="dxa"/>
            </w:tcMar>
            <w:vAlign w:val="center"/>
            <w:hideMark/>
          </w:tcPr>
          <w:p w14:paraId="2CBDF59E" w14:textId="77777777" w:rsidR="00E33A01" w:rsidRPr="00580DBA" w:rsidRDefault="00E33A01" w:rsidP="00C32C1F">
            <w:pPr>
              <w:spacing w:before="0" w:after="0"/>
              <w:jc w:val="center"/>
              <w:rPr>
                <w:rFonts w:eastAsia="Times New Roman" w:cstheme="minorHAnsi"/>
                <w:b/>
                <w:bCs/>
                <w:color w:val="000000"/>
                <w:sz w:val="16"/>
                <w:szCs w:val="16"/>
                <w:lang w:eastAsia="en-GB"/>
              </w:rPr>
            </w:pPr>
            <w:r w:rsidRPr="00580DBA">
              <w:rPr>
                <w:rFonts w:eastAsia="Times New Roman" w:cstheme="minorHAnsi"/>
                <w:b/>
                <w:bCs/>
                <w:color w:val="000000"/>
                <w:sz w:val="16"/>
                <w:szCs w:val="16"/>
                <w:lang w:eastAsia="en-GB"/>
              </w:rPr>
              <w:t>Gaps in implementation</w:t>
            </w:r>
          </w:p>
        </w:tc>
      </w:tr>
      <w:tr w:rsidR="00E33A01" w:rsidRPr="00307160" w14:paraId="1CB7DF4B" w14:textId="77777777" w:rsidTr="00C32C1F">
        <w:trPr>
          <w:cantSplit/>
        </w:trPr>
        <w:tc>
          <w:tcPr>
            <w:tcW w:w="9923" w:type="dxa"/>
            <w:gridSpan w:val="4"/>
            <w:tcBorders>
              <w:bottom w:val="single" w:sz="4" w:space="0" w:color="auto"/>
            </w:tcBorders>
            <w:shd w:val="clear" w:color="auto" w:fill="auto"/>
            <w:tcMar>
              <w:left w:w="57" w:type="dxa"/>
              <w:right w:w="57" w:type="dxa"/>
            </w:tcMar>
            <w:vAlign w:val="center"/>
          </w:tcPr>
          <w:p w14:paraId="0A6340C1" w14:textId="77777777" w:rsidR="00E33A01" w:rsidRPr="00307160" w:rsidRDefault="00E33A01" w:rsidP="00C32C1F">
            <w:pPr>
              <w:spacing w:before="0" w:after="0"/>
              <w:jc w:val="center"/>
              <w:rPr>
                <w:rFonts w:eastAsia="Times New Roman" w:cstheme="minorHAnsi"/>
                <w:color w:val="000000"/>
                <w:sz w:val="4"/>
                <w:szCs w:val="4"/>
                <w:lang w:eastAsia="en-GB"/>
              </w:rPr>
            </w:pPr>
          </w:p>
        </w:tc>
      </w:tr>
      <w:tr w:rsidR="00E33A01" w:rsidRPr="00580DBA" w14:paraId="2DD4EDDF" w14:textId="77777777" w:rsidTr="00C32C1F">
        <w:trPr>
          <w:cantSplit/>
          <w:tblHeader/>
        </w:trPr>
        <w:tc>
          <w:tcPr>
            <w:tcW w:w="9923" w:type="dxa"/>
            <w:gridSpan w:val="4"/>
            <w:tcBorders>
              <w:top w:val="single" w:sz="4" w:space="0" w:color="auto"/>
            </w:tcBorders>
            <w:shd w:val="clear" w:color="auto" w:fill="A6A6A6" w:themeFill="background1" w:themeFillShade="A6"/>
            <w:tcMar>
              <w:left w:w="57" w:type="dxa"/>
              <w:right w:w="57" w:type="dxa"/>
            </w:tcMar>
            <w:vAlign w:val="center"/>
          </w:tcPr>
          <w:p w14:paraId="54FDF60B" w14:textId="77777777" w:rsidR="00E33A01" w:rsidRPr="00580DBA" w:rsidRDefault="00E33A01" w:rsidP="00C32C1F">
            <w:pPr>
              <w:spacing w:before="0" w:after="0"/>
              <w:jc w:val="center"/>
              <w:rPr>
                <w:rFonts w:eastAsia="Times New Roman" w:cstheme="minorHAnsi"/>
                <w:b/>
                <w:bCs/>
                <w:color w:val="000000"/>
                <w:sz w:val="16"/>
                <w:szCs w:val="16"/>
                <w:lang w:eastAsia="en-GB"/>
              </w:rPr>
            </w:pPr>
            <w:r>
              <w:rPr>
                <w:rFonts w:eastAsia="Times New Roman" w:cstheme="minorHAnsi"/>
                <w:b/>
                <w:bCs/>
                <w:color w:val="000000"/>
                <w:sz w:val="16"/>
                <w:szCs w:val="16"/>
                <w:lang w:eastAsia="en-GB"/>
              </w:rPr>
              <w:t>Policies and Strategies</w:t>
            </w:r>
          </w:p>
        </w:tc>
      </w:tr>
      <w:tr w:rsidR="00E33A01" w:rsidRPr="00580DBA" w14:paraId="41466A1A" w14:textId="77777777" w:rsidTr="00C32C1F">
        <w:trPr>
          <w:cantSplit/>
        </w:trPr>
        <w:tc>
          <w:tcPr>
            <w:tcW w:w="1927" w:type="dxa"/>
            <w:shd w:val="clear" w:color="auto" w:fill="auto"/>
            <w:tcMar>
              <w:left w:w="57" w:type="dxa"/>
              <w:right w:w="57" w:type="dxa"/>
            </w:tcMar>
            <w:vAlign w:val="center"/>
            <w:hideMark/>
          </w:tcPr>
          <w:p w14:paraId="5CB650BD"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National Biodiversity Strategy and Action Plan (2014)</w:t>
            </w:r>
          </w:p>
        </w:tc>
        <w:tc>
          <w:tcPr>
            <w:tcW w:w="3035" w:type="dxa"/>
            <w:shd w:val="clear" w:color="000000" w:fill="66FF66"/>
            <w:tcMar>
              <w:left w:w="57" w:type="dxa"/>
              <w:right w:w="57" w:type="dxa"/>
            </w:tcMar>
            <w:vAlign w:val="center"/>
            <w:hideMark/>
          </w:tcPr>
          <w:p w14:paraId="59443C7F"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Yes, makes reference to opportunities for synergies with other policies and strategies</w:t>
            </w:r>
          </w:p>
        </w:tc>
        <w:tc>
          <w:tcPr>
            <w:tcW w:w="2551" w:type="dxa"/>
            <w:shd w:val="clear" w:color="auto" w:fill="auto"/>
            <w:tcMar>
              <w:left w:w="57" w:type="dxa"/>
              <w:right w:w="57" w:type="dxa"/>
            </w:tcMar>
            <w:vAlign w:val="center"/>
            <w:hideMark/>
          </w:tcPr>
          <w:p w14:paraId="29D1CC2C"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Used by DWNP, 2007 principles widely shared, limited success of previous iteration as captured in Section 13 of the 2014 Stocktaking report</w:t>
            </w:r>
          </w:p>
        </w:tc>
        <w:tc>
          <w:tcPr>
            <w:tcW w:w="2410" w:type="dxa"/>
            <w:shd w:val="clear" w:color="auto" w:fill="auto"/>
            <w:tcMar>
              <w:left w:w="57" w:type="dxa"/>
              <w:right w:w="57" w:type="dxa"/>
            </w:tcMar>
            <w:vAlign w:val="center"/>
            <w:hideMark/>
          </w:tcPr>
          <w:p w14:paraId="70928D5F"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Submitted to CBD, but unclear if approved by Parliament. Due for revision</w:t>
            </w:r>
          </w:p>
        </w:tc>
      </w:tr>
      <w:tr w:rsidR="00E33A01" w:rsidRPr="00580DBA" w14:paraId="2D80D0ED" w14:textId="77777777" w:rsidTr="00C32C1F">
        <w:trPr>
          <w:cantSplit/>
        </w:trPr>
        <w:tc>
          <w:tcPr>
            <w:tcW w:w="1927" w:type="dxa"/>
            <w:shd w:val="clear" w:color="auto" w:fill="auto"/>
            <w:tcMar>
              <w:left w:w="57" w:type="dxa"/>
              <w:right w:w="57" w:type="dxa"/>
            </w:tcMar>
            <w:vAlign w:val="center"/>
            <w:hideMark/>
          </w:tcPr>
          <w:p w14:paraId="45613333"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National Conservation Strategy (1990)</w:t>
            </w:r>
          </w:p>
        </w:tc>
        <w:tc>
          <w:tcPr>
            <w:tcW w:w="3035" w:type="dxa"/>
            <w:shd w:val="clear" w:color="000000" w:fill="66FF66"/>
            <w:tcMar>
              <w:left w:w="57" w:type="dxa"/>
              <w:right w:w="57" w:type="dxa"/>
            </w:tcMar>
            <w:vAlign w:val="center"/>
            <w:hideMark/>
          </w:tcPr>
          <w:p w14:paraId="3CF5F781"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Yes, most other conservation strategies emerged from this base.</w:t>
            </w:r>
          </w:p>
        </w:tc>
        <w:tc>
          <w:tcPr>
            <w:tcW w:w="2551" w:type="dxa"/>
            <w:shd w:val="clear" w:color="auto" w:fill="auto"/>
            <w:tcMar>
              <w:left w:w="57" w:type="dxa"/>
              <w:right w:w="57" w:type="dxa"/>
            </w:tcMar>
            <w:vAlign w:val="center"/>
            <w:hideMark/>
          </w:tcPr>
          <w:p w14:paraId="4324F0BF"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Largely superseded by the policies that it called for</w:t>
            </w:r>
          </w:p>
        </w:tc>
        <w:tc>
          <w:tcPr>
            <w:tcW w:w="2410" w:type="dxa"/>
            <w:shd w:val="clear" w:color="auto" w:fill="auto"/>
            <w:tcMar>
              <w:left w:w="57" w:type="dxa"/>
              <w:right w:w="57" w:type="dxa"/>
            </w:tcMar>
            <w:vAlign w:val="center"/>
            <w:hideMark/>
          </w:tcPr>
          <w:p w14:paraId="7B34A3E7"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None known</w:t>
            </w:r>
          </w:p>
        </w:tc>
      </w:tr>
      <w:tr w:rsidR="00E33A01" w:rsidRPr="00580DBA" w14:paraId="04783B51" w14:textId="77777777" w:rsidTr="00C32C1F">
        <w:trPr>
          <w:cantSplit/>
        </w:trPr>
        <w:tc>
          <w:tcPr>
            <w:tcW w:w="1927" w:type="dxa"/>
            <w:shd w:val="clear" w:color="auto" w:fill="auto"/>
            <w:tcMar>
              <w:left w:w="57" w:type="dxa"/>
              <w:right w:w="57" w:type="dxa"/>
            </w:tcMar>
            <w:vAlign w:val="center"/>
            <w:hideMark/>
          </w:tcPr>
          <w:p w14:paraId="41DBDF40"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National Strategy for Sustainable Development (Working Draft)</w:t>
            </w:r>
          </w:p>
        </w:tc>
        <w:tc>
          <w:tcPr>
            <w:tcW w:w="3035" w:type="dxa"/>
            <w:shd w:val="clear" w:color="000000" w:fill="CCFF66"/>
            <w:tcMar>
              <w:left w:w="57" w:type="dxa"/>
              <w:right w:w="57" w:type="dxa"/>
            </w:tcMar>
            <w:vAlign w:val="center"/>
            <w:hideMark/>
          </w:tcPr>
          <w:p w14:paraId="2B107B35"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Focus is more on development, but need for conservation, as well as for resilience to climate change is acknowledged</w:t>
            </w:r>
          </w:p>
        </w:tc>
        <w:tc>
          <w:tcPr>
            <w:tcW w:w="2551" w:type="dxa"/>
            <w:shd w:val="clear" w:color="auto" w:fill="auto"/>
            <w:tcMar>
              <w:left w:w="57" w:type="dxa"/>
              <w:right w:w="57" w:type="dxa"/>
            </w:tcMar>
            <w:vAlign w:val="center"/>
            <w:hideMark/>
          </w:tcPr>
          <w:p w14:paraId="32537BBE"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Still being developed</w:t>
            </w:r>
          </w:p>
        </w:tc>
        <w:tc>
          <w:tcPr>
            <w:tcW w:w="2410" w:type="dxa"/>
            <w:shd w:val="clear" w:color="auto" w:fill="auto"/>
            <w:tcMar>
              <w:left w:w="57" w:type="dxa"/>
              <w:right w:w="57" w:type="dxa"/>
            </w:tcMar>
            <w:vAlign w:val="center"/>
            <w:hideMark/>
          </w:tcPr>
          <w:p w14:paraId="47BEF98C"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n/a</w:t>
            </w:r>
          </w:p>
        </w:tc>
      </w:tr>
      <w:tr w:rsidR="00E33A01" w:rsidRPr="00580DBA" w14:paraId="14CF75B0" w14:textId="77777777" w:rsidTr="00C32C1F">
        <w:trPr>
          <w:cantSplit/>
        </w:trPr>
        <w:tc>
          <w:tcPr>
            <w:tcW w:w="1927" w:type="dxa"/>
            <w:shd w:val="clear" w:color="auto" w:fill="auto"/>
            <w:tcMar>
              <w:left w:w="57" w:type="dxa"/>
              <w:right w:w="57" w:type="dxa"/>
            </w:tcMar>
            <w:vAlign w:val="center"/>
            <w:hideMark/>
          </w:tcPr>
          <w:p w14:paraId="13884288"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Wildlife Policy (2012 Draft)</w:t>
            </w:r>
          </w:p>
        </w:tc>
        <w:tc>
          <w:tcPr>
            <w:tcW w:w="3035" w:type="dxa"/>
            <w:shd w:val="clear" w:color="000000" w:fill="CCFF66"/>
            <w:tcMar>
              <w:left w:w="57" w:type="dxa"/>
              <w:right w:w="57" w:type="dxa"/>
            </w:tcMar>
            <w:vAlign w:val="center"/>
            <w:hideMark/>
          </w:tcPr>
          <w:p w14:paraId="6D6D2668"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Insufficient recognition of impact of climate change on small, bounded protected areas used by migratory species</w:t>
            </w:r>
          </w:p>
        </w:tc>
        <w:tc>
          <w:tcPr>
            <w:tcW w:w="2551" w:type="dxa"/>
            <w:shd w:val="clear" w:color="auto" w:fill="auto"/>
            <w:tcMar>
              <w:left w:w="57" w:type="dxa"/>
              <w:right w:w="57" w:type="dxa"/>
            </w:tcMar>
            <w:vAlign w:val="center"/>
            <w:hideMark/>
          </w:tcPr>
          <w:p w14:paraId="0F675D2B"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Not yet adopted, but used as a guideline by DWNP officers</w:t>
            </w:r>
          </w:p>
        </w:tc>
        <w:tc>
          <w:tcPr>
            <w:tcW w:w="2410" w:type="dxa"/>
            <w:shd w:val="clear" w:color="auto" w:fill="auto"/>
            <w:tcMar>
              <w:left w:w="57" w:type="dxa"/>
              <w:right w:w="57" w:type="dxa"/>
            </w:tcMar>
            <w:vAlign w:val="center"/>
            <w:hideMark/>
          </w:tcPr>
          <w:p w14:paraId="0B6DF7FE"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Unclear until fully adopted</w:t>
            </w:r>
          </w:p>
        </w:tc>
      </w:tr>
      <w:tr w:rsidR="00E33A01" w:rsidRPr="00580DBA" w14:paraId="30B3AD14" w14:textId="77777777" w:rsidTr="00C32C1F">
        <w:trPr>
          <w:cantSplit/>
        </w:trPr>
        <w:tc>
          <w:tcPr>
            <w:tcW w:w="1927" w:type="dxa"/>
            <w:shd w:val="clear" w:color="auto" w:fill="auto"/>
            <w:tcMar>
              <w:left w:w="57" w:type="dxa"/>
              <w:right w:w="57" w:type="dxa"/>
            </w:tcMar>
            <w:vAlign w:val="center"/>
            <w:hideMark/>
          </w:tcPr>
          <w:p w14:paraId="75E28D11"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National Forest Policy (2011)</w:t>
            </w:r>
          </w:p>
        </w:tc>
        <w:tc>
          <w:tcPr>
            <w:tcW w:w="3035" w:type="dxa"/>
            <w:shd w:val="clear" w:color="000000" w:fill="CCFF66"/>
            <w:tcMar>
              <w:left w:w="57" w:type="dxa"/>
              <w:right w:w="57" w:type="dxa"/>
            </w:tcMar>
            <w:vAlign w:val="center"/>
            <w:hideMark/>
          </w:tcPr>
          <w:p w14:paraId="0F4AC4DB"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Relatively well harmonised, but focus on forest areas leaves rangelands in wooded savannas less well catered for</w:t>
            </w:r>
          </w:p>
        </w:tc>
        <w:tc>
          <w:tcPr>
            <w:tcW w:w="2551" w:type="dxa"/>
            <w:shd w:val="clear" w:color="auto" w:fill="auto"/>
            <w:tcMar>
              <w:left w:w="57" w:type="dxa"/>
              <w:right w:w="57" w:type="dxa"/>
            </w:tcMar>
            <w:vAlign w:val="center"/>
            <w:hideMark/>
          </w:tcPr>
          <w:p w14:paraId="426ECCD1"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Unclear; DFRR is under-resourced and much of the policy's focus is outside of Ngamiland</w:t>
            </w:r>
          </w:p>
        </w:tc>
        <w:tc>
          <w:tcPr>
            <w:tcW w:w="2410" w:type="dxa"/>
            <w:shd w:val="clear" w:color="auto" w:fill="auto"/>
            <w:tcMar>
              <w:left w:w="57" w:type="dxa"/>
              <w:right w:w="57" w:type="dxa"/>
            </w:tcMar>
            <w:vAlign w:val="center"/>
            <w:hideMark/>
          </w:tcPr>
          <w:p w14:paraId="2FB43DCD"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As a new policy, several of the goals are still to be pursued (see recommendations)</w:t>
            </w:r>
          </w:p>
        </w:tc>
      </w:tr>
      <w:tr w:rsidR="00E33A01" w:rsidRPr="00580DBA" w14:paraId="440FDFBC" w14:textId="77777777" w:rsidTr="00C32C1F">
        <w:trPr>
          <w:cantSplit/>
        </w:trPr>
        <w:tc>
          <w:tcPr>
            <w:tcW w:w="1927" w:type="dxa"/>
            <w:shd w:val="clear" w:color="auto" w:fill="auto"/>
            <w:tcMar>
              <w:left w:w="57" w:type="dxa"/>
              <w:right w:w="57" w:type="dxa"/>
            </w:tcMar>
            <w:vAlign w:val="center"/>
            <w:hideMark/>
          </w:tcPr>
          <w:p w14:paraId="7803964E"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Wetlands Policy and Strategy (Draft  of 2007)</w:t>
            </w:r>
          </w:p>
        </w:tc>
        <w:tc>
          <w:tcPr>
            <w:tcW w:w="3035" w:type="dxa"/>
            <w:shd w:val="clear" w:color="000000" w:fill="FCF0A6"/>
            <w:tcMar>
              <w:left w:w="57" w:type="dxa"/>
              <w:right w:w="57" w:type="dxa"/>
            </w:tcMar>
            <w:vAlign w:val="center"/>
            <w:hideMark/>
          </w:tcPr>
          <w:p w14:paraId="3CAA1776"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Not really, as seen as conflicting with development needs (hence not adopted)</w:t>
            </w:r>
          </w:p>
        </w:tc>
        <w:tc>
          <w:tcPr>
            <w:tcW w:w="2551" w:type="dxa"/>
            <w:shd w:val="clear" w:color="auto" w:fill="auto"/>
            <w:tcMar>
              <w:left w:w="57" w:type="dxa"/>
              <w:right w:w="57" w:type="dxa"/>
            </w:tcMar>
            <w:vAlign w:val="center"/>
            <w:hideMark/>
          </w:tcPr>
          <w:p w14:paraId="6452DDB6"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That a policy remains draft after 10 years is indicative of serious lack of consensus over the contents</w:t>
            </w:r>
          </w:p>
        </w:tc>
        <w:tc>
          <w:tcPr>
            <w:tcW w:w="2410" w:type="dxa"/>
            <w:shd w:val="clear" w:color="auto" w:fill="auto"/>
            <w:tcMar>
              <w:left w:w="57" w:type="dxa"/>
              <w:right w:w="57" w:type="dxa"/>
            </w:tcMar>
            <w:vAlign w:val="center"/>
            <w:hideMark/>
          </w:tcPr>
          <w:p w14:paraId="5A1072C5"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The absence of an adopted, fully supported wetlands policy is a serious gap for wetlands management</w:t>
            </w:r>
          </w:p>
        </w:tc>
      </w:tr>
      <w:tr w:rsidR="00E33A01" w:rsidRPr="00580DBA" w14:paraId="0B9BAC69" w14:textId="77777777" w:rsidTr="00C32C1F">
        <w:trPr>
          <w:cantSplit/>
        </w:trPr>
        <w:tc>
          <w:tcPr>
            <w:tcW w:w="1927" w:type="dxa"/>
            <w:shd w:val="clear" w:color="auto" w:fill="auto"/>
            <w:tcMar>
              <w:left w:w="57" w:type="dxa"/>
              <w:right w:w="57" w:type="dxa"/>
            </w:tcMar>
            <w:vAlign w:val="center"/>
            <w:hideMark/>
          </w:tcPr>
          <w:p w14:paraId="300705EA"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Threatened Species Management Action Policy, Implementation Strategy and Action Plan (2007)</w:t>
            </w:r>
          </w:p>
        </w:tc>
        <w:tc>
          <w:tcPr>
            <w:tcW w:w="3035" w:type="dxa"/>
            <w:shd w:val="clear" w:color="000000" w:fill="CCFF66"/>
            <w:tcMar>
              <w:left w:w="57" w:type="dxa"/>
              <w:right w:w="57" w:type="dxa"/>
            </w:tcMar>
            <w:vAlign w:val="center"/>
            <w:hideMark/>
          </w:tcPr>
          <w:p w14:paraId="187ABAF3"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 xml:space="preserve">Recognises importance of maintaining habitats, but does </w:t>
            </w:r>
            <w:proofErr w:type="spellStart"/>
            <w:r w:rsidRPr="00580DBA">
              <w:rPr>
                <w:rFonts w:eastAsia="Times New Roman" w:cstheme="minorHAnsi"/>
                <w:color w:val="000000"/>
                <w:sz w:val="16"/>
                <w:szCs w:val="16"/>
                <w:lang w:eastAsia="en-GB"/>
              </w:rPr>
              <w:t>no</w:t>
            </w:r>
            <w:proofErr w:type="spellEnd"/>
            <w:r w:rsidRPr="00580DBA">
              <w:rPr>
                <w:rFonts w:eastAsia="Times New Roman" w:cstheme="minorHAnsi"/>
                <w:color w:val="000000"/>
                <w:sz w:val="16"/>
                <w:szCs w:val="16"/>
                <w:lang w:eastAsia="en-GB"/>
              </w:rPr>
              <w:t xml:space="preserve"> go far in assessing risk to habitats from climate change</w:t>
            </w:r>
          </w:p>
        </w:tc>
        <w:tc>
          <w:tcPr>
            <w:tcW w:w="2551" w:type="dxa"/>
            <w:shd w:val="clear" w:color="auto" w:fill="auto"/>
            <w:tcMar>
              <w:left w:w="57" w:type="dxa"/>
              <w:right w:w="57" w:type="dxa"/>
            </w:tcMar>
            <w:vAlign w:val="center"/>
            <w:hideMark/>
          </w:tcPr>
          <w:p w14:paraId="3762C70E"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Well-integrated into ongoing DWNP activities</w:t>
            </w:r>
          </w:p>
        </w:tc>
        <w:tc>
          <w:tcPr>
            <w:tcW w:w="2410" w:type="dxa"/>
            <w:shd w:val="clear" w:color="auto" w:fill="auto"/>
            <w:tcMar>
              <w:left w:w="57" w:type="dxa"/>
              <w:right w:w="57" w:type="dxa"/>
            </w:tcMar>
            <w:vAlign w:val="center"/>
            <w:hideMark/>
          </w:tcPr>
          <w:p w14:paraId="637B4890"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Still challenged by sector-based approaches to conservation, where an ecosystem, or landscape-level approach might be better</w:t>
            </w:r>
          </w:p>
        </w:tc>
      </w:tr>
      <w:tr w:rsidR="00E33A01" w:rsidRPr="00580DBA" w14:paraId="2F5D0E1B" w14:textId="77777777" w:rsidTr="00C32C1F">
        <w:trPr>
          <w:cantSplit/>
        </w:trPr>
        <w:tc>
          <w:tcPr>
            <w:tcW w:w="1927" w:type="dxa"/>
            <w:shd w:val="clear" w:color="auto" w:fill="auto"/>
            <w:tcMar>
              <w:left w:w="57" w:type="dxa"/>
              <w:right w:w="57" w:type="dxa"/>
            </w:tcMar>
            <w:vAlign w:val="center"/>
            <w:hideMark/>
          </w:tcPr>
          <w:p w14:paraId="6E31E16D"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Predator Management Strategy (Draft of 2013)</w:t>
            </w:r>
          </w:p>
        </w:tc>
        <w:tc>
          <w:tcPr>
            <w:tcW w:w="3035" w:type="dxa"/>
            <w:shd w:val="clear" w:color="000000" w:fill="CCFF66"/>
            <w:tcMar>
              <w:left w:w="57" w:type="dxa"/>
              <w:right w:w="57" w:type="dxa"/>
            </w:tcMar>
            <w:vAlign w:val="center"/>
            <w:hideMark/>
          </w:tcPr>
          <w:p w14:paraId="0AA21607"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While based on concept of ecosystem approaches, does not accommodate changes due to climate change</w:t>
            </w:r>
          </w:p>
        </w:tc>
        <w:tc>
          <w:tcPr>
            <w:tcW w:w="2551" w:type="dxa"/>
            <w:shd w:val="clear" w:color="auto" w:fill="auto"/>
            <w:tcMar>
              <w:left w:w="57" w:type="dxa"/>
              <w:right w:w="57" w:type="dxa"/>
            </w:tcMar>
            <w:vAlign w:val="center"/>
            <w:hideMark/>
          </w:tcPr>
          <w:p w14:paraId="0733AEBD"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Still to be adopted</w:t>
            </w:r>
          </w:p>
        </w:tc>
        <w:tc>
          <w:tcPr>
            <w:tcW w:w="2410" w:type="dxa"/>
            <w:shd w:val="clear" w:color="auto" w:fill="auto"/>
            <w:tcMar>
              <w:left w:w="57" w:type="dxa"/>
              <w:right w:w="57" w:type="dxa"/>
            </w:tcMar>
            <w:vAlign w:val="center"/>
            <w:hideMark/>
          </w:tcPr>
          <w:p w14:paraId="64C331DE"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Buffer zones between protected and settlement areas have yet to be established</w:t>
            </w:r>
          </w:p>
        </w:tc>
      </w:tr>
      <w:tr w:rsidR="00E33A01" w:rsidRPr="00580DBA" w14:paraId="67D48280" w14:textId="77777777" w:rsidTr="00C32C1F">
        <w:trPr>
          <w:cantSplit/>
        </w:trPr>
        <w:tc>
          <w:tcPr>
            <w:tcW w:w="1927" w:type="dxa"/>
            <w:shd w:val="clear" w:color="auto" w:fill="auto"/>
            <w:tcMar>
              <w:left w:w="57" w:type="dxa"/>
              <w:right w:w="57" w:type="dxa"/>
            </w:tcMar>
            <w:vAlign w:val="center"/>
            <w:hideMark/>
          </w:tcPr>
          <w:p w14:paraId="1FF2F056"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Community Based Natural Resources Management Policy (2007)</w:t>
            </w:r>
          </w:p>
        </w:tc>
        <w:tc>
          <w:tcPr>
            <w:tcW w:w="3035" w:type="dxa"/>
            <w:shd w:val="clear" w:color="000000" w:fill="CCFF66"/>
            <w:tcMar>
              <w:left w:w="57" w:type="dxa"/>
              <w:right w:w="57" w:type="dxa"/>
            </w:tcMar>
            <w:vAlign w:val="center"/>
            <w:hideMark/>
          </w:tcPr>
          <w:p w14:paraId="45FAD481"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Well harmonised with conservation, but climate issues unaddressed</w:t>
            </w:r>
          </w:p>
        </w:tc>
        <w:tc>
          <w:tcPr>
            <w:tcW w:w="2551" w:type="dxa"/>
            <w:shd w:val="clear" w:color="auto" w:fill="auto"/>
            <w:tcMar>
              <w:left w:w="57" w:type="dxa"/>
              <w:right w:w="57" w:type="dxa"/>
            </w:tcMar>
            <w:vAlign w:val="center"/>
            <w:hideMark/>
          </w:tcPr>
          <w:p w14:paraId="42B73AB8"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Several directives have been made that work directly against the intention of the policy</w:t>
            </w:r>
          </w:p>
        </w:tc>
        <w:tc>
          <w:tcPr>
            <w:tcW w:w="2410" w:type="dxa"/>
            <w:shd w:val="clear" w:color="auto" w:fill="auto"/>
            <w:tcMar>
              <w:left w:w="57" w:type="dxa"/>
              <w:right w:w="57" w:type="dxa"/>
            </w:tcMar>
            <w:vAlign w:val="center"/>
            <w:hideMark/>
          </w:tcPr>
          <w:p w14:paraId="0A54873A"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Provision of proper incentives</w:t>
            </w:r>
            <w:r w:rsidRPr="00580DBA">
              <w:rPr>
                <w:rFonts w:eastAsia="Times New Roman" w:cstheme="minorHAnsi"/>
                <w:color w:val="000000"/>
                <w:sz w:val="16"/>
                <w:szCs w:val="16"/>
                <w:lang w:eastAsia="en-GB"/>
              </w:rPr>
              <w:br w:type="page"/>
              <w:t xml:space="preserve">Opportunities </w:t>
            </w:r>
            <w:proofErr w:type="spellStart"/>
            <w:r w:rsidRPr="00580DBA">
              <w:rPr>
                <w:rFonts w:eastAsia="Times New Roman" w:cstheme="minorHAnsi"/>
                <w:color w:val="000000"/>
                <w:sz w:val="16"/>
                <w:szCs w:val="16"/>
                <w:lang w:eastAsia="en-GB"/>
              </w:rPr>
              <w:t>fo</w:t>
            </w:r>
            <w:proofErr w:type="spellEnd"/>
            <w:r w:rsidRPr="00580DBA">
              <w:rPr>
                <w:rFonts w:eastAsia="Times New Roman" w:cstheme="minorHAnsi"/>
                <w:color w:val="000000"/>
                <w:sz w:val="16"/>
                <w:szCs w:val="16"/>
                <w:lang w:eastAsia="en-GB"/>
              </w:rPr>
              <w:t xml:space="preserve"> real local-level decision-making</w:t>
            </w:r>
          </w:p>
        </w:tc>
      </w:tr>
      <w:tr w:rsidR="00E33A01" w:rsidRPr="00580DBA" w14:paraId="692A28F1" w14:textId="77777777" w:rsidTr="00C32C1F">
        <w:trPr>
          <w:cantSplit/>
        </w:trPr>
        <w:tc>
          <w:tcPr>
            <w:tcW w:w="1927" w:type="dxa"/>
            <w:shd w:val="clear" w:color="auto" w:fill="auto"/>
            <w:tcMar>
              <w:left w:w="57" w:type="dxa"/>
              <w:right w:w="57" w:type="dxa"/>
            </w:tcMar>
            <w:vAlign w:val="center"/>
            <w:hideMark/>
          </w:tcPr>
          <w:p w14:paraId="5E9F5ECF"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Indigenous Knowledge Systems Policy (Final Draft)</w:t>
            </w:r>
          </w:p>
        </w:tc>
        <w:tc>
          <w:tcPr>
            <w:tcW w:w="3035" w:type="dxa"/>
            <w:shd w:val="clear" w:color="000000" w:fill="66FF66"/>
            <w:tcMar>
              <w:left w:w="57" w:type="dxa"/>
              <w:right w:w="57" w:type="dxa"/>
            </w:tcMar>
            <w:vAlign w:val="center"/>
            <w:hideMark/>
          </w:tcPr>
          <w:p w14:paraId="23052423"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Yes, although the focus is not that strongly on conservation and climate change</w:t>
            </w:r>
          </w:p>
        </w:tc>
        <w:tc>
          <w:tcPr>
            <w:tcW w:w="2551" w:type="dxa"/>
            <w:shd w:val="clear" w:color="auto" w:fill="auto"/>
            <w:tcMar>
              <w:left w:w="57" w:type="dxa"/>
              <w:right w:w="57" w:type="dxa"/>
            </w:tcMar>
            <w:vAlign w:val="center"/>
            <w:hideMark/>
          </w:tcPr>
          <w:p w14:paraId="17480CA3"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Not yet adopted</w:t>
            </w:r>
          </w:p>
        </w:tc>
        <w:tc>
          <w:tcPr>
            <w:tcW w:w="2410" w:type="dxa"/>
            <w:shd w:val="clear" w:color="auto" w:fill="auto"/>
            <w:tcMar>
              <w:left w:w="57" w:type="dxa"/>
              <w:right w:w="57" w:type="dxa"/>
            </w:tcMar>
            <w:vAlign w:val="center"/>
            <w:hideMark/>
          </w:tcPr>
          <w:p w14:paraId="42198C5A"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n/a</w:t>
            </w:r>
          </w:p>
        </w:tc>
      </w:tr>
      <w:tr w:rsidR="00E33A01" w:rsidRPr="00580DBA" w14:paraId="2585E5D0" w14:textId="77777777" w:rsidTr="00C32C1F">
        <w:trPr>
          <w:cantSplit/>
        </w:trPr>
        <w:tc>
          <w:tcPr>
            <w:tcW w:w="1927" w:type="dxa"/>
            <w:shd w:val="clear" w:color="auto" w:fill="auto"/>
            <w:tcMar>
              <w:left w:w="57" w:type="dxa"/>
              <w:right w:w="57" w:type="dxa"/>
            </w:tcMar>
            <w:vAlign w:val="center"/>
            <w:hideMark/>
          </w:tcPr>
          <w:p w14:paraId="11719400"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Environmental Research Strategy (Draft of 2010)</w:t>
            </w:r>
          </w:p>
        </w:tc>
        <w:tc>
          <w:tcPr>
            <w:tcW w:w="3035" w:type="dxa"/>
            <w:shd w:val="clear" w:color="000000" w:fill="66FF66"/>
            <w:tcMar>
              <w:left w:w="57" w:type="dxa"/>
              <w:right w:w="57" w:type="dxa"/>
            </w:tcMar>
            <w:vAlign w:val="center"/>
            <w:hideMark/>
          </w:tcPr>
          <w:p w14:paraId="4D476D6F"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Yes, and provides the opportunity for research to further support proper harmonisation</w:t>
            </w:r>
          </w:p>
        </w:tc>
        <w:tc>
          <w:tcPr>
            <w:tcW w:w="2551" w:type="dxa"/>
            <w:shd w:val="clear" w:color="auto" w:fill="auto"/>
            <w:tcMar>
              <w:left w:w="57" w:type="dxa"/>
              <w:right w:w="57" w:type="dxa"/>
            </w:tcMar>
            <w:vAlign w:val="center"/>
            <w:hideMark/>
          </w:tcPr>
          <w:p w14:paraId="483E2652"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Not yet adopted</w:t>
            </w:r>
          </w:p>
        </w:tc>
        <w:tc>
          <w:tcPr>
            <w:tcW w:w="2410" w:type="dxa"/>
            <w:shd w:val="clear" w:color="auto" w:fill="auto"/>
            <w:tcMar>
              <w:left w:w="57" w:type="dxa"/>
              <w:right w:w="57" w:type="dxa"/>
            </w:tcMar>
            <w:vAlign w:val="center"/>
            <w:hideMark/>
          </w:tcPr>
          <w:p w14:paraId="13510051"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n/a, but note ongoing issues with foreign researchers leading to freeze on permits</w:t>
            </w:r>
          </w:p>
        </w:tc>
      </w:tr>
      <w:tr w:rsidR="00E33A01" w:rsidRPr="00580DBA" w14:paraId="63958F3D" w14:textId="77777777" w:rsidTr="00C32C1F">
        <w:trPr>
          <w:cantSplit/>
        </w:trPr>
        <w:tc>
          <w:tcPr>
            <w:tcW w:w="1927" w:type="dxa"/>
            <w:shd w:val="clear" w:color="auto" w:fill="auto"/>
            <w:tcMar>
              <w:left w:w="57" w:type="dxa"/>
              <w:right w:w="57" w:type="dxa"/>
            </w:tcMar>
            <w:vAlign w:val="center"/>
            <w:hideMark/>
          </w:tcPr>
          <w:p w14:paraId="1CCE33DB"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Waste Management Strategy (1998)</w:t>
            </w:r>
          </w:p>
        </w:tc>
        <w:tc>
          <w:tcPr>
            <w:tcW w:w="3035" w:type="dxa"/>
            <w:shd w:val="clear" w:color="000000" w:fill="CCFF66"/>
            <w:tcMar>
              <w:left w:w="57" w:type="dxa"/>
              <w:right w:w="57" w:type="dxa"/>
            </w:tcMar>
            <w:vAlign w:val="center"/>
            <w:hideMark/>
          </w:tcPr>
          <w:p w14:paraId="2DA8237D"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Somewhat harmonised with general environmental conservation principles, but not to climate change</w:t>
            </w:r>
          </w:p>
        </w:tc>
        <w:tc>
          <w:tcPr>
            <w:tcW w:w="2551" w:type="dxa"/>
            <w:shd w:val="clear" w:color="auto" w:fill="auto"/>
            <w:tcMar>
              <w:left w:w="57" w:type="dxa"/>
              <w:right w:w="57" w:type="dxa"/>
            </w:tcMar>
            <w:vAlign w:val="center"/>
            <w:hideMark/>
          </w:tcPr>
          <w:p w14:paraId="26663E77"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Hampered by understaffing, and low profile of dept.</w:t>
            </w:r>
          </w:p>
        </w:tc>
        <w:tc>
          <w:tcPr>
            <w:tcW w:w="2410" w:type="dxa"/>
            <w:shd w:val="clear" w:color="auto" w:fill="auto"/>
            <w:tcMar>
              <w:left w:w="57" w:type="dxa"/>
              <w:right w:w="57" w:type="dxa"/>
            </w:tcMar>
            <w:vAlign w:val="center"/>
            <w:hideMark/>
          </w:tcPr>
          <w:p w14:paraId="3B771CB8"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Principles are in place, but mechanisms to enforce and ensure public cooperation are not.</w:t>
            </w:r>
          </w:p>
        </w:tc>
      </w:tr>
      <w:tr w:rsidR="00E33A01" w:rsidRPr="00580DBA" w14:paraId="6CDE4EB1" w14:textId="77777777" w:rsidTr="00C32C1F">
        <w:trPr>
          <w:cantSplit/>
        </w:trPr>
        <w:tc>
          <w:tcPr>
            <w:tcW w:w="1927" w:type="dxa"/>
            <w:shd w:val="clear" w:color="auto" w:fill="auto"/>
            <w:tcMar>
              <w:left w:w="57" w:type="dxa"/>
              <w:right w:w="57" w:type="dxa"/>
            </w:tcMar>
            <w:vAlign w:val="center"/>
            <w:hideMark/>
          </w:tcPr>
          <w:p w14:paraId="7BA5138A"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National Policy on Agricultural Development (1991m but being updated)</w:t>
            </w:r>
          </w:p>
        </w:tc>
        <w:tc>
          <w:tcPr>
            <w:tcW w:w="3035" w:type="dxa"/>
            <w:shd w:val="clear" w:color="000000" w:fill="FCF0A6"/>
            <w:tcMar>
              <w:left w:w="57" w:type="dxa"/>
              <w:right w:w="57" w:type="dxa"/>
            </w:tcMar>
            <w:vAlign w:val="center"/>
            <w:hideMark/>
          </w:tcPr>
          <w:p w14:paraId="06EB830E"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Not really, primarily due to being outdated. Revised version likely to have strong climate focus</w:t>
            </w:r>
          </w:p>
        </w:tc>
        <w:tc>
          <w:tcPr>
            <w:tcW w:w="2551" w:type="dxa"/>
            <w:shd w:val="clear" w:color="auto" w:fill="auto"/>
            <w:tcMar>
              <w:left w:w="57" w:type="dxa"/>
              <w:right w:w="57" w:type="dxa"/>
            </w:tcMar>
            <w:vAlign w:val="center"/>
            <w:hideMark/>
          </w:tcPr>
          <w:p w14:paraId="140F758C"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This policy is agreed by most to be out-dated, though most aspects have been implemented</w:t>
            </w:r>
          </w:p>
        </w:tc>
        <w:tc>
          <w:tcPr>
            <w:tcW w:w="2410" w:type="dxa"/>
            <w:shd w:val="clear" w:color="auto" w:fill="auto"/>
            <w:tcMar>
              <w:left w:w="57" w:type="dxa"/>
              <w:right w:w="57" w:type="dxa"/>
            </w:tcMar>
            <w:vAlign w:val="center"/>
            <w:hideMark/>
          </w:tcPr>
          <w:p w14:paraId="301D3DF3"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None known. Programmes under this policy are actively developed and promoted</w:t>
            </w:r>
          </w:p>
        </w:tc>
      </w:tr>
      <w:tr w:rsidR="00E33A01" w:rsidRPr="00580DBA" w14:paraId="759EE5C3" w14:textId="77777777" w:rsidTr="00C32C1F">
        <w:trPr>
          <w:cantSplit/>
        </w:trPr>
        <w:tc>
          <w:tcPr>
            <w:tcW w:w="1927" w:type="dxa"/>
            <w:shd w:val="clear" w:color="auto" w:fill="auto"/>
            <w:tcMar>
              <w:left w:w="57" w:type="dxa"/>
              <w:right w:w="57" w:type="dxa"/>
            </w:tcMar>
            <w:vAlign w:val="center"/>
            <w:hideMark/>
          </w:tcPr>
          <w:p w14:paraId="277DDE14" w14:textId="77777777" w:rsidR="00E33A01" w:rsidRPr="00580DBA" w:rsidRDefault="00E33A01" w:rsidP="00C32C1F">
            <w:pPr>
              <w:spacing w:before="0" w:after="0"/>
              <w:jc w:val="center"/>
              <w:rPr>
                <w:rFonts w:eastAsia="Times New Roman" w:cstheme="minorHAnsi"/>
                <w:color w:val="000000"/>
                <w:sz w:val="16"/>
                <w:szCs w:val="16"/>
                <w:lang w:eastAsia="en-GB"/>
              </w:rPr>
            </w:pPr>
            <w:proofErr w:type="spellStart"/>
            <w:r w:rsidRPr="00580DBA">
              <w:rPr>
                <w:rFonts w:eastAsia="Times New Roman" w:cstheme="minorHAnsi"/>
                <w:color w:val="000000"/>
                <w:sz w:val="16"/>
                <w:szCs w:val="16"/>
                <w:lang w:eastAsia="en-GB"/>
              </w:rPr>
              <w:t>Srategy</w:t>
            </w:r>
            <w:proofErr w:type="spellEnd"/>
            <w:r w:rsidRPr="00580DBA">
              <w:rPr>
                <w:rFonts w:eastAsia="Times New Roman" w:cstheme="minorHAnsi"/>
                <w:color w:val="000000"/>
                <w:sz w:val="16"/>
                <w:szCs w:val="16"/>
                <w:lang w:eastAsia="en-GB"/>
              </w:rPr>
              <w:t xml:space="preserve"> for Economic Diversification and Sustainable Growth</w:t>
            </w:r>
          </w:p>
        </w:tc>
        <w:tc>
          <w:tcPr>
            <w:tcW w:w="3035" w:type="dxa"/>
            <w:shd w:val="clear" w:color="000000" w:fill="FCF0A6"/>
            <w:tcMar>
              <w:left w:w="57" w:type="dxa"/>
              <w:right w:w="57" w:type="dxa"/>
            </w:tcMar>
            <w:vAlign w:val="center"/>
            <w:hideMark/>
          </w:tcPr>
          <w:p w14:paraId="22BD6FD2"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Not really, as its focus is primarily medium-term and on economic sector</w:t>
            </w:r>
          </w:p>
        </w:tc>
        <w:tc>
          <w:tcPr>
            <w:tcW w:w="2551" w:type="dxa"/>
            <w:shd w:val="clear" w:color="auto" w:fill="auto"/>
            <w:tcMar>
              <w:left w:w="57" w:type="dxa"/>
              <w:right w:w="57" w:type="dxa"/>
            </w:tcMar>
            <w:vAlign w:val="center"/>
            <w:hideMark/>
          </w:tcPr>
          <w:p w14:paraId="58779ADD"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 xml:space="preserve">Unclear; likely that points were adopted by line ministries for incorporation in ministerial </w:t>
            </w:r>
            <w:proofErr w:type="spellStart"/>
            <w:r w:rsidRPr="00580DBA">
              <w:rPr>
                <w:rFonts w:eastAsia="Times New Roman" w:cstheme="minorHAnsi"/>
                <w:color w:val="000000"/>
                <w:sz w:val="16"/>
                <w:szCs w:val="16"/>
                <w:lang w:eastAsia="en-GB"/>
              </w:rPr>
              <w:t>polcies</w:t>
            </w:r>
            <w:proofErr w:type="spellEnd"/>
          </w:p>
        </w:tc>
        <w:tc>
          <w:tcPr>
            <w:tcW w:w="2410" w:type="dxa"/>
            <w:shd w:val="clear" w:color="auto" w:fill="auto"/>
            <w:tcMar>
              <w:left w:w="57" w:type="dxa"/>
              <w:right w:w="57" w:type="dxa"/>
            </w:tcMar>
            <w:vAlign w:val="center"/>
            <w:hideMark/>
          </w:tcPr>
          <w:p w14:paraId="7F7CE660"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Unknown</w:t>
            </w:r>
          </w:p>
        </w:tc>
      </w:tr>
      <w:tr w:rsidR="00E33A01" w:rsidRPr="00580DBA" w14:paraId="276517BF" w14:textId="77777777" w:rsidTr="00C32C1F">
        <w:trPr>
          <w:cantSplit/>
        </w:trPr>
        <w:tc>
          <w:tcPr>
            <w:tcW w:w="1927" w:type="dxa"/>
            <w:shd w:val="clear" w:color="auto" w:fill="auto"/>
            <w:tcMar>
              <w:left w:w="57" w:type="dxa"/>
              <w:right w:w="57" w:type="dxa"/>
            </w:tcMar>
            <w:vAlign w:val="center"/>
            <w:hideMark/>
          </w:tcPr>
          <w:p w14:paraId="6BE15177" w14:textId="77777777" w:rsidR="00E33A01" w:rsidRPr="00580DBA" w:rsidRDefault="00E33A01" w:rsidP="00C32C1F">
            <w:pPr>
              <w:spacing w:before="0" w:after="0"/>
              <w:jc w:val="center"/>
              <w:rPr>
                <w:rFonts w:eastAsia="Times New Roman" w:cstheme="minorHAnsi"/>
                <w:sz w:val="16"/>
                <w:szCs w:val="16"/>
                <w:lang w:eastAsia="en-GB"/>
              </w:rPr>
            </w:pPr>
            <w:r w:rsidRPr="00580DBA">
              <w:rPr>
                <w:rFonts w:eastAsia="Times New Roman" w:cstheme="minorHAnsi"/>
                <w:sz w:val="16"/>
                <w:szCs w:val="16"/>
                <w:lang w:eastAsia="en-GB"/>
              </w:rPr>
              <w:t>Integrated National Wildland Fire Management Strategy (Final Draft of 2012)</w:t>
            </w:r>
          </w:p>
        </w:tc>
        <w:tc>
          <w:tcPr>
            <w:tcW w:w="3035" w:type="dxa"/>
            <w:shd w:val="clear" w:color="000000" w:fill="66FF66"/>
            <w:tcMar>
              <w:left w:w="57" w:type="dxa"/>
              <w:right w:w="57" w:type="dxa"/>
            </w:tcMar>
            <w:vAlign w:val="center"/>
            <w:hideMark/>
          </w:tcPr>
          <w:p w14:paraId="3DFF242A"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Yes. In addition both biodiversity and climate change are articulated in the policy's vision</w:t>
            </w:r>
          </w:p>
        </w:tc>
        <w:tc>
          <w:tcPr>
            <w:tcW w:w="2551" w:type="dxa"/>
            <w:shd w:val="clear" w:color="auto" w:fill="auto"/>
            <w:tcMar>
              <w:left w:w="57" w:type="dxa"/>
              <w:right w:w="57" w:type="dxa"/>
            </w:tcMar>
            <w:vAlign w:val="center"/>
            <w:hideMark/>
          </w:tcPr>
          <w:p w14:paraId="001B2253" w14:textId="77777777" w:rsidR="00E33A01" w:rsidRPr="00580DBA" w:rsidRDefault="00E33A01" w:rsidP="00C32C1F">
            <w:pPr>
              <w:spacing w:before="0" w:after="0"/>
              <w:jc w:val="center"/>
              <w:rPr>
                <w:rFonts w:eastAsia="Times New Roman" w:cstheme="minorHAnsi"/>
                <w:sz w:val="16"/>
                <w:szCs w:val="16"/>
                <w:lang w:eastAsia="en-GB"/>
              </w:rPr>
            </w:pPr>
            <w:r w:rsidRPr="00580DBA">
              <w:rPr>
                <w:rFonts w:eastAsia="Times New Roman" w:cstheme="minorHAnsi"/>
                <w:sz w:val="16"/>
                <w:szCs w:val="16"/>
                <w:lang w:eastAsia="en-GB"/>
              </w:rPr>
              <w:t>Although not formally adopted yet, it has been referred to, and principles from it incorporated in, other policy documents</w:t>
            </w:r>
          </w:p>
        </w:tc>
        <w:tc>
          <w:tcPr>
            <w:tcW w:w="2410" w:type="dxa"/>
            <w:shd w:val="clear" w:color="auto" w:fill="auto"/>
            <w:tcMar>
              <w:left w:w="57" w:type="dxa"/>
              <w:right w:w="57" w:type="dxa"/>
            </w:tcMar>
            <w:vAlign w:val="center"/>
            <w:hideMark/>
          </w:tcPr>
          <w:p w14:paraId="2C006D12" w14:textId="77777777" w:rsidR="00E33A01" w:rsidRPr="00580DBA" w:rsidRDefault="00E33A01" w:rsidP="00C32C1F">
            <w:pPr>
              <w:spacing w:before="0" w:after="0"/>
              <w:jc w:val="center"/>
              <w:rPr>
                <w:rFonts w:eastAsia="Times New Roman" w:cstheme="minorHAnsi"/>
                <w:sz w:val="16"/>
                <w:szCs w:val="16"/>
                <w:lang w:eastAsia="en-GB"/>
              </w:rPr>
            </w:pPr>
            <w:r w:rsidRPr="00580DBA">
              <w:rPr>
                <w:rFonts w:eastAsia="Times New Roman" w:cstheme="minorHAnsi"/>
                <w:sz w:val="16"/>
                <w:szCs w:val="16"/>
                <w:lang w:eastAsia="en-GB"/>
              </w:rPr>
              <w:t>Some fire breaks have been expanded, but DFRR remains understaffed to fully implement all aspects</w:t>
            </w:r>
          </w:p>
        </w:tc>
      </w:tr>
      <w:tr w:rsidR="00E33A01" w:rsidRPr="00580DBA" w14:paraId="14952B93" w14:textId="77777777" w:rsidTr="00C32C1F">
        <w:trPr>
          <w:cantSplit/>
        </w:trPr>
        <w:tc>
          <w:tcPr>
            <w:tcW w:w="1927" w:type="dxa"/>
            <w:shd w:val="clear" w:color="auto" w:fill="auto"/>
            <w:tcMar>
              <w:left w:w="57" w:type="dxa"/>
              <w:right w:w="57" w:type="dxa"/>
            </w:tcMar>
            <w:vAlign w:val="center"/>
            <w:hideMark/>
          </w:tcPr>
          <w:p w14:paraId="6C4CB1D5" w14:textId="77777777" w:rsidR="00E33A01" w:rsidRPr="00580DBA" w:rsidRDefault="00E33A01" w:rsidP="00C32C1F">
            <w:pPr>
              <w:spacing w:before="0" w:after="0"/>
              <w:jc w:val="center"/>
              <w:rPr>
                <w:rFonts w:eastAsia="Times New Roman" w:cstheme="minorHAnsi"/>
                <w:sz w:val="16"/>
                <w:szCs w:val="16"/>
                <w:lang w:eastAsia="en-GB"/>
              </w:rPr>
            </w:pPr>
            <w:r w:rsidRPr="00580DBA">
              <w:rPr>
                <w:rFonts w:eastAsia="Times New Roman" w:cstheme="minorHAnsi"/>
                <w:sz w:val="16"/>
                <w:szCs w:val="16"/>
                <w:lang w:eastAsia="en-GB"/>
              </w:rPr>
              <w:t>Land Policy (2015)</w:t>
            </w:r>
          </w:p>
        </w:tc>
        <w:tc>
          <w:tcPr>
            <w:tcW w:w="3035" w:type="dxa"/>
            <w:shd w:val="clear" w:color="000000" w:fill="CCFF66"/>
            <w:tcMar>
              <w:left w:w="57" w:type="dxa"/>
              <w:right w:w="57" w:type="dxa"/>
            </w:tcMar>
            <w:vAlign w:val="center"/>
            <w:hideMark/>
          </w:tcPr>
          <w:p w14:paraId="554F221A"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To some extent, biodiversity issues are addressed through concerns of sound management and appropriate zoning</w:t>
            </w:r>
          </w:p>
        </w:tc>
        <w:tc>
          <w:tcPr>
            <w:tcW w:w="2551" w:type="dxa"/>
            <w:shd w:val="clear" w:color="auto" w:fill="auto"/>
            <w:tcMar>
              <w:left w:w="57" w:type="dxa"/>
              <w:right w:w="57" w:type="dxa"/>
            </w:tcMar>
            <w:vAlign w:val="center"/>
            <w:hideMark/>
          </w:tcPr>
          <w:p w14:paraId="57DC24AC" w14:textId="77777777" w:rsidR="00E33A01" w:rsidRPr="00580DBA" w:rsidRDefault="00E33A01" w:rsidP="00C32C1F">
            <w:pPr>
              <w:spacing w:before="0" w:after="0"/>
              <w:jc w:val="center"/>
              <w:rPr>
                <w:rFonts w:eastAsia="Times New Roman" w:cstheme="minorHAnsi"/>
                <w:sz w:val="16"/>
                <w:szCs w:val="16"/>
                <w:lang w:eastAsia="en-GB"/>
              </w:rPr>
            </w:pPr>
            <w:r w:rsidRPr="00580DBA">
              <w:rPr>
                <w:rFonts w:eastAsia="Times New Roman" w:cstheme="minorHAnsi"/>
                <w:sz w:val="16"/>
                <w:szCs w:val="16"/>
                <w:lang w:eastAsia="en-GB"/>
              </w:rPr>
              <w:t>Improved land registration being rolled out;</w:t>
            </w:r>
            <w:r w:rsidRPr="00580DBA">
              <w:rPr>
                <w:rFonts w:eastAsia="Times New Roman" w:cstheme="minorHAnsi"/>
                <w:sz w:val="16"/>
                <w:szCs w:val="16"/>
                <w:lang w:eastAsia="en-GB"/>
              </w:rPr>
              <w:br/>
              <w:t>Increased use of LUCIS and zoning</w:t>
            </w:r>
          </w:p>
        </w:tc>
        <w:tc>
          <w:tcPr>
            <w:tcW w:w="2410" w:type="dxa"/>
            <w:shd w:val="clear" w:color="auto" w:fill="auto"/>
            <w:tcMar>
              <w:left w:w="57" w:type="dxa"/>
              <w:right w:w="57" w:type="dxa"/>
            </w:tcMar>
            <w:vAlign w:val="center"/>
            <w:hideMark/>
          </w:tcPr>
          <w:p w14:paraId="3377C389" w14:textId="77777777" w:rsidR="00E33A01" w:rsidRPr="00580DBA" w:rsidRDefault="00E33A01" w:rsidP="00C32C1F">
            <w:pPr>
              <w:spacing w:before="0" w:after="0"/>
              <w:jc w:val="center"/>
              <w:rPr>
                <w:rFonts w:eastAsia="Times New Roman" w:cstheme="minorHAnsi"/>
                <w:sz w:val="16"/>
                <w:szCs w:val="16"/>
                <w:lang w:eastAsia="en-GB"/>
              </w:rPr>
            </w:pPr>
            <w:r w:rsidRPr="00580DBA">
              <w:rPr>
                <w:rFonts w:eastAsia="Times New Roman" w:cstheme="minorHAnsi"/>
                <w:sz w:val="16"/>
                <w:szCs w:val="16"/>
                <w:lang w:eastAsia="en-GB"/>
              </w:rPr>
              <w:t>Unclear, approval of policy is still recent</w:t>
            </w:r>
          </w:p>
        </w:tc>
      </w:tr>
      <w:tr w:rsidR="00E33A01" w:rsidRPr="00580DBA" w14:paraId="61A03372" w14:textId="77777777" w:rsidTr="00C32C1F">
        <w:trPr>
          <w:cantSplit/>
        </w:trPr>
        <w:tc>
          <w:tcPr>
            <w:tcW w:w="1927" w:type="dxa"/>
            <w:shd w:val="clear" w:color="auto" w:fill="auto"/>
            <w:tcMar>
              <w:left w:w="57" w:type="dxa"/>
              <w:right w:w="57" w:type="dxa"/>
            </w:tcMar>
            <w:vAlign w:val="center"/>
            <w:hideMark/>
          </w:tcPr>
          <w:p w14:paraId="39B560D9" w14:textId="77777777" w:rsidR="00E33A01" w:rsidRPr="00580DBA" w:rsidRDefault="00E33A01" w:rsidP="00C32C1F">
            <w:pPr>
              <w:spacing w:before="0" w:after="0"/>
              <w:jc w:val="center"/>
              <w:rPr>
                <w:rFonts w:eastAsia="Times New Roman" w:cstheme="minorHAnsi"/>
                <w:sz w:val="16"/>
                <w:szCs w:val="16"/>
                <w:lang w:eastAsia="en-GB"/>
              </w:rPr>
            </w:pPr>
            <w:r w:rsidRPr="00580DBA">
              <w:rPr>
                <w:rFonts w:eastAsia="Times New Roman" w:cstheme="minorHAnsi"/>
                <w:sz w:val="16"/>
                <w:szCs w:val="16"/>
                <w:lang w:eastAsia="en-GB"/>
              </w:rPr>
              <w:lastRenderedPageBreak/>
              <w:t>Tourism Policy (1990)</w:t>
            </w:r>
          </w:p>
        </w:tc>
        <w:tc>
          <w:tcPr>
            <w:tcW w:w="3035" w:type="dxa"/>
            <w:shd w:val="clear" w:color="000000" w:fill="FCF0A6"/>
            <w:tcMar>
              <w:left w:w="57" w:type="dxa"/>
              <w:right w:w="57" w:type="dxa"/>
            </w:tcMar>
            <w:vAlign w:val="center"/>
            <w:hideMark/>
          </w:tcPr>
          <w:p w14:paraId="7E513261"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No longer.  Approaches and principles have changed.  This policy does not allow for adaptive management, and current planning has moved from precautionary principle to ill-defined "limits of acceptable change".</w:t>
            </w:r>
          </w:p>
        </w:tc>
        <w:tc>
          <w:tcPr>
            <w:tcW w:w="2551" w:type="dxa"/>
            <w:shd w:val="clear" w:color="auto" w:fill="auto"/>
            <w:tcMar>
              <w:left w:w="57" w:type="dxa"/>
              <w:right w:w="57" w:type="dxa"/>
            </w:tcMar>
            <w:vAlign w:val="center"/>
            <w:hideMark/>
          </w:tcPr>
          <w:p w14:paraId="0C06B35F" w14:textId="77777777" w:rsidR="00E33A01" w:rsidRPr="00580DBA" w:rsidRDefault="00E33A01" w:rsidP="00C32C1F">
            <w:pPr>
              <w:spacing w:before="0" w:after="0"/>
              <w:jc w:val="center"/>
              <w:rPr>
                <w:rFonts w:eastAsia="Times New Roman" w:cstheme="minorHAnsi"/>
                <w:sz w:val="16"/>
                <w:szCs w:val="16"/>
                <w:lang w:eastAsia="en-GB"/>
              </w:rPr>
            </w:pPr>
            <w:r w:rsidRPr="00580DBA">
              <w:rPr>
                <w:rFonts w:eastAsia="Times New Roman" w:cstheme="minorHAnsi"/>
                <w:sz w:val="16"/>
                <w:szCs w:val="16"/>
                <w:lang w:eastAsia="en-GB"/>
              </w:rPr>
              <w:t>Strong, through Tourism Master Plan, and subsidiary regulations and guidelines</w:t>
            </w:r>
          </w:p>
        </w:tc>
        <w:tc>
          <w:tcPr>
            <w:tcW w:w="2410" w:type="dxa"/>
            <w:shd w:val="clear" w:color="auto" w:fill="auto"/>
            <w:tcMar>
              <w:left w:w="57" w:type="dxa"/>
              <w:right w:w="57" w:type="dxa"/>
            </w:tcMar>
            <w:vAlign w:val="center"/>
            <w:hideMark/>
          </w:tcPr>
          <w:p w14:paraId="781BE800" w14:textId="77777777" w:rsidR="00E33A01" w:rsidRPr="00580DBA" w:rsidRDefault="00E33A01" w:rsidP="00C32C1F">
            <w:pPr>
              <w:spacing w:before="0" w:after="0"/>
              <w:jc w:val="center"/>
              <w:rPr>
                <w:rFonts w:eastAsia="Times New Roman" w:cstheme="minorHAnsi"/>
                <w:sz w:val="16"/>
                <w:szCs w:val="16"/>
                <w:lang w:eastAsia="en-GB"/>
              </w:rPr>
            </w:pPr>
            <w:r w:rsidRPr="00580DBA">
              <w:rPr>
                <w:rFonts w:eastAsia="Times New Roman" w:cstheme="minorHAnsi"/>
                <w:sz w:val="16"/>
                <w:szCs w:val="16"/>
                <w:lang w:eastAsia="en-GB"/>
              </w:rPr>
              <w:t>None known</w:t>
            </w:r>
          </w:p>
        </w:tc>
      </w:tr>
      <w:tr w:rsidR="00E33A01" w:rsidRPr="00580DBA" w14:paraId="71B846CC" w14:textId="77777777" w:rsidTr="00C32C1F">
        <w:trPr>
          <w:cantSplit/>
        </w:trPr>
        <w:tc>
          <w:tcPr>
            <w:tcW w:w="1927" w:type="dxa"/>
            <w:shd w:val="clear" w:color="auto" w:fill="auto"/>
            <w:tcMar>
              <w:left w:w="57" w:type="dxa"/>
              <w:right w:w="57" w:type="dxa"/>
            </w:tcMar>
            <w:vAlign w:val="center"/>
            <w:hideMark/>
          </w:tcPr>
          <w:p w14:paraId="59E28889"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Ecotourism Strategy (2002)</w:t>
            </w:r>
          </w:p>
        </w:tc>
        <w:tc>
          <w:tcPr>
            <w:tcW w:w="3035" w:type="dxa"/>
            <w:shd w:val="clear" w:color="000000" w:fill="66FF66"/>
            <w:tcMar>
              <w:left w:w="57" w:type="dxa"/>
              <w:right w:w="57" w:type="dxa"/>
            </w:tcMar>
            <w:vAlign w:val="center"/>
            <w:hideMark/>
          </w:tcPr>
          <w:p w14:paraId="629CCDBA"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Yes, clear intention to protect natural resources as basis for sustainable tourism activities</w:t>
            </w:r>
          </w:p>
        </w:tc>
        <w:tc>
          <w:tcPr>
            <w:tcW w:w="2551" w:type="dxa"/>
            <w:shd w:val="clear" w:color="auto" w:fill="auto"/>
            <w:tcMar>
              <w:left w:w="57" w:type="dxa"/>
              <w:right w:w="57" w:type="dxa"/>
            </w:tcMar>
            <w:vAlign w:val="center"/>
            <w:hideMark/>
          </w:tcPr>
          <w:p w14:paraId="348D503B"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Ecotourism certification in place</w:t>
            </w:r>
          </w:p>
        </w:tc>
        <w:tc>
          <w:tcPr>
            <w:tcW w:w="2410" w:type="dxa"/>
            <w:shd w:val="clear" w:color="auto" w:fill="auto"/>
            <w:tcMar>
              <w:left w:w="57" w:type="dxa"/>
              <w:right w:w="57" w:type="dxa"/>
            </w:tcMar>
            <w:vAlign w:val="center"/>
            <w:hideMark/>
          </w:tcPr>
          <w:p w14:paraId="2C4BC459"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None known</w:t>
            </w:r>
          </w:p>
        </w:tc>
      </w:tr>
      <w:tr w:rsidR="00E33A01" w:rsidRPr="00580DBA" w14:paraId="7A90EE8F" w14:textId="77777777" w:rsidTr="00C32C1F">
        <w:trPr>
          <w:cantSplit/>
        </w:trPr>
        <w:tc>
          <w:tcPr>
            <w:tcW w:w="1927" w:type="dxa"/>
            <w:shd w:val="clear" w:color="auto" w:fill="auto"/>
            <w:tcMar>
              <w:left w:w="57" w:type="dxa"/>
              <w:right w:w="57" w:type="dxa"/>
            </w:tcMar>
            <w:vAlign w:val="center"/>
            <w:hideMark/>
          </w:tcPr>
          <w:p w14:paraId="4580F05A"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Draft Climate Change Response Policy (Draft of 2016)</w:t>
            </w:r>
          </w:p>
        </w:tc>
        <w:tc>
          <w:tcPr>
            <w:tcW w:w="3035" w:type="dxa"/>
            <w:shd w:val="clear" w:color="000000" w:fill="66FF66"/>
            <w:tcMar>
              <w:left w:w="57" w:type="dxa"/>
              <w:right w:w="57" w:type="dxa"/>
            </w:tcMar>
            <w:vAlign w:val="center"/>
            <w:hideMark/>
          </w:tcPr>
          <w:p w14:paraId="7E918A6D"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Yes, addresses all key development sectors including biodiversity and ecosystems</w:t>
            </w:r>
          </w:p>
        </w:tc>
        <w:tc>
          <w:tcPr>
            <w:tcW w:w="2551" w:type="dxa"/>
            <w:shd w:val="clear" w:color="auto" w:fill="auto"/>
            <w:tcMar>
              <w:left w:w="57" w:type="dxa"/>
              <w:right w:w="57" w:type="dxa"/>
            </w:tcMar>
            <w:vAlign w:val="center"/>
            <w:hideMark/>
          </w:tcPr>
          <w:p w14:paraId="307880B8"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Not yet adopted</w:t>
            </w:r>
          </w:p>
        </w:tc>
        <w:tc>
          <w:tcPr>
            <w:tcW w:w="2410" w:type="dxa"/>
            <w:shd w:val="clear" w:color="auto" w:fill="auto"/>
            <w:tcMar>
              <w:left w:w="57" w:type="dxa"/>
              <w:right w:w="57" w:type="dxa"/>
            </w:tcMar>
            <w:vAlign w:val="center"/>
            <w:hideMark/>
          </w:tcPr>
          <w:p w14:paraId="19EED5E8"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n/a</w:t>
            </w:r>
          </w:p>
        </w:tc>
      </w:tr>
      <w:tr w:rsidR="00E33A01" w:rsidRPr="00580DBA" w14:paraId="5E5E5573" w14:textId="77777777" w:rsidTr="00C32C1F">
        <w:trPr>
          <w:cantSplit/>
          <w:tblHeader/>
        </w:trPr>
        <w:tc>
          <w:tcPr>
            <w:tcW w:w="9923" w:type="dxa"/>
            <w:gridSpan w:val="4"/>
            <w:shd w:val="clear" w:color="auto" w:fill="A6A6A6" w:themeFill="background1" w:themeFillShade="A6"/>
            <w:tcMar>
              <w:left w:w="57" w:type="dxa"/>
              <w:right w:w="57" w:type="dxa"/>
            </w:tcMar>
            <w:vAlign w:val="center"/>
          </w:tcPr>
          <w:p w14:paraId="251CD684" w14:textId="77777777" w:rsidR="00E33A01" w:rsidRPr="00580DBA" w:rsidRDefault="00E33A01" w:rsidP="00C32C1F">
            <w:pPr>
              <w:spacing w:before="0" w:after="0"/>
              <w:jc w:val="center"/>
              <w:rPr>
                <w:rFonts w:eastAsia="Times New Roman" w:cstheme="minorHAnsi"/>
                <w:b/>
                <w:bCs/>
                <w:color w:val="000000"/>
                <w:sz w:val="16"/>
                <w:szCs w:val="16"/>
                <w:lang w:eastAsia="en-GB"/>
              </w:rPr>
            </w:pPr>
            <w:r>
              <w:rPr>
                <w:rFonts w:eastAsia="Times New Roman" w:cstheme="minorHAnsi"/>
                <w:b/>
                <w:bCs/>
                <w:color w:val="000000"/>
                <w:sz w:val="16"/>
                <w:szCs w:val="16"/>
                <w:lang w:eastAsia="en-GB"/>
              </w:rPr>
              <w:t>Legal Acts</w:t>
            </w:r>
          </w:p>
        </w:tc>
      </w:tr>
      <w:tr w:rsidR="00E33A01" w:rsidRPr="00580DBA" w14:paraId="5E1DDD7C" w14:textId="77777777" w:rsidTr="00C32C1F">
        <w:trPr>
          <w:cantSplit/>
        </w:trPr>
        <w:tc>
          <w:tcPr>
            <w:tcW w:w="1927" w:type="dxa"/>
            <w:shd w:val="clear" w:color="auto" w:fill="auto"/>
            <w:tcMar>
              <w:left w:w="57" w:type="dxa"/>
              <w:right w:w="57" w:type="dxa"/>
            </w:tcMar>
            <w:vAlign w:val="center"/>
            <w:hideMark/>
          </w:tcPr>
          <w:p w14:paraId="64011243"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Environmental Assessment Act (2011)</w:t>
            </w:r>
          </w:p>
        </w:tc>
        <w:tc>
          <w:tcPr>
            <w:tcW w:w="3035" w:type="dxa"/>
            <w:shd w:val="clear" w:color="000000" w:fill="CCFF66"/>
            <w:tcMar>
              <w:left w:w="57" w:type="dxa"/>
              <w:right w:w="57" w:type="dxa"/>
            </w:tcMar>
            <w:vAlign w:val="center"/>
            <w:hideMark/>
          </w:tcPr>
          <w:p w14:paraId="18268D5A"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Somewhat. Institutional arrangements mean that government departments often fail to see that they themselves are subject to the act.</w:t>
            </w:r>
          </w:p>
        </w:tc>
        <w:tc>
          <w:tcPr>
            <w:tcW w:w="4961" w:type="dxa"/>
            <w:gridSpan w:val="2"/>
            <w:vMerge w:val="restart"/>
            <w:shd w:val="clear" w:color="auto" w:fill="auto"/>
            <w:tcMar>
              <w:left w:w="57" w:type="dxa"/>
              <w:right w:w="57" w:type="dxa"/>
            </w:tcMar>
            <w:vAlign w:val="center"/>
            <w:hideMark/>
          </w:tcPr>
          <w:p w14:paraId="1A097696" w14:textId="77777777" w:rsidR="00E33A01" w:rsidRDefault="00E33A01" w:rsidP="00C32C1F">
            <w:pPr>
              <w:spacing w:before="0" w:after="0"/>
              <w:jc w:val="center"/>
              <w:rPr>
                <w:rFonts w:eastAsia="Times New Roman" w:cstheme="minorHAnsi"/>
                <w:color w:val="000000"/>
                <w:sz w:val="16"/>
                <w:szCs w:val="16"/>
                <w:lang w:eastAsia="en-GB"/>
              </w:rPr>
            </w:pPr>
            <w:r>
              <w:rPr>
                <w:rFonts w:eastAsia="Times New Roman" w:cstheme="minorHAnsi"/>
                <w:color w:val="000000"/>
                <w:sz w:val="16"/>
                <w:szCs w:val="16"/>
                <w:lang w:eastAsia="en-GB"/>
              </w:rPr>
              <w:t xml:space="preserve">Nearly all acts relating to environmental aspects of Botswana have extremely low levels of implementation and enforcement.  This is due to constraints associated with the remoteness of most communities and wilderness areas, and with centralisation of governance.  </w:t>
            </w:r>
          </w:p>
          <w:p w14:paraId="78171781" w14:textId="77777777" w:rsidR="00E33A01" w:rsidRDefault="00E33A01" w:rsidP="00C32C1F">
            <w:pPr>
              <w:spacing w:before="0" w:after="0"/>
              <w:jc w:val="center"/>
              <w:rPr>
                <w:rFonts w:eastAsia="Times New Roman" w:cstheme="minorHAnsi"/>
                <w:color w:val="000000"/>
                <w:sz w:val="16"/>
                <w:szCs w:val="16"/>
                <w:lang w:eastAsia="en-GB"/>
              </w:rPr>
            </w:pPr>
          </w:p>
          <w:p w14:paraId="28EDA6DA" w14:textId="77777777" w:rsidR="00E33A01" w:rsidRPr="00580DBA" w:rsidRDefault="00E33A01" w:rsidP="00C32C1F">
            <w:pPr>
              <w:spacing w:before="0" w:after="0"/>
              <w:jc w:val="center"/>
              <w:rPr>
                <w:rFonts w:eastAsia="Times New Roman" w:cstheme="minorHAnsi"/>
                <w:color w:val="000000"/>
                <w:sz w:val="16"/>
                <w:szCs w:val="16"/>
                <w:lang w:eastAsia="en-GB"/>
              </w:rPr>
            </w:pPr>
            <w:r>
              <w:rPr>
                <w:rFonts w:eastAsia="Times New Roman" w:cstheme="minorHAnsi"/>
                <w:color w:val="000000"/>
                <w:sz w:val="16"/>
                <w:szCs w:val="16"/>
                <w:lang w:eastAsia="en-GB"/>
              </w:rPr>
              <w:t>This lack of enforcement could represent a resource-by-resource opportunity to develop and implement by-laws for the different act, relevant to local areas.</w:t>
            </w:r>
          </w:p>
          <w:p w14:paraId="4026BDC1"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 </w:t>
            </w:r>
          </w:p>
          <w:p w14:paraId="294A76AC"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 </w:t>
            </w:r>
          </w:p>
          <w:p w14:paraId="28B76AFE"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 </w:t>
            </w:r>
          </w:p>
          <w:p w14:paraId="1F906931"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 </w:t>
            </w:r>
          </w:p>
          <w:p w14:paraId="02204B41"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 </w:t>
            </w:r>
          </w:p>
          <w:p w14:paraId="2BF3B6E9"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 </w:t>
            </w:r>
          </w:p>
          <w:p w14:paraId="3FBCC843"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 </w:t>
            </w:r>
          </w:p>
          <w:p w14:paraId="485B84FC"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 </w:t>
            </w:r>
          </w:p>
          <w:p w14:paraId="7A099ECB" w14:textId="77777777" w:rsidR="00E33A01" w:rsidRPr="00580DBA" w:rsidRDefault="00E33A01" w:rsidP="00C32C1F">
            <w:pPr>
              <w:spacing w:before="0" w:after="0"/>
              <w:jc w:val="center"/>
              <w:rPr>
                <w:rFonts w:eastAsia="Times New Roman" w:cstheme="minorHAnsi"/>
                <w:sz w:val="16"/>
                <w:szCs w:val="16"/>
                <w:lang w:eastAsia="en-GB"/>
              </w:rPr>
            </w:pPr>
            <w:r w:rsidRPr="00580DBA">
              <w:rPr>
                <w:rFonts w:eastAsia="Times New Roman" w:cstheme="minorHAnsi"/>
                <w:color w:val="000000"/>
                <w:sz w:val="16"/>
                <w:szCs w:val="16"/>
                <w:lang w:eastAsia="en-GB"/>
              </w:rPr>
              <w:t> </w:t>
            </w:r>
          </w:p>
        </w:tc>
      </w:tr>
      <w:tr w:rsidR="00E33A01" w:rsidRPr="00580DBA" w14:paraId="76135A2F" w14:textId="77777777" w:rsidTr="00C32C1F">
        <w:trPr>
          <w:cantSplit/>
        </w:trPr>
        <w:tc>
          <w:tcPr>
            <w:tcW w:w="1927" w:type="dxa"/>
            <w:shd w:val="clear" w:color="auto" w:fill="auto"/>
            <w:tcMar>
              <w:left w:w="57" w:type="dxa"/>
              <w:right w:w="57" w:type="dxa"/>
            </w:tcMar>
            <w:vAlign w:val="center"/>
            <w:hideMark/>
          </w:tcPr>
          <w:p w14:paraId="3AC6D51C"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Tribal Land Act (amended 1993)</w:t>
            </w:r>
          </w:p>
        </w:tc>
        <w:tc>
          <w:tcPr>
            <w:tcW w:w="3035" w:type="dxa"/>
            <w:shd w:val="clear" w:color="000000" w:fill="CCFF66"/>
            <w:tcMar>
              <w:left w:w="57" w:type="dxa"/>
              <w:right w:w="57" w:type="dxa"/>
            </w:tcMar>
            <w:vAlign w:val="center"/>
            <w:hideMark/>
          </w:tcPr>
          <w:p w14:paraId="78EA5EB2"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The 1993 de-tribalisation of the act has removed local level mechanisms to control access and particularly to exclude outsiders.  A challenge for land and biodiversity management.</w:t>
            </w:r>
          </w:p>
        </w:tc>
        <w:tc>
          <w:tcPr>
            <w:tcW w:w="4961" w:type="dxa"/>
            <w:gridSpan w:val="2"/>
            <w:vMerge/>
            <w:shd w:val="clear" w:color="auto" w:fill="auto"/>
            <w:tcMar>
              <w:left w:w="57" w:type="dxa"/>
              <w:right w:w="57" w:type="dxa"/>
            </w:tcMar>
            <w:vAlign w:val="center"/>
            <w:hideMark/>
          </w:tcPr>
          <w:p w14:paraId="523FD676" w14:textId="77777777" w:rsidR="00E33A01" w:rsidRPr="00580DBA" w:rsidRDefault="00E33A01" w:rsidP="00C32C1F">
            <w:pPr>
              <w:spacing w:before="0" w:after="0"/>
              <w:jc w:val="center"/>
              <w:rPr>
                <w:rFonts w:eastAsia="Times New Roman" w:cstheme="minorHAnsi"/>
                <w:sz w:val="16"/>
                <w:szCs w:val="16"/>
                <w:lang w:eastAsia="en-GB"/>
              </w:rPr>
            </w:pPr>
          </w:p>
        </w:tc>
      </w:tr>
      <w:tr w:rsidR="00E33A01" w:rsidRPr="00580DBA" w14:paraId="088B6B31" w14:textId="77777777" w:rsidTr="00C32C1F">
        <w:trPr>
          <w:cantSplit/>
        </w:trPr>
        <w:tc>
          <w:tcPr>
            <w:tcW w:w="1927" w:type="dxa"/>
            <w:shd w:val="clear" w:color="auto" w:fill="auto"/>
            <w:tcMar>
              <w:left w:w="57" w:type="dxa"/>
              <w:right w:w="57" w:type="dxa"/>
            </w:tcMar>
            <w:vAlign w:val="center"/>
            <w:hideMark/>
          </w:tcPr>
          <w:p w14:paraId="5F77BDCD"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State Land Act (1966)</w:t>
            </w:r>
          </w:p>
        </w:tc>
        <w:tc>
          <w:tcPr>
            <w:tcW w:w="3035" w:type="dxa"/>
            <w:shd w:val="clear" w:color="000000" w:fill="CCFF66"/>
            <w:tcMar>
              <w:left w:w="57" w:type="dxa"/>
              <w:right w:w="57" w:type="dxa"/>
            </w:tcMar>
            <w:vAlign w:val="center"/>
            <w:hideMark/>
          </w:tcPr>
          <w:p w14:paraId="0FB93DB6"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 xml:space="preserve">For the most part, state land does not involve local communities.  However, </w:t>
            </w:r>
            <w:proofErr w:type="spellStart"/>
            <w:r w:rsidRPr="00580DBA">
              <w:rPr>
                <w:rFonts w:eastAsia="Times New Roman" w:cstheme="minorHAnsi"/>
                <w:color w:val="000000"/>
                <w:sz w:val="16"/>
                <w:szCs w:val="16"/>
                <w:lang w:eastAsia="en-GB"/>
              </w:rPr>
              <w:t>Mababe</w:t>
            </w:r>
            <w:proofErr w:type="spellEnd"/>
            <w:r w:rsidRPr="00580DBA">
              <w:rPr>
                <w:rFonts w:eastAsia="Times New Roman" w:cstheme="minorHAnsi"/>
                <w:color w:val="000000"/>
                <w:sz w:val="16"/>
                <w:szCs w:val="16"/>
                <w:lang w:eastAsia="en-GB"/>
              </w:rPr>
              <w:t xml:space="preserve"> and </w:t>
            </w:r>
            <w:proofErr w:type="spellStart"/>
            <w:r w:rsidRPr="00580DBA">
              <w:rPr>
                <w:rFonts w:eastAsia="Times New Roman" w:cstheme="minorHAnsi"/>
                <w:color w:val="000000"/>
                <w:sz w:val="16"/>
                <w:szCs w:val="16"/>
                <w:lang w:eastAsia="en-GB"/>
              </w:rPr>
              <w:t>Phuduhudu</w:t>
            </w:r>
            <w:proofErr w:type="spellEnd"/>
            <w:r w:rsidRPr="00580DBA">
              <w:rPr>
                <w:rFonts w:eastAsia="Times New Roman" w:cstheme="minorHAnsi"/>
                <w:color w:val="000000"/>
                <w:sz w:val="16"/>
                <w:szCs w:val="16"/>
                <w:lang w:eastAsia="en-GB"/>
              </w:rPr>
              <w:t xml:space="preserve"> villages are notable exceptions. These villages have no legal mandate to make decisions on resources where they live because it is on state land.</w:t>
            </w:r>
          </w:p>
        </w:tc>
        <w:tc>
          <w:tcPr>
            <w:tcW w:w="4961" w:type="dxa"/>
            <w:gridSpan w:val="2"/>
            <w:vMerge/>
            <w:shd w:val="clear" w:color="auto" w:fill="auto"/>
            <w:tcMar>
              <w:left w:w="57" w:type="dxa"/>
              <w:right w:w="57" w:type="dxa"/>
            </w:tcMar>
            <w:vAlign w:val="center"/>
            <w:hideMark/>
          </w:tcPr>
          <w:p w14:paraId="50813998" w14:textId="77777777" w:rsidR="00E33A01" w:rsidRPr="00580DBA" w:rsidRDefault="00E33A01" w:rsidP="00C32C1F">
            <w:pPr>
              <w:spacing w:before="0" w:after="0"/>
              <w:jc w:val="center"/>
              <w:rPr>
                <w:rFonts w:eastAsia="Times New Roman" w:cstheme="minorHAnsi"/>
                <w:sz w:val="16"/>
                <w:szCs w:val="16"/>
                <w:lang w:eastAsia="en-GB"/>
              </w:rPr>
            </w:pPr>
          </w:p>
        </w:tc>
      </w:tr>
      <w:tr w:rsidR="00E33A01" w:rsidRPr="00580DBA" w14:paraId="2842D801" w14:textId="77777777" w:rsidTr="00C32C1F">
        <w:trPr>
          <w:cantSplit/>
        </w:trPr>
        <w:tc>
          <w:tcPr>
            <w:tcW w:w="1927" w:type="dxa"/>
            <w:shd w:val="clear" w:color="auto" w:fill="auto"/>
            <w:tcMar>
              <w:left w:w="57" w:type="dxa"/>
              <w:right w:w="57" w:type="dxa"/>
            </w:tcMar>
            <w:vAlign w:val="center"/>
            <w:hideMark/>
          </w:tcPr>
          <w:p w14:paraId="679BEAA6"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Forest Act (1968)</w:t>
            </w:r>
          </w:p>
        </w:tc>
        <w:tc>
          <w:tcPr>
            <w:tcW w:w="3035" w:type="dxa"/>
            <w:shd w:val="clear" w:color="000000" w:fill="CCFF66"/>
            <w:tcMar>
              <w:left w:w="57" w:type="dxa"/>
              <w:right w:w="57" w:type="dxa"/>
            </w:tcMar>
            <w:vAlign w:val="center"/>
            <w:hideMark/>
          </w:tcPr>
          <w:p w14:paraId="6385D6D1"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Some harmonisation due to recognition of sustainable use of resources within a conservation context.</w:t>
            </w:r>
          </w:p>
        </w:tc>
        <w:tc>
          <w:tcPr>
            <w:tcW w:w="4961" w:type="dxa"/>
            <w:gridSpan w:val="2"/>
            <w:vMerge/>
            <w:shd w:val="clear" w:color="000000" w:fill="F4B084"/>
            <w:tcMar>
              <w:left w:w="57" w:type="dxa"/>
              <w:right w:w="57" w:type="dxa"/>
            </w:tcMar>
            <w:vAlign w:val="center"/>
            <w:hideMark/>
          </w:tcPr>
          <w:p w14:paraId="208EFB13" w14:textId="77777777" w:rsidR="00E33A01" w:rsidRPr="00580DBA" w:rsidRDefault="00E33A01" w:rsidP="00C32C1F">
            <w:pPr>
              <w:spacing w:before="0" w:after="0"/>
              <w:jc w:val="center"/>
              <w:rPr>
                <w:rFonts w:eastAsia="Times New Roman" w:cstheme="minorHAnsi"/>
                <w:color w:val="000000"/>
                <w:sz w:val="16"/>
                <w:szCs w:val="16"/>
                <w:lang w:eastAsia="en-GB"/>
              </w:rPr>
            </w:pPr>
          </w:p>
        </w:tc>
      </w:tr>
      <w:tr w:rsidR="00E33A01" w:rsidRPr="00580DBA" w14:paraId="70D4AEFE" w14:textId="77777777" w:rsidTr="00C32C1F">
        <w:trPr>
          <w:cantSplit/>
        </w:trPr>
        <w:tc>
          <w:tcPr>
            <w:tcW w:w="1927" w:type="dxa"/>
            <w:shd w:val="clear" w:color="auto" w:fill="auto"/>
            <w:tcMar>
              <w:left w:w="57" w:type="dxa"/>
              <w:right w:w="57" w:type="dxa"/>
            </w:tcMar>
            <w:vAlign w:val="center"/>
            <w:hideMark/>
          </w:tcPr>
          <w:p w14:paraId="27655882"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Wildlife Conservation and National Parks Act  (1992)</w:t>
            </w:r>
          </w:p>
        </w:tc>
        <w:tc>
          <w:tcPr>
            <w:tcW w:w="3035" w:type="dxa"/>
            <w:shd w:val="clear" w:color="000000" w:fill="CCFF66"/>
            <w:tcMar>
              <w:left w:w="57" w:type="dxa"/>
              <w:right w:w="57" w:type="dxa"/>
            </w:tcMar>
            <w:vAlign w:val="center"/>
            <w:hideMark/>
          </w:tcPr>
          <w:p w14:paraId="76014B44"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 xml:space="preserve">Challenges come less from the act itself and more from directives made under the umbrella of the act - primarily related to removing access to and control of wildlife by local communities, and resulting in </w:t>
            </w:r>
            <w:proofErr w:type="spellStart"/>
            <w:r w:rsidRPr="00580DBA">
              <w:rPr>
                <w:rFonts w:eastAsia="Times New Roman" w:cstheme="minorHAnsi"/>
                <w:color w:val="000000"/>
                <w:sz w:val="16"/>
                <w:szCs w:val="16"/>
                <w:lang w:eastAsia="en-GB"/>
              </w:rPr>
              <w:t>increase</w:t>
            </w:r>
            <w:proofErr w:type="spellEnd"/>
            <w:r w:rsidRPr="00580DBA">
              <w:rPr>
                <w:rFonts w:eastAsia="Times New Roman" w:cstheme="minorHAnsi"/>
                <w:color w:val="000000"/>
                <w:sz w:val="16"/>
                <w:szCs w:val="16"/>
                <w:lang w:eastAsia="en-GB"/>
              </w:rPr>
              <w:t xml:space="preserve"> human-wildlife conflict</w:t>
            </w:r>
          </w:p>
        </w:tc>
        <w:tc>
          <w:tcPr>
            <w:tcW w:w="4961" w:type="dxa"/>
            <w:gridSpan w:val="2"/>
            <w:vMerge/>
            <w:shd w:val="clear" w:color="000000" w:fill="F4B084"/>
            <w:tcMar>
              <w:left w:w="57" w:type="dxa"/>
              <w:right w:w="57" w:type="dxa"/>
            </w:tcMar>
            <w:vAlign w:val="center"/>
            <w:hideMark/>
          </w:tcPr>
          <w:p w14:paraId="2AB159F4" w14:textId="77777777" w:rsidR="00E33A01" w:rsidRPr="00580DBA" w:rsidRDefault="00E33A01" w:rsidP="00C32C1F">
            <w:pPr>
              <w:spacing w:before="0" w:after="0"/>
              <w:jc w:val="center"/>
              <w:rPr>
                <w:rFonts w:eastAsia="Times New Roman" w:cstheme="minorHAnsi"/>
                <w:color w:val="000000"/>
                <w:sz w:val="16"/>
                <w:szCs w:val="16"/>
                <w:lang w:eastAsia="en-GB"/>
              </w:rPr>
            </w:pPr>
          </w:p>
        </w:tc>
      </w:tr>
      <w:tr w:rsidR="00E33A01" w:rsidRPr="00580DBA" w14:paraId="3642DDDE" w14:textId="77777777" w:rsidTr="00C32C1F">
        <w:trPr>
          <w:cantSplit/>
        </w:trPr>
        <w:tc>
          <w:tcPr>
            <w:tcW w:w="1927" w:type="dxa"/>
            <w:shd w:val="clear" w:color="auto" w:fill="auto"/>
            <w:tcMar>
              <w:left w:w="57" w:type="dxa"/>
              <w:right w:w="57" w:type="dxa"/>
            </w:tcMar>
            <w:vAlign w:val="center"/>
            <w:hideMark/>
          </w:tcPr>
          <w:p w14:paraId="2A4A3FCF"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Agricultural Resources Conservation Act (1974, but under review)</w:t>
            </w:r>
          </w:p>
        </w:tc>
        <w:tc>
          <w:tcPr>
            <w:tcW w:w="3035" w:type="dxa"/>
            <w:shd w:val="clear" w:color="000000" w:fill="CCFF66"/>
            <w:tcMar>
              <w:left w:w="57" w:type="dxa"/>
              <w:right w:w="57" w:type="dxa"/>
            </w:tcMar>
            <w:vAlign w:val="center"/>
            <w:hideMark/>
          </w:tcPr>
          <w:p w14:paraId="7D7EB3A6"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Out-dated, and has been shifted from one sector to another, as environmental focus has shifted.  Principles are however still relevant and harmonised with sustainable development.</w:t>
            </w:r>
          </w:p>
        </w:tc>
        <w:tc>
          <w:tcPr>
            <w:tcW w:w="4961" w:type="dxa"/>
            <w:gridSpan w:val="2"/>
            <w:vMerge/>
            <w:shd w:val="clear" w:color="000000" w:fill="F4B084"/>
            <w:tcMar>
              <w:left w:w="57" w:type="dxa"/>
              <w:right w:w="57" w:type="dxa"/>
            </w:tcMar>
            <w:vAlign w:val="center"/>
            <w:hideMark/>
          </w:tcPr>
          <w:p w14:paraId="00BEE424" w14:textId="77777777" w:rsidR="00E33A01" w:rsidRPr="00580DBA" w:rsidRDefault="00E33A01" w:rsidP="00C32C1F">
            <w:pPr>
              <w:spacing w:before="0" w:after="0"/>
              <w:jc w:val="center"/>
              <w:rPr>
                <w:rFonts w:eastAsia="Times New Roman" w:cstheme="minorHAnsi"/>
                <w:color w:val="000000"/>
                <w:sz w:val="16"/>
                <w:szCs w:val="16"/>
                <w:lang w:eastAsia="en-GB"/>
              </w:rPr>
            </w:pPr>
          </w:p>
        </w:tc>
      </w:tr>
      <w:tr w:rsidR="00E33A01" w:rsidRPr="00580DBA" w14:paraId="57D4F593" w14:textId="77777777" w:rsidTr="00C32C1F">
        <w:trPr>
          <w:cantSplit/>
        </w:trPr>
        <w:tc>
          <w:tcPr>
            <w:tcW w:w="1927" w:type="dxa"/>
            <w:shd w:val="clear" w:color="auto" w:fill="auto"/>
            <w:tcMar>
              <w:left w:w="57" w:type="dxa"/>
              <w:right w:w="57" w:type="dxa"/>
            </w:tcMar>
            <w:vAlign w:val="center"/>
            <w:hideMark/>
          </w:tcPr>
          <w:p w14:paraId="3E466E9B"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Herbage Preservation Act (1978)</w:t>
            </w:r>
          </w:p>
        </w:tc>
        <w:tc>
          <w:tcPr>
            <w:tcW w:w="3035" w:type="dxa"/>
            <w:shd w:val="clear" w:color="000000" w:fill="FCF0A6"/>
            <w:tcMar>
              <w:left w:w="57" w:type="dxa"/>
              <w:right w:w="57" w:type="dxa"/>
            </w:tcMar>
            <w:vAlign w:val="center"/>
            <w:hideMark/>
          </w:tcPr>
          <w:p w14:paraId="2F0E1743"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 xml:space="preserve">Out-dated, and calls for fire </w:t>
            </w:r>
            <w:proofErr w:type="spellStart"/>
            <w:r w:rsidRPr="00580DBA">
              <w:rPr>
                <w:rFonts w:eastAsia="Times New Roman" w:cstheme="minorHAnsi"/>
                <w:color w:val="000000"/>
                <w:sz w:val="16"/>
                <w:szCs w:val="16"/>
                <w:lang w:eastAsia="en-GB"/>
              </w:rPr>
              <w:t>surpression</w:t>
            </w:r>
            <w:proofErr w:type="spellEnd"/>
            <w:r w:rsidRPr="00580DBA">
              <w:rPr>
                <w:rFonts w:eastAsia="Times New Roman" w:cstheme="minorHAnsi"/>
                <w:color w:val="000000"/>
                <w:sz w:val="16"/>
                <w:szCs w:val="16"/>
                <w:lang w:eastAsia="en-GB"/>
              </w:rPr>
              <w:t xml:space="preserve"> in a country where ecosystems are fire-adapted and even fire-created.  Will likely be replaced once Wildfire Strategy approved.</w:t>
            </w:r>
          </w:p>
        </w:tc>
        <w:tc>
          <w:tcPr>
            <w:tcW w:w="4961" w:type="dxa"/>
            <w:gridSpan w:val="2"/>
            <w:vMerge/>
            <w:shd w:val="clear" w:color="000000" w:fill="F4B084"/>
            <w:tcMar>
              <w:left w:w="57" w:type="dxa"/>
              <w:right w:w="57" w:type="dxa"/>
            </w:tcMar>
            <w:vAlign w:val="center"/>
            <w:hideMark/>
          </w:tcPr>
          <w:p w14:paraId="4A9F2ED8" w14:textId="77777777" w:rsidR="00E33A01" w:rsidRPr="00580DBA" w:rsidRDefault="00E33A01" w:rsidP="00C32C1F">
            <w:pPr>
              <w:spacing w:before="0" w:after="0"/>
              <w:jc w:val="center"/>
              <w:rPr>
                <w:rFonts w:eastAsia="Times New Roman" w:cstheme="minorHAnsi"/>
                <w:color w:val="000000"/>
                <w:sz w:val="16"/>
                <w:szCs w:val="16"/>
                <w:lang w:eastAsia="en-GB"/>
              </w:rPr>
            </w:pPr>
          </w:p>
        </w:tc>
      </w:tr>
      <w:tr w:rsidR="00E33A01" w:rsidRPr="00580DBA" w14:paraId="5D5E40FC" w14:textId="77777777" w:rsidTr="00C32C1F">
        <w:trPr>
          <w:cantSplit/>
        </w:trPr>
        <w:tc>
          <w:tcPr>
            <w:tcW w:w="1927" w:type="dxa"/>
            <w:shd w:val="clear" w:color="auto" w:fill="auto"/>
            <w:tcMar>
              <w:left w:w="57" w:type="dxa"/>
              <w:right w:w="57" w:type="dxa"/>
            </w:tcMar>
            <w:vAlign w:val="center"/>
            <w:hideMark/>
          </w:tcPr>
          <w:p w14:paraId="1FDDF1D4"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BTO Act (2009)</w:t>
            </w:r>
          </w:p>
        </w:tc>
        <w:tc>
          <w:tcPr>
            <w:tcW w:w="3035" w:type="dxa"/>
            <w:shd w:val="clear" w:color="000000" w:fill="FCF0A6"/>
            <w:tcMar>
              <w:left w:w="57" w:type="dxa"/>
              <w:right w:w="57" w:type="dxa"/>
            </w:tcMar>
            <w:vAlign w:val="center"/>
            <w:hideMark/>
          </w:tcPr>
          <w:p w14:paraId="20931B4C" w14:textId="77777777" w:rsidR="00E33A01" w:rsidRPr="00580DBA" w:rsidRDefault="00E33A01" w:rsidP="00C32C1F">
            <w:pPr>
              <w:spacing w:before="0" w:after="0"/>
              <w:jc w:val="center"/>
              <w:rPr>
                <w:rFonts w:eastAsia="Times New Roman" w:cstheme="minorHAnsi"/>
                <w:color w:val="000000"/>
                <w:sz w:val="16"/>
                <w:szCs w:val="16"/>
                <w:lang w:eastAsia="en-GB"/>
              </w:rPr>
            </w:pPr>
            <w:r w:rsidRPr="00580DBA">
              <w:rPr>
                <w:rFonts w:eastAsia="Times New Roman" w:cstheme="minorHAnsi"/>
                <w:color w:val="000000"/>
                <w:sz w:val="16"/>
                <w:szCs w:val="16"/>
                <w:lang w:eastAsia="en-GB"/>
              </w:rPr>
              <w:t>No</w:t>
            </w:r>
          </w:p>
        </w:tc>
        <w:tc>
          <w:tcPr>
            <w:tcW w:w="4961" w:type="dxa"/>
            <w:gridSpan w:val="2"/>
            <w:vMerge/>
            <w:shd w:val="clear" w:color="000000" w:fill="F4B084"/>
            <w:tcMar>
              <w:left w:w="57" w:type="dxa"/>
              <w:right w:w="57" w:type="dxa"/>
            </w:tcMar>
            <w:vAlign w:val="center"/>
            <w:hideMark/>
          </w:tcPr>
          <w:p w14:paraId="468AFED0" w14:textId="77777777" w:rsidR="00E33A01" w:rsidRPr="00580DBA" w:rsidRDefault="00E33A01" w:rsidP="00C32C1F">
            <w:pPr>
              <w:spacing w:before="0" w:after="0"/>
              <w:jc w:val="center"/>
              <w:rPr>
                <w:rFonts w:eastAsia="Times New Roman" w:cstheme="minorHAnsi"/>
                <w:color w:val="000000"/>
                <w:sz w:val="16"/>
                <w:szCs w:val="16"/>
                <w:lang w:eastAsia="en-GB"/>
              </w:rPr>
            </w:pPr>
          </w:p>
        </w:tc>
      </w:tr>
    </w:tbl>
    <w:p w14:paraId="03EFF212" w14:textId="77777777" w:rsidR="00E33A01" w:rsidRDefault="00E33A01" w:rsidP="00E33A01">
      <w:pPr>
        <w:sectPr w:rsidR="00E33A01" w:rsidSect="004F7481">
          <w:pgSz w:w="11906" w:h="16838" w:code="9"/>
          <w:pgMar w:top="1276" w:right="1080" w:bottom="1440" w:left="1080" w:header="720" w:footer="550" w:gutter="0"/>
          <w:cols w:space="720"/>
          <w:docGrid w:linePitch="360"/>
        </w:sectPr>
      </w:pPr>
    </w:p>
    <w:p w14:paraId="27264CF2" w14:textId="7B8C74D5" w:rsidR="00E33A01" w:rsidRDefault="00E33A01" w:rsidP="00E33A01">
      <w:pPr>
        <w:pStyle w:val="Appendix"/>
      </w:pPr>
      <w:bookmarkStart w:id="4" w:name="_Toc511480734"/>
      <w:r>
        <w:lastRenderedPageBreak/>
        <w:t xml:space="preserve">NEW or pending legislation relevant for the </w:t>
      </w:r>
      <w:bookmarkEnd w:id="4"/>
      <w:r w:rsidR="00B521F1">
        <w:t>green climate fund project</w:t>
      </w:r>
    </w:p>
    <w:p w14:paraId="0362A06E" w14:textId="566B0BC2" w:rsidR="00E33A01" w:rsidRDefault="00E33A01" w:rsidP="00E33A01"/>
    <w:p w14:paraId="63AEFF65" w14:textId="02D5DADC" w:rsidR="00B521F1" w:rsidRDefault="00B521F1" w:rsidP="00E33A01">
      <w:r>
        <w:t xml:space="preserve">The Climate Change Policy and Response Strategy draft is scheduled for presentation to Parliament in 2020.  Similarly, the GCF National Programme.  Both draft documents include a strong focus on restoration of rangelands.  </w:t>
      </w:r>
    </w:p>
    <w:p w14:paraId="6139EB1C" w14:textId="05FD6C11" w:rsidR="00B521F1" w:rsidRDefault="00B521F1" w:rsidP="00E33A01"/>
    <w:p w14:paraId="549C2AE2" w14:textId="6919A4C3" w:rsidR="00B521F1" w:rsidRDefault="00B521F1" w:rsidP="00E33A01">
      <w:r>
        <w:t>With the 2019 regime change in Botswana, significant shifts are expected in the regulatory environment.  The recent State of the Nation Address (9</w:t>
      </w:r>
      <w:r w:rsidRPr="00B521F1">
        <w:rPr>
          <w:vertAlign w:val="superscript"/>
        </w:rPr>
        <w:t>th</w:t>
      </w:r>
      <w:r>
        <w:t xml:space="preserve"> November 2020</w:t>
      </w:r>
      <w:r w:rsidR="0017715A">
        <w:t xml:space="preserve">) </w:t>
      </w:r>
      <w:r>
        <w:t>provides an indication of future regulations and policies that</w:t>
      </w:r>
      <w:r w:rsidR="00C07CD0">
        <w:t xml:space="preserve"> </w:t>
      </w:r>
      <w:r>
        <w:t>indicate significant opportunities for alignment:</w:t>
      </w:r>
    </w:p>
    <w:p w14:paraId="7D567D2A" w14:textId="77777777" w:rsidR="00B521F1" w:rsidRDefault="00B521F1" w:rsidP="00C07CD0"/>
    <w:p w14:paraId="37D6412F" w14:textId="36EE5857" w:rsidR="00B521F1" w:rsidRPr="004C305E" w:rsidRDefault="00B521F1" w:rsidP="00C07CD0">
      <w:pPr>
        <w:pStyle w:val="ListParagraph"/>
        <w:numPr>
          <w:ilvl w:val="0"/>
          <w:numId w:val="4"/>
        </w:numPr>
        <w:jc w:val="both"/>
      </w:pPr>
      <w:r w:rsidRPr="004C305E">
        <w:t>The Land Administration Procedures Capacity and Systems (LAPCAS) project was to provide technological solutions for effective management of land. As part of the LAPCAS initiative, Government will establish a National Spatial Data Infrastructure (NSDI) by 2023, which will allow for geo-spatial data sharing. The availability of the NSDI is expected to contribute to the Digital Government Transformation (</w:t>
      </w:r>
      <w:proofErr w:type="spellStart"/>
      <w:r w:rsidRPr="004C305E">
        <w:t>SmartBots</w:t>
      </w:r>
      <w:proofErr w:type="spellEnd"/>
      <w:r w:rsidRPr="004C305E">
        <w:t xml:space="preserve">) and also enhance the implementation of the </w:t>
      </w:r>
      <w:r w:rsidRPr="00207F06">
        <w:rPr>
          <w:rFonts w:eastAsiaTheme="minorEastAsia"/>
          <w:szCs w:val="22"/>
          <w:lang w:val="en-GB"/>
        </w:rPr>
        <w:t>National Spatial Plan (NSP).</w:t>
      </w:r>
      <w:r w:rsidRPr="004C305E">
        <w:t xml:space="preserve">  As part of Activity 1.4.1, CI will engage and potentially embed the Rangelands Stewardship Information Portal within this broader system.</w:t>
      </w:r>
    </w:p>
    <w:p w14:paraId="1EB975B6" w14:textId="0FCFBB61" w:rsidR="0017715A" w:rsidRDefault="0017715A" w:rsidP="00C07CD0">
      <w:pPr>
        <w:autoSpaceDE w:val="0"/>
        <w:autoSpaceDN w:val="0"/>
        <w:adjustRightInd w:val="0"/>
        <w:spacing w:before="0" w:after="0"/>
      </w:pPr>
    </w:p>
    <w:p w14:paraId="2F5425B9" w14:textId="5C2BC5A4" w:rsidR="0017715A" w:rsidRPr="00207F06" w:rsidRDefault="004C305E" w:rsidP="00C07CD0">
      <w:pPr>
        <w:pStyle w:val="ListParagraph"/>
        <w:numPr>
          <w:ilvl w:val="0"/>
          <w:numId w:val="4"/>
        </w:numPr>
        <w:jc w:val="both"/>
      </w:pPr>
      <w:r w:rsidRPr="004C305E">
        <w:t>In an effort to promote citizen economic empowerment, Government is</w:t>
      </w:r>
      <w:r>
        <w:t xml:space="preserve"> </w:t>
      </w:r>
      <w:r w:rsidRPr="004C305E">
        <w:t>developing the Economic Inclusion Law, which seeks to strengthen the</w:t>
      </w:r>
      <w:r>
        <w:t xml:space="preserve"> </w:t>
      </w:r>
      <w:r w:rsidRPr="004C305E">
        <w:t>enforcement of citizen economic empowerment initiatives to ensure meaningful</w:t>
      </w:r>
      <w:r>
        <w:t xml:space="preserve"> </w:t>
      </w:r>
      <w:r w:rsidRPr="004C305E">
        <w:t>participation of citizens in the economy. The law is expected to be presented to</w:t>
      </w:r>
      <w:r>
        <w:t xml:space="preserve"> </w:t>
      </w:r>
      <w:r w:rsidRPr="004C305E">
        <w:t>Parliament before the end of this financial year.”</w:t>
      </w:r>
      <w:r>
        <w:t xml:space="preserve">  As part of activity 3.1.1.  All activities under Component 3 are aligned to the intent assumed to be part of this new law.</w:t>
      </w:r>
    </w:p>
    <w:p w14:paraId="30FF918B" w14:textId="77777777" w:rsidR="00207F06" w:rsidRDefault="00207F06" w:rsidP="00C07CD0"/>
    <w:p w14:paraId="5339C5C8" w14:textId="4F560281" w:rsidR="00207F06" w:rsidRPr="00207F06" w:rsidRDefault="00207F06" w:rsidP="00C07CD0">
      <w:pPr>
        <w:pStyle w:val="ListParagraph"/>
        <w:numPr>
          <w:ilvl w:val="0"/>
          <w:numId w:val="4"/>
        </w:numPr>
        <w:jc w:val="both"/>
      </w:pPr>
      <w:r>
        <w:t>T</w:t>
      </w:r>
      <w:r w:rsidRPr="00207F06">
        <w:t>he beef industry has been besieged with challenges over</w:t>
      </w:r>
      <w:r>
        <w:t xml:space="preserve"> </w:t>
      </w:r>
      <w:r w:rsidRPr="00207F06">
        <w:t>time and this has affected the different stakeholders within the industry.</w:t>
      </w:r>
      <w:r>
        <w:t xml:space="preserve"> </w:t>
      </w:r>
      <w:r w:rsidRPr="00207F06">
        <w:t>Government is however, committed to revive the beef industry and to this end</w:t>
      </w:r>
      <w:r>
        <w:t xml:space="preserve"> </w:t>
      </w:r>
      <w:r w:rsidRPr="00207F06">
        <w:t>utilize the adopted Beef Cluster Model to ensure its competitiveness and</w:t>
      </w:r>
      <w:r>
        <w:t xml:space="preserve"> </w:t>
      </w:r>
      <w:r w:rsidRPr="00207F06">
        <w:t>sustainability. It is expected that through this model, cattle farmers will get the true</w:t>
      </w:r>
      <w:r>
        <w:t xml:space="preserve"> </w:t>
      </w:r>
      <w:r w:rsidRPr="00207F06">
        <w:t>market value of their product which will present an opportunity to improve the</w:t>
      </w:r>
    </w:p>
    <w:p w14:paraId="164A071D" w14:textId="6A6566F1" w:rsidR="00207F06" w:rsidRPr="004C305E" w:rsidRDefault="00207F06" w:rsidP="00C07CD0">
      <w:pPr>
        <w:pStyle w:val="ListParagraph"/>
        <w:numPr>
          <w:ilvl w:val="0"/>
          <w:numId w:val="0"/>
        </w:numPr>
        <w:ind w:left="720"/>
        <w:jc w:val="both"/>
      </w:pPr>
      <w:r w:rsidRPr="00207F06">
        <w:t>economic returns to Botswana farmers.</w:t>
      </w:r>
    </w:p>
    <w:sectPr w:rsidR="00207F06" w:rsidRPr="004C30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D34572"/>
    <w:multiLevelType w:val="hybridMultilevel"/>
    <w:tmpl w:val="5A70EA14"/>
    <w:lvl w:ilvl="0" w:tplc="ABFC702A">
      <w:start w:val="1"/>
      <w:numFmt w:val="decimal"/>
      <w:pStyle w:val="ListParagraph"/>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507F4C26"/>
    <w:multiLevelType w:val="hybridMultilevel"/>
    <w:tmpl w:val="5A7E11A0"/>
    <w:lvl w:ilvl="0" w:tplc="A6CA196C">
      <w:start w:val="1"/>
      <w:numFmt w:val="bullet"/>
      <w:lvlText w:val=""/>
      <w:lvlJc w:val="left"/>
      <w:pPr>
        <w:ind w:left="720" w:hanging="360"/>
      </w:pPr>
      <w:rPr>
        <w:rFonts w:ascii="Symbol" w:hAnsi="Symbol" w:hint="default"/>
      </w:rPr>
    </w:lvl>
    <w:lvl w:ilvl="1" w:tplc="08090003" w:tentative="1">
      <w:start w:val="1"/>
      <w:numFmt w:val="bullet"/>
      <w:pStyle w:val="ESBullets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95115D"/>
    <w:multiLevelType w:val="hybridMultilevel"/>
    <w:tmpl w:val="8D6872D2"/>
    <w:lvl w:ilvl="0" w:tplc="520CF1A4">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0"/>
    <w:lvlOverride w:ilvl="0">
      <w:startOverride w:val="1"/>
    </w:lvlOverride>
  </w:num>
  <w:num w:numId="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A01"/>
    <w:rsid w:val="00034A04"/>
    <w:rsid w:val="0017715A"/>
    <w:rsid w:val="00207F06"/>
    <w:rsid w:val="004C305E"/>
    <w:rsid w:val="00B521F1"/>
    <w:rsid w:val="00C07CD0"/>
    <w:rsid w:val="00CE315D"/>
    <w:rsid w:val="00E1223E"/>
    <w:rsid w:val="00E33A0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283C2"/>
  <w15:chartTrackingRefBased/>
  <w15:docId w15:val="{3BBBE6E0-AA81-41E4-B63B-7863F1BF2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3A01"/>
    <w:pPr>
      <w:spacing w:before="40" w:after="40" w:line="240" w:lineRule="auto"/>
      <w:jc w:val="both"/>
    </w:pPr>
    <w:rPr>
      <w:rFonts w:eastAsiaTheme="minorEastAsia"/>
      <w:lang w:val="en-GB"/>
    </w:rPr>
  </w:style>
  <w:style w:type="paragraph" w:styleId="Heading1">
    <w:name w:val="heading 1"/>
    <w:basedOn w:val="Normal"/>
    <w:next w:val="Normal"/>
    <w:link w:val="Heading1Char"/>
    <w:uiPriority w:val="9"/>
    <w:qFormat/>
    <w:rsid w:val="00E33A0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E33A01"/>
    <w:pPr>
      <w:keepNext/>
    </w:pPr>
    <w:rPr>
      <w:b/>
      <w:iCs/>
      <w:sz w:val="20"/>
      <w:szCs w:val="18"/>
    </w:rPr>
  </w:style>
  <w:style w:type="paragraph" w:customStyle="1" w:styleId="Appendix">
    <w:name w:val="Appendix"/>
    <w:basedOn w:val="Heading1"/>
    <w:next w:val="Normal"/>
    <w:link w:val="AppendixChar"/>
    <w:autoRedefine/>
    <w:qFormat/>
    <w:rsid w:val="00E33A01"/>
    <w:pPr>
      <w:spacing w:before="320" w:after="40"/>
      <w:jc w:val="left"/>
    </w:pPr>
    <w:rPr>
      <w:b/>
      <w:bCs/>
      <w:caps/>
      <w:color w:val="auto"/>
      <w:spacing w:val="4"/>
      <w:sz w:val="28"/>
      <w:szCs w:val="28"/>
    </w:rPr>
  </w:style>
  <w:style w:type="character" w:customStyle="1" w:styleId="AppendixChar">
    <w:name w:val="Appendix Char"/>
    <w:basedOn w:val="DefaultParagraphFont"/>
    <w:link w:val="Appendix"/>
    <w:rsid w:val="00E33A01"/>
    <w:rPr>
      <w:rFonts w:asciiTheme="majorHAnsi" w:eastAsiaTheme="majorEastAsia" w:hAnsiTheme="majorHAnsi" w:cstheme="majorBidi"/>
      <w:b/>
      <w:bCs/>
      <w:caps/>
      <w:spacing w:val="4"/>
      <w:sz w:val="28"/>
      <w:szCs w:val="28"/>
      <w:lang w:val="en-GB"/>
    </w:rPr>
  </w:style>
  <w:style w:type="paragraph" w:styleId="ListParagraph">
    <w:name w:val="List Paragraph"/>
    <w:aliases w:val="Bullet Point"/>
    <w:basedOn w:val="Normal"/>
    <w:link w:val="ListParagraphChar"/>
    <w:autoRedefine/>
    <w:uiPriority w:val="34"/>
    <w:qFormat/>
    <w:rsid w:val="00207F06"/>
    <w:pPr>
      <w:numPr>
        <w:numId w:val="2"/>
      </w:numPr>
      <w:autoSpaceDE w:val="0"/>
      <w:autoSpaceDN w:val="0"/>
      <w:adjustRightInd w:val="0"/>
      <w:spacing w:before="0" w:after="0"/>
      <w:ind w:right="6"/>
      <w:contextualSpacing/>
      <w:jc w:val="left"/>
    </w:pPr>
    <w:rPr>
      <w:rFonts w:eastAsia="Calibri"/>
      <w:i/>
      <w:iCs/>
      <w:szCs w:val="20"/>
      <w:lang w:val="en-ZA" w:eastAsia="en-GB"/>
    </w:rPr>
  </w:style>
  <w:style w:type="table" w:styleId="TableGrid">
    <w:name w:val="Table Grid"/>
    <w:basedOn w:val="TableNormal"/>
    <w:uiPriority w:val="39"/>
    <w:rsid w:val="00E33A01"/>
    <w:pPr>
      <w:spacing w:after="0" w:line="240" w:lineRule="auto"/>
      <w:jc w:val="both"/>
    </w:pPr>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Point Char"/>
    <w:basedOn w:val="DefaultParagraphFont"/>
    <w:link w:val="ListParagraph"/>
    <w:uiPriority w:val="34"/>
    <w:rsid w:val="00207F06"/>
    <w:rPr>
      <w:rFonts w:eastAsia="Calibri"/>
      <w:i/>
      <w:iCs/>
      <w:szCs w:val="20"/>
      <w:lang w:eastAsia="en-GB"/>
    </w:rPr>
  </w:style>
  <w:style w:type="paragraph" w:customStyle="1" w:styleId="ESBullets2">
    <w:name w:val="ES Bullets 2"/>
    <w:basedOn w:val="Normal"/>
    <w:rsid w:val="00E33A01"/>
    <w:pPr>
      <w:numPr>
        <w:ilvl w:val="1"/>
        <w:numId w:val="1"/>
      </w:numPr>
      <w:spacing w:after="80"/>
      <w:jc w:val="left"/>
    </w:pPr>
    <w:rPr>
      <w:iCs/>
      <w:lang w:val="en-US" w:eastAsia="en-ZA"/>
    </w:rPr>
  </w:style>
  <w:style w:type="character" w:customStyle="1" w:styleId="Heading1Char">
    <w:name w:val="Heading 1 Char"/>
    <w:basedOn w:val="DefaultParagraphFont"/>
    <w:link w:val="Heading1"/>
    <w:uiPriority w:val="9"/>
    <w:rsid w:val="00E33A01"/>
    <w:rPr>
      <w:rFonts w:asciiTheme="majorHAnsi" w:eastAsiaTheme="majorEastAsia" w:hAnsiTheme="majorHAnsi" w:cstheme="majorBidi"/>
      <w:color w:val="2F5496" w:themeColor="accent1" w:themeShade="BF"/>
      <w:sz w:val="32"/>
      <w:szCs w:val="32"/>
      <w:lang w:val="en-GB"/>
    </w:rPr>
  </w:style>
  <w:style w:type="paragraph" w:styleId="BalloonText">
    <w:name w:val="Balloon Text"/>
    <w:basedOn w:val="Normal"/>
    <w:link w:val="BalloonTextChar"/>
    <w:uiPriority w:val="99"/>
    <w:semiHidden/>
    <w:unhideWhenUsed/>
    <w:rsid w:val="00C07CD0"/>
    <w:pPr>
      <w:spacing w:before="0"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07CD0"/>
    <w:rPr>
      <w:rFonts w:ascii="Times New Roman" w:eastAsiaTheme="minorEastAsia"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803A56C1B0D64EB47531D572C02B87" ma:contentTypeVersion="15" ma:contentTypeDescription="Create a new document." ma:contentTypeScope="" ma:versionID="d6b2435f1518236f58d144da07e72cfa">
  <xsd:schema xmlns:xsd="http://www.w3.org/2001/XMLSchema" xmlns:xs="http://www.w3.org/2001/XMLSchema" xmlns:p="http://schemas.microsoft.com/office/2006/metadata/properties" xmlns:ns1="http://schemas.microsoft.com/sharepoint/v3" xmlns:ns2="cd70a8df-fc1c-4d74-973c-c6c37511b536" xmlns:ns3="cd15f4be-4c84-43e0-9533-8b612df0f21c" targetNamespace="http://schemas.microsoft.com/office/2006/metadata/properties" ma:root="true" ma:fieldsID="7557d283e3e7c35548505106e586d323" ns1:_="" ns2:_="" ns3:_="">
    <xsd:import namespace="http://schemas.microsoft.com/sharepoint/v3"/>
    <xsd:import namespace="cd70a8df-fc1c-4d74-973c-c6c37511b536"/>
    <xsd:import namespace="cd15f4be-4c84-43e0-9533-8b612df0f21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1:_ip_UnifiedCompliancePolicyProperties" minOccurs="0"/>
                <xsd:element ref="ns1:_ip_UnifiedCompliancePolicyUIAction"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description="" ma:hidden="true" ma:internalName="_ip_UnifiedCompliancePolicyProperties">
      <xsd:simpleType>
        <xsd:restriction base="dms:Note"/>
      </xsd:simpleType>
    </xsd:element>
    <xsd:element name="_ip_UnifiedCompliancePolicyUIAction" ma:index="15"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d70a8df-fc1c-4d74-973c-c6c37511b53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d15f4be-4c84-43e0-9533-8b612df0f21c"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A33D75EE-AEE6-4734-86A6-7584F5872D31}"/>
</file>

<file path=customXml/itemProps2.xml><?xml version="1.0" encoding="utf-8"?>
<ds:datastoreItem xmlns:ds="http://schemas.openxmlformats.org/officeDocument/2006/customXml" ds:itemID="{F388D895-53E3-4C32-AE29-F4C563F58C04}"/>
</file>

<file path=customXml/itemProps3.xml><?xml version="1.0" encoding="utf-8"?>
<ds:datastoreItem xmlns:ds="http://schemas.openxmlformats.org/officeDocument/2006/customXml" ds:itemID="{0FF59D7A-881E-4E6B-AE5B-47F1569FA534}"/>
</file>

<file path=docProps/app.xml><?xml version="1.0" encoding="utf-8"?>
<Properties xmlns="http://schemas.openxmlformats.org/officeDocument/2006/extended-properties" xmlns:vt="http://schemas.openxmlformats.org/officeDocument/2006/docPropsVTypes">
  <Template>Normal.dotm</Template>
  <TotalTime>197</TotalTime>
  <Pages>7</Pages>
  <Words>3290</Words>
  <Characters>18757</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Frazee</dc:creator>
  <cp:keywords/>
  <dc:description/>
  <cp:lastModifiedBy>Robert Merritt</cp:lastModifiedBy>
  <cp:revision>4</cp:revision>
  <dcterms:created xsi:type="dcterms:W3CDTF">2020-11-10T12:00:00Z</dcterms:created>
  <dcterms:modified xsi:type="dcterms:W3CDTF">2020-11-13T21:50:00Z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0x01010075803A56C1B0D64EB47531D572C02B87</vt:lpwstr>
  </property>
</Properties>
</file>