
<file path=[Content_Types].xml><?xml version="1.0" encoding="utf-8"?>
<Types xmlns="http://schemas.openxmlformats.org/package/2006/content-types">
  <Default Extension="xml" ContentType="application/xml"/>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AE348A" w14:textId="77777777" w:rsidR="00B80740" w:rsidRPr="002F4828" w:rsidRDefault="00B80740" w:rsidP="00B80740">
      <w:pPr>
        <w:jc w:val="center"/>
        <w:rPr>
          <w:rFonts w:cstheme="minorHAnsi"/>
          <w:b/>
          <w:sz w:val="24"/>
          <w:szCs w:val="24"/>
          <w:lang w:eastAsia="it-IT"/>
        </w:rPr>
      </w:pPr>
      <w:bookmarkStart w:id="0" w:name="_GoBack"/>
      <w:bookmarkEnd w:id="0"/>
      <w:r w:rsidRPr="002F4828">
        <w:rPr>
          <w:rFonts w:cstheme="minorHAnsi"/>
          <w:b/>
          <w:sz w:val="24"/>
          <w:szCs w:val="24"/>
          <w:lang w:eastAsia="it-IT"/>
        </w:rPr>
        <w:t>Gums for Adaptation and Mitigation in Sudan (GAMS)</w:t>
      </w:r>
      <w:r w:rsidR="0023582D" w:rsidRPr="002F4828">
        <w:rPr>
          <w:rFonts w:cstheme="minorHAnsi"/>
          <w:b/>
          <w:sz w:val="24"/>
          <w:szCs w:val="24"/>
          <w:lang w:eastAsia="it-IT"/>
        </w:rPr>
        <w:t>:</w:t>
      </w:r>
    </w:p>
    <w:p w14:paraId="58224FCC" w14:textId="77777777" w:rsidR="00B80740" w:rsidRPr="002F4828" w:rsidRDefault="00B80740" w:rsidP="00B80740">
      <w:pPr>
        <w:jc w:val="center"/>
        <w:rPr>
          <w:rFonts w:cstheme="minorHAnsi"/>
          <w:b/>
          <w:sz w:val="24"/>
          <w:szCs w:val="24"/>
          <w:lang w:eastAsia="it-IT"/>
        </w:rPr>
      </w:pPr>
      <w:r w:rsidRPr="002F4828">
        <w:rPr>
          <w:rFonts w:cstheme="minorHAnsi"/>
          <w:b/>
          <w:sz w:val="24"/>
          <w:szCs w:val="24"/>
          <w:lang w:eastAsia="it-IT"/>
        </w:rPr>
        <w:t xml:space="preserve">Economic </w:t>
      </w:r>
      <w:r w:rsidR="0023582D" w:rsidRPr="002F4828">
        <w:rPr>
          <w:rFonts w:cstheme="minorHAnsi"/>
          <w:b/>
          <w:sz w:val="24"/>
          <w:szCs w:val="24"/>
          <w:lang w:eastAsia="it-IT"/>
        </w:rPr>
        <w:t>&amp;</w:t>
      </w:r>
      <w:r w:rsidRPr="002F4828">
        <w:rPr>
          <w:rFonts w:cstheme="minorHAnsi"/>
          <w:b/>
          <w:sz w:val="24"/>
          <w:szCs w:val="24"/>
          <w:lang w:eastAsia="it-IT"/>
        </w:rPr>
        <w:t xml:space="preserve"> Financial Analysis </w:t>
      </w:r>
      <w:r w:rsidR="0023582D" w:rsidRPr="002F4828">
        <w:rPr>
          <w:rFonts w:cstheme="minorHAnsi"/>
          <w:b/>
          <w:sz w:val="24"/>
          <w:szCs w:val="24"/>
          <w:lang w:eastAsia="it-IT"/>
        </w:rPr>
        <w:t>and</w:t>
      </w:r>
      <w:r w:rsidRPr="002F4828">
        <w:rPr>
          <w:rFonts w:cstheme="minorHAnsi"/>
          <w:b/>
          <w:sz w:val="24"/>
          <w:szCs w:val="24"/>
          <w:lang w:eastAsia="it-IT"/>
        </w:rPr>
        <w:t xml:space="preserve"> Environmental Co-Benefits </w:t>
      </w:r>
    </w:p>
    <w:sdt>
      <w:sdtPr>
        <w:rPr>
          <w:rFonts w:asciiTheme="minorHAnsi" w:eastAsiaTheme="minorHAnsi" w:hAnsiTheme="minorHAnsi" w:cstheme="minorBidi"/>
          <w:color w:val="auto"/>
          <w:sz w:val="22"/>
          <w:szCs w:val="22"/>
        </w:rPr>
        <w:id w:val="-2084358995"/>
        <w:docPartObj>
          <w:docPartGallery w:val="Table of Contents"/>
          <w:docPartUnique/>
        </w:docPartObj>
      </w:sdtPr>
      <w:sdtEndPr>
        <w:rPr>
          <w:b/>
          <w:bCs/>
          <w:noProof/>
        </w:rPr>
      </w:sdtEndPr>
      <w:sdtContent>
        <w:p w14:paraId="375C31C2" w14:textId="77777777" w:rsidR="0023582D" w:rsidRDefault="0023582D">
          <w:pPr>
            <w:pStyle w:val="TOCHeading"/>
          </w:pPr>
          <w:r>
            <w:t>Contents</w:t>
          </w:r>
        </w:p>
        <w:p w14:paraId="777BAF4C" w14:textId="3B09BC1B" w:rsidR="00D2345B" w:rsidRDefault="0023582D">
          <w:pPr>
            <w:pStyle w:val="TOC2"/>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38031607" w:history="1">
            <w:r w:rsidR="00D2345B" w:rsidRPr="00755C23">
              <w:rPr>
                <w:rStyle w:val="Hyperlink"/>
                <w:rFonts w:cstheme="minorHAnsi"/>
                <w:noProof/>
                <w:lang w:eastAsia="it-IT"/>
              </w:rPr>
              <w:t>Introduction</w:t>
            </w:r>
            <w:r w:rsidR="00D2345B">
              <w:rPr>
                <w:noProof/>
                <w:webHidden/>
              </w:rPr>
              <w:tab/>
            </w:r>
            <w:r w:rsidR="00D2345B">
              <w:rPr>
                <w:noProof/>
                <w:webHidden/>
              </w:rPr>
              <w:fldChar w:fldCharType="begin"/>
            </w:r>
            <w:r w:rsidR="00D2345B">
              <w:rPr>
                <w:noProof/>
                <w:webHidden/>
              </w:rPr>
              <w:instrText xml:space="preserve"> PAGEREF _Toc38031607 \h </w:instrText>
            </w:r>
            <w:r w:rsidR="00D2345B">
              <w:rPr>
                <w:noProof/>
                <w:webHidden/>
              </w:rPr>
            </w:r>
            <w:r w:rsidR="00D2345B">
              <w:rPr>
                <w:noProof/>
                <w:webHidden/>
              </w:rPr>
              <w:fldChar w:fldCharType="separate"/>
            </w:r>
            <w:r w:rsidR="00D2345B">
              <w:rPr>
                <w:noProof/>
                <w:webHidden/>
              </w:rPr>
              <w:t>1</w:t>
            </w:r>
            <w:r w:rsidR="00D2345B">
              <w:rPr>
                <w:noProof/>
                <w:webHidden/>
              </w:rPr>
              <w:fldChar w:fldCharType="end"/>
            </w:r>
          </w:hyperlink>
        </w:p>
        <w:p w14:paraId="5F00DDC9" w14:textId="193B0623" w:rsidR="00D2345B" w:rsidRDefault="001D7626">
          <w:pPr>
            <w:pStyle w:val="TOC3"/>
            <w:tabs>
              <w:tab w:val="right" w:leader="dot" w:pos="9017"/>
            </w:tabs>
            <w:rPr>
              <w:rFonts w:eastAsiaTheme="minorEastAsia"/>
              <w:noProof/>
            </w:rPr>
          </w:pPr>
          <w:hyperlink w:anchor="_Toc38031608" w:history="1">
            <w:r w:rsidR="00D2345B" w:rsidRPr="00755C23">
              <w:rPr>
                <w:rStyle w:val="Hyperlink"/>
                <w:noProof/>
              </w:rPr>
              <w:t>Table 1: Land usage under GAMS and coverage area (in ha)</w:t>
            </w:r>
            <w:r w:rsidR="00D2345B">
              <w:rPr>
                <w:noProof/>
                <w:webHidden/>
              </w:rPr>
              <w:tab/>
            </w:r>
            <w:r w:rsidR="00D2345B">
              <w:rPr>
                <w:noProof/>
                <w:webHidden/>
              </w:rPr>
              <w:fldChar w:fldCharType="begin"/>
            </w:r>
            <w:r w:rsidR="00D2345B">
              <w:rPr>
                <w:noProof/>
                <w:webHidden/>
              </w:rPr>
              <w:instrText xml:space="preserve"> PAGEREF _Toc38031608 \h </w:instrText>
            </w:r>
            <w:r w:rsidR="00D2345B">
              <w:rPr>
                <w:noProof/>
                <w:webHidden/>
              </w:rPr>
            </w:r>
            <w:r w:rsidR="00D2345B">
              <w:rPr>
                <w:noProof/>
                <w:webHidden/>
              </w:rPr>
              <w:fldChar w:fldCharType="separate"/>
            </w:r>
            <w:r w:rsidR="00D2345B">
              <w:rPr>
                <w:noProof/>
                <w:webHidden/>
              </w:rPr>
              <w:t>1</w:t>
            </w:r>
            <w:r w:rsidR="00D2345B">
              <w:rPr>
                <w:noProof/>
                <w:webHidden/>
              </w:rPr>
              <w:fldChar w:fldCharType="end"/>
            </w:r>
          </w:hyperlink>
        </w:p>
        <w:p w14:paraId="3F494681" w14:textId="3ACFB4E2" w:rsidR="00D2345B" w:rsidRDefault="001D7626">
          <w:pPr>
            <w:pStyle w:val="TOC3"/>
            <w:tabs>
              <w:tab w:val="right" w:leader="dot" w:pos="9017"/>
            </w:tabs>
            <w:rPr>
              <w:rFonts w:eastAsiaTheme="minorEastAsia"/>
              <w:noProof/>
            </w:rPr>
          </w:pPr>
          <w:hyperlink w:anchor="_Toc38031609" w:history="1">
            <w:r w:rsidR="00D2345B" w:rsidRPr="00755C23">
              <w:rPr>
                <w:rStyle w:val="Hyperlink"/>
                <w:noProof/>
              </w:rPr>
              <w:t>Table 2: Frequency and extremity of weather events, by state</w:t>
            </w:r>
            <w:r w:rsidR="00D2345B">
              <w:rPr>
                <w:noProof/>
                <w:webHidden/>
              </w:rPr>
              <w:tab/>
            </w:r>
            <w:r w:rsidR="00D2345B">
              <w:rPr>
                <w:noProof/>
                <w:webHidden/>
              </w:rPr>
              <w:fldChar w:fldCharType="begin"/>
            </w:r>
            <w:r w:rsidR="00D2345B">
              <w:rPr>
                <w:noProof/>
                <w:webHidden/>
              </w:rPr>
              <w:instrText xml:space="preserve"> PAGEREF _Toc38031609 \h </w:instrText>
            </w:r>
            <w:r w:rsidR="00D2345B">
              <w:rPr>
                <w:noProof/>
                <w:webHidden/>
              </w:rPr>
            </w:r>
            <w:r w:rsidR="00D2345B">
              <w:rPr>
                <w:noProof/>
                <w:webHidden/>
              </w:rPr>
              <w:fldChar w:fldCharType="separate"/>
            </w:r>
            <w:r w:rsidR="00D2345B">
              <w:rPr>
                <w:noProof/>
                <w:webHidden/>
              </w:rPr>
              <w:t>2</w:t>
            </w:r>
            <w:r w:rsidR="00D2345B">
              <w:rPr>
                <w:noProof/>
                <w:webHidden/>
              </w:rPr>
              <w:fldChar w:fldCharType="end"/>
            </w:r>
          </w:hyperlink>
        </w:p>
        <w:p w14:paraId="79229E93" w14:textId="75E33A17" w:rsidR="00D2345B" w:rsidRDefault="001D7626">
          <w:pPr>
            <w:pStyle w:val="TOC3"/>
            <w:tabs>
              <w:tab w:val="right" w:leader="dot" w:pos="9017"/>
            </w:tabs>
            <w:rPr>
              <w:rFonts w:eastAsiaTheme="minorEastAsia"/>
              <w:noProof/>
            </w:rPr>
          </w:pPr>
          <w:hyperlink w:anchor="_Toc38031610" w:history="1">
            <w:r w:rsidR="00D2345B" w:rsidRPr="00755C23">
              <w:rPr>
                <w:rStyle w:val="Hyperlink"/>
                <w:noProof/>
              </w:rPr>
              <w:t>Table 3: Densification of gum arabic trees</w:t>
            </w:r>
            <w:r w:rsidR="00D2345B">
              <w:rPr>
                <w:noProof/>
                <w:webHidden/>
              </w:rPr>
              <w:tab/>
            </w:r>
            <w:r w:rsidR="00D2345B">
              <w:rPr>
                <w:noProof/>
                <w:webHidden/>
              </w:rPr>
              <w:fldChar w:fldCharType="begin"/>
            </w:r>
            <w:r w:rsidR="00D2345B">
              <w:rPr>
                <w:noProof/>
                <w:webHidden/>
              </w:rPr>
              <w:instrText xml:space="preserve"> PAGEREF _Toc38031610 \h </w:instrText>
            </w:r>
            <w:r w:rsidR="00D2345B">
              <w:rPr>
                <w:noProof/>
                <w:webHidden/>
              </w:rPr>
            </w:r>
            <w:r w:rsidR="00D2345B">
              <w:rPr>
                <w:noProof/>
                <w:webHidden/>
              </w:rPr>
              <w:fldChar w:fldCharType="separate"/>
            </w:r>
            <w:r w:rsidR="00D2345B">
              <w:rPr>
                <w:noProof/>
                <w:webHidden/>
              </w:rPr>
              <w:t>3</w:t>
            </w:r>
            <w:r w:rsidR="00D2345B">
              <w:rPr>
                <w:noProof/>
                <w:webHidden/>
              </w:rPr>
              <w:fldChar w:fldCharType="end"/>
            </w:r>
          </w:hyperlink>
        </w:p>
        <w:p w14:paraId="402A53D4" w14:textId="62C731A6" w:rsidR="00D2345B" w:rsidRDefault="001D7626">
          <w:pPr>
            <w:pStyle w:val="TOC3"/>
            <w:tabs>
              <w:tab w:val="right" w:leader="dot" w:pos="9017"/>
            </w:tabs>
            <w:rPr>
              <w:rFonts w:eastAsiaTheme="minorEastAsia"/>
              <w:noProof/>
            </w:rPr>
          </w:pPr>
          <w:hyperlink w:anchor="_Toc38031611" w:history="1">
            <w:r w:rsidR="00D2345B" w:rsidRPr="00755C23">
              <w:rPr>
                <w:rStyle w:val="Hyperlink"/>
                <w:noProof/>
              </w:rPr>
              <w:t>Chart 1: Climate affected crop yield forecast, using CARD Tool, 2018=0</w:t>
            </w:r>
            <w:r w:rsidR="00D2345B">
              <w:rPr>
                <w:noProof/>
                <w:webHidden/>
              </w:rPr>
              <w:tab/>
            </w:r>
            <w:r w:rsidR="00D2345B">
              <w:rPr>
                <w:noProof/>
                <w:webHidden/>
              </w:rPr>
              <w:fldChar w:fldCharType="begin"/>
            </w:r>
            <w:r w:rsidR="00D2345B">
              <w:rPr>
                <w:noProof/>
                <w:webHidden/>
              </w:rPr>
              <w:instrText xml:space="preserve"> PAGEREF _Toc38031611 \h </w:instrText>
            </w:r>
            <w:r w:rsidR="00D2345B">
              <w:rPr>
                <w:noProof/>
                <w:webHidden/>
              </w:rPr>
            </w:r>
            <w:r w:rsidR="00D2345B">
              <w:rPr>
                <w:noProof/>
                <w:webHidden/>
              </w:rPr>
              <w:fldChar w:fldCharType="separate"/>
            </w:r>
            <w:r w:rsidR="00D2345B">
              <w:rPr>
                <w:noProof/>
                <w:webHidden/>
              </w:rPr>
              <w:t>3</w:t>
            </w:r>
            <w:r w:rsidR="00D2345B">
              <w:rPr>
                <w:noProof/>
                <w:webHidden/>
              </w:rPr>
              <w:fldChar w:fldCharType="end"/>
            </w:r>
          </w:hyperlink>
        </w:p>
        <w:p w14:paraId="32DED18B" w14:textId="2E197BAE" w:rsidR="00D2345B" w:rsidRDefault="001D7626">
          <w:pPr>
            <w:pStyle w:val="TOC3"/>
            <w:tabs>
              <w:tab w:val="right" w:leader="dot" w:pos="9017"/>
            </w:tabs>
            <w:rPr>
              <w:rFonts w:eastAsiaTheme="minorEastAsia"/>
              <w:noProof/>
            </w:rPr>
          </w:pPr>
          <w:hyperlink w:anchor="_Toc38031612" w:history="1">
            <w:r w:rsidR="00D2345B" w:rsidRPr="00755C23">
              <w:rPr>
                <w:rStyle w:val="Hyperlink"/>
                <w:noProof/>
              </w:rPr>
              <w:t>Table 4: Number of trees seeded or planted</w:t>
            </w:r>
            <w:r w:rsidR="00D2345B">
              <w:rPr>
                <w:noProof/>
                <w:webHidden/>
              </w:rPr>
              <w:tab/>
            </w:r>
            <w:r w:rsidR="00D2345B">
              <w:rPr>
                <w:noProof/>
                <w:webHidden/>
              </w:rPr>
              <w:fldChar w:fldCharType="begin"/>
            </w:r>
            <w:r w:rsidR="00D2345B">
              <w:rPr>
                <w:noProof/>
                <w:webHidden/>
              </w:rPr>
              <w:instrText xml:space="preserve"> PAGEREF _Toc38031612 \h </w:instrText>
            </w:r>
            <w:r w:rsidR="00D2345B">
              <w:rPr>
                <w:noProof/>
                <w:webHidden/>
              </w:rPr>
            </w:r>
            <w:r w:rsidR="00D2345B">
              <w:rPr>
                <w:noProof/>
                <w:webHidden/>
              </w:rPr>
              <w:fldChar w:fldCharType="separate"/>
            </w:r>
            <w:r w:rsidR="00D2345B">
              <w:rPr>
                <w:noProof/>
                <w:webHidden/>
              </w:rPr>
              <w:t>4</w:t>
            </w:r>
            <w:r w:rsidR="00D2345B">
              <w:rPr>
                <w:noProof/>
                <w:webHidden/>
              </w:rPr>
              <w:fldChar w:fldCharType="end"/>
            </w:r>
          </w:hyperlink>
        </w:p>
        <w:p w14:paraId="2919A00F" w14:textId="45B60CFA" w:rsidR="00D2345B" w:rsidRDefault="001D7626">
          <w:pPr>
            <w:pStyle w:val="TOC2"/>
            <w:rPr>
              <w:rFonts w:eastAsiaTheme="minorEastAsia"/>
              <w:noProof/>
            </w:rPr>
          </w:pPr>
          <w:hyperlink w:anchor="_Toc38031613" w:history="1">
            <w:r w:rsidR="00D2345B" w:rsidRPr="00755C23">
              <w:rPr>
                <w:rStyle w:val="Hyperlink"/>
                <w:rFonts w:cstheme="minorHAnsi"/>
                <w:noProof/>
                <w:lang w:eastAsia="it-IT"/>
              </w:rPr>
              <w:t>Financial Analysis:</w:t>
            </w:r>
            <w:r w:rsidR="00D2345B">
              <w:rPr>
                <w:noProof/>
                <w:webHidden/>
              </w:rPr>
              <w:tab/>
            </w:r>
            <w:r w:rsidR="00D2345B">
              <w:rPr>
                <w:noProof/>
                <w:webHidden/>
              </w:rPr>
              <w:fldChar w:fldCharType="begin"/>
            </w:r>
            <w:r w:rsidR="00D2345B">
              <w:rPr>
                <w:noProof/>
                <w:webHidden/>
              </w:rPr>
              <w:instrText xml:space="preserve"> PAGEREF _Toc38031613 \h </w:instrText>
            </w:r>
            <w:r w:rsidR="00D2345B">
              <w:rPr>
                <w:noProof/>
                <w:webHidden/>
              </w:rPr>
            </w:r>
            <w:r w:rsidR="00D2345B">
              <w:rPr>
                <w:noProof/>
                <w:webHidden/>
              </w:rPr>
              <w:fldChar w:fldCharType="separate"/>
            </w:r>
            <w:r w:rsidR="00D2345B">
              <w:rPr>
                <w:noProof/>
                <w:webHidden/>
              </w:rPr>
              <w:t>4</w:t>
            </w:r>
            <w:r w:rsidR="00D2345B">
              <w:rPr>
                <w:noProof/>
                <w:webHidden/>
              </w:rPr>
              <w:fldChar w:fldCharType="end"/>
            </w:r>
          </w:hyperlink>
        </w:p>
        <w:p w14:paraId="571E1BC4" w14:textId="51BE6389" w:rsidR="00D2345B" w:rsidRDefault="001D7626">
          <w:pPr>
            <w:pStyle w:val="TOC3"/>
            <w:tabs>
              <w:tab w:val="right" w:leader="dot" w:pos="9017"/>
            </w:tabs>
            <w:rPr>
              <w:rFonts w:eastAsiaTheme="minorEastAsia"/>
              <w:noProof/>
            </w:rPr>
          </w:pPr>
          <w:hyperlink w:anchor="_Toc38031614" w:history="1">
            <w:r w:rsidR="00D2345B" w:rsidRPr="00755C23">
              <w:rPr>
                <w:rStyle w:val="Hyperlink"/>
                <w:noProof/>
              </w:rPr>
              <w:t>Table 5: Financial performance indicators for agroforestry activities,  before and after financing, with project, per household (2ha)</w:t>
            </w:r>
            <w:r w:rsidR="00D2345B">
              <w:rPr>
                <w:noProof/>
                <w:webHidden/>
              </w:rPr>
              <w:tab/>
            </w:r>
            <w:r w:rsidR="00D2345B">
              <w:rPr>
                <w:noProof/>
                <w:webHidden/>
              </w:rPr>
              <w:fldChar w:fldCharType="begin"/>
            </w:r>
            <w:r w:rsidR="00D2345B">
              <w:rPr>
                <w:noProof/>
                <w:webHidden/>
              </w:rPr>
              <w:instrText xml:space="preserve"> PAGEREF _Toc38031614 \h </w:instrText>
            </w:r>
            <w:r w:rsidR="00D2345B">
              <w:rPr>
                <w:noProof/>
                <w:webHidden/>
              </w:rPr>
            </w:r>
            <w:r w:rsidR="00D2345B">
              <w:rPr>
                <w:noProof/>
                <w:webHidden/>
              </w:rPr>
              <w:fldChar w:fldCharType="separate"/>
            </w:r>
            <w:r w:rsidR="00D2345B">
              <w:rPr>
                <w:noProof/>
                <w:webHidden/>
              </w:rPr>
              <w:t>6</w:t>
            </w:r>
            <w:r w:rsidR="00D2345B">
              <w:rPr>
                <w:noProof/>
                <w:webHidden/>
              </w:rPr>
              <w:fldChar w:fldCharType="end"/>
            </w:r>
          </w:hyperlink>
        </w:p>
        <w:p w14:paraId="391C1083" w14:textId="3886F13A" w:rsidR="00D2345B" w:rsidRDefault="001D7626">
          <w:pPr>
            <w:pStyle w:val="TOC3"/>
            <w:tabs>
              <w:tab w:val="right" w:leader="dot" w:pos="9017"/>
            </w:tabs>
            <w:rPr>
              <w:rFonts w:eastAsiaTheme="minorEastAsia"/>
              <w:noProof/>
            </w:rPr>
          </w:pPr>
          <w:hyperlink w:anchor="_Toc38031615" w:history="1">
            <w:r w:rsidR="00D2345B" w:rsidRPr="00755C23">
              <w:rPr>
                <w:rStyle w:val="Hyperlink"/>
                <w:noProof/>
              </w:rPr>
              <w:t xml:space="preserve">Table 6: Financial performance indicators for reforestation activities,  before and after financing, with project (per household) </w:t>
            </w:r>
            <w:r w:rsidR="00D2345B">
              <w:rPr>
                <w:noProof/>
                <w:webHidden/>
              </w:rPr>
              <w:tab/>
            </w:r>
            <w:r w:rsidR="00D2345B">
              <w:rPr>
                <w:noProof/>
                <w:webHidden/>
              </w:rPr>
              <w:fldChar w:fldCharType="begin"/>
            </w:r>
            <w:r w:rsidR="00D2345B">
              <w:rPr>
                <w:noProof/>
                <w:webHidden/>
              </w:rPr>
              <w:instrText xml:space="preserve"> PAGEREF _Toc38031615 \h </w:instrText>
            </w:r>
            <w:r w:rsidR="00D2345B">
              <w:rPr>
                <w:noProof/>
                <w:webHidden/>
              </w:rPr>
            </w:r>
            <w:r w:rsidR="00D2345B">
              <w:rPr>
                <w:noProof/>
                <w:webHidden/>
              </w:rPr>
              <w:fldChar w:fldCharType="separate"/>
            </w:r>
            <w:r w:rsidR="00D2345B">
              <w:rPr>
                <w:noProof/>
                <w:webHidden/>
              </w:rPr>
              <w:t>7</w:t>
            </w:r>
            <w:r w:rsidR="00D2345B">
              <w:rPr>
                <w:noProof/>
                <w:webHidden/>
              </w:rPr>
              <w:fldChar w:fldCharType="end"/>
            </w:r>
          </w:hyperlink>
        </w:p>
        <w:p w14:paraId="04B2310F" w14:textId="697A28FB" w:rsidR="00D2345B" w:rsidRDefault="001D7626">
          <w:pPr>
            <w:pStyle w:val="TOC3"/>
            <w:tabs>
              <w:tab w:val="right" w:leader="dot" w:pos="9017"/>
            </w:tabs>
            <w:rPr>
              <w:rFonts w:eastAsiaTheme="minorEastAsia"/>
              <w:noProof/>
            </w:rPr>
          </w:pPr>
          <w:hyperlink w:anchor="_Toc38031616" w:history="1">
            <w:r w:rsidR="00D2345B" w:rsidRPr="00755C23">
              <w:rPr>
                <w:rStyle w:val="Hyperlink"/>
                <w:noProof/>
              </w:rPr>
              <w:t>Table 7: Financial project level analysis</w:t>
            </w:r>
            <w:r w:rsidR="00D2345B">
              <w:rPr>
                <w:noProof/>
                <w:webHidden/>
              </w:rPr>
              <w:tab/>
            </w:r>
            <w:r w:rsidR="00D2345B">
              <w:rPr>
                <w:noProof/>
                <w:webHidden/>
              </w:rPr>
              <w:fldChar w:fldCharType="begin"/>
            </w:r>
            <w:r w:rsidR="00D2345B">
              <w:rPr>
                <w:noProof/>
                <w:webHidden/>
              </w:rPr>
              <w:instrText xml:space="preserve"> PAGEREF _Toc38031616 \h </w:instrText>
            </w:r>
            <w:r w:rsidR="00D2345B">
              <w:rPr>
                <w:noProof/>
                <w:webHidden/>
              </w:rPr>
            </w:r>
            <w:r w:rsidR="00D2345B">
              <w:rPr>
                <w:noProof/>
                <w:webHidden/>
              </w:rPr>
              <w:fldChar w:fldCharType="separate"/>
            </w:r>
            <w:r w:rsidR="00D2345B">
              <w:rPr>
                <w:noProof/>
                <w:webHidden/>
              </w:rPr>
              <w:t>8</w:t>
            </w:r>
            <w:r w:rsidR="00D2345B">
              <w:rPr>
                <w:noProof/>
                <w:webHidden/>
              </w:rPr>
              <w:fldChar w:fldCharType="end"/>
            </w:r>
          </w:hyperlink>
        </w:p>
        <w:p w14:paraId="4310BA28" w14:textId="5E4F0ABD" w:rsidR="00D2345B" w:rsidRDefault="001D7626">
          <w:pPr>
            <w:pStyle w:val="TOC2"/>
            <w:rPr>
              <w:rFonts w:eastAsiaTheme="minorEastAsia"/>
              <w:noProof/>
            </w:rPr>
          </w:pPr>
          <w:hyperlink w:anchor="_Toc38031617" w:history="1">
            <w:r w:rsidR="00D2345B" w:rsidRPr="00755C23">
              <w:rPr>
                <w:rStyle w:val="Hyperlink"/>
                <w:rFonts w:cstheme="minorHAnsi"/>
                <w:noProof/>
              </w:rPr>
              <w:t>Project-level Economic Analysis:</w:t>
            </w:r>
            <w:r w:rsidR="00D2345B">
              <w:rPr>
                <w:noProof/>
                <w:webHidden/>
              </w:rPr>
              <w:tab/>
            </w:r>
            <w:r w:rsidR="00D2345B">
              <w:rPr>
                <w:noProof/>
                <w:webHidden/>
              </w:rPr>
              <w:fldChar w:fldCharType="begin"/>
            </w:r>
            <w:r w:rsidR="00D2345B">
              <w:rPr>
                <w:noProof/>
                <w:webHidden/>
              </w:rPr>
              <w:instrText xml:space="preserve"> PAGEREF _Toc38031617 \h </w:instrText>
            </w:r>
            <w:r w:rsidR="00D2345B">
              <w:rPr>
                <w:noProof/>
                <w:webHidden/>
              </w:rPr>
            </w:r>
            <w:r w:rsidR="00D2345B">
              <w:rPr>
                <w:noProof/>
                <w:webHidden/>
              </w:rPr>
              <w:fldChar w:fldCharType="separate"/>
            </w:r>
            <w:r w:rsidR="00D2345B">
              <w:rPr>
                <w:noProof/>
                <w:webHidden/>
              </w:rPr>
              <w:t>8</w:t>
            </w:r>
            <w:r w:rsidR="00D2345B">
              <w:rPr>
                <w:noProof/>
                <w:webHidden/>
              </w:rPr>
              <w:fldChar w:fldCharType="end"/>
            </w:r>
          </w:hyperlink>
        </w:p>
        <w:p w14:paraId="73C262BA" w14:textId="65E8D0AC" w:rsidR="00D2345B" w:rsidRDefault="001D7626">
          <w:pPr>
            <w:pStyle w:val="TOC3"/>
            <w:tabs>
              <w:tab w:val="right" w:leader="dot" w:pos="9017"/>
            </w:tabs>
            <w:rPr>
              <w:rFonts w:eastAsiaTheme="minorEastAsia"/>
              <w:noProof/>
            </w:rPr>
          </w:pPr>
          <w:hyperlink w:anchor="_Toc38031618" w:history="1">
            <w:r w:rsidR="00D2345B" w:rsidRPr="00755C23">
              <w:rPr>
                <w:rStyle w:val="Hyperlink"/>
                <w:noProof/>
              </w:rPr>
              <w:t>Table 8: Economic project level analysis</w:t>
            </w:r>
            <w:r w:rsidR="00D2345B">
              <w:rPr>
                <w:noProof/>
                <w:webHidden/>
              </w:rPr>
              <w:tab/>
            </w:r>
            <w:r w:rsidR="00D2345B">
              <w:rPr>
                <w:noProof/>
                <w:webHidden/>
              </w:rPr>
              <w:fldChar w:fldCharType="begin"/>
            </w:r>
            <w:r w:rsidR="00D2345B">
              <w:rPr>
                <w:noProof/>
                <w:webHidden/>
              </w:rPr>
              <w:instrText xml:space="preserve"> PAGEREF _Toc38031618 \h </w:instrText>
            </w:r>
            <w:r w:rsidR="00D2345B">
              <w:rPr>
                <w:noProof/>
                <w:webHidden/>
              </w:rPr>
            </w:r>
            <w:r w:rsidR="00D2345B">
              <w:rPr>
                <w:noProof/>
                <w:webHidden/>
              </w:rPr>
              <w:fldChar w:fldCharType="separate"/>
            </w:r>
            <w:r w:rsidR="00D2345B">
              <w:rPr>
                <w:noProof/>
                <w:webHidden/>
              </w:rPr>
              <w:t>8</w:t>
            </w:r>
            <w:r w:rsidR="00D2345B">
              <w:rPr>
                <w:noProof/>
                <w:webHidden/>
              </w:rPr>
              <w:fldChar w:fldCharType="end"/>
            </w:r>
          </w:hyperlink>
        </w:p>
        <w:p w14:paraId="03525D61" w14:textId="059CB747" w:rsidR="00D2345B" w:rsidRDefault="001D7626">
          <w:pPr>
            <w:pStyle w:val="TOC2"/>
            <w:rPr>
              <w:rFonts w:eastAsiaTheme="minorEastAsia"/>
              <w:noProof/>
            </w:rPr>
          </w:pPr>
          <w:hyperlink w:anchor="_Toc38031619" w:history="1">
            <w:r w:rsidR="00D2345B" w:rsidRPr="00755C23">
              <w:rPr>
                <w:rStyle w:val="Hyperlink"/>
                <w:rFonts w:cstheme="minorHAnsi"/>
                <w:noProof/>
              </w:rPr>
              <w:t>Sensitivity Analysis:</w:t>
            </w:r>
            <w:r w:rsidR="00D2345B">
              <w:rPr>
                <w:noProof/>
                <w:webHidden/>
              </w:rPr>
              <w:tab/>
            </w:r>
            <w:r w:rsidR="00D2345B">
              <w:rPr>
                <w:noProof/>
                <w:webHidden/>
              </w:rPr>
              <w:fldChar w:fldCharType="begin"/>
            </w:r>
            <w:r w:rsidR="00D2345B">
              <w:rPr>
                <w:noProof/>
                <w:webHidden/>
              </w:rPr>
              <w:instrText xml:space="preserve"> PAGEREF _Toc38031619 \h </w:instrText>
            </w:r>
            <w:r w:rsidR="00D2345B">
              <w:rPr>
                <w:noProof/>
                <w:webHidden/>
              </w:rPr>
            </w:r>
            <w:r w:rsidR="00D2345B">
              <w:rPr>
                <w:noProof/>
                <w:webHidden/>
              </w:rPr>
              <w:fldChar w:fldCharType="separate"/>
            </w:r>
            <w:r w:rsidR="00D2345B">
              <w:rPr>
                <w:noProof/>
                <w:webHidden/>
              </w:rPr>
              <w:t>9</w:t>
            </w:r>
            <w:r w:rsidR="00D2345B">
              <w:rPr>
                <w:noProof/>
                <w:webHidden/>
              </w:rPr>
              <w:fldChar w:fldCharType="end"/>
            </w:r>
          </w:hyperlink>
        </w:p>
        <w:p w14:paraId="09D5039F" w14:textId="24807E39" w:rsidR="00D2345B" w:rsidRDefault="001D7626">
          <w:pPr>
            <w:pStyle w:val="TOC2"/>
            <w:rPr>
              <w:rFonts w:eastAsiaTheme="minorEastAsia"/>
              <w:noProof/>
            </w:rPr>
          </w:pPr>
          <w:hyperlink w:anchor="_Toc38031620" w:history="1">
            <w:r w:rsidR="00D2345B" w:rsidRPr="00755C23">
              <w:rPr>
                <w:rStyle w:val="Hyperlink"/>
                <w:rFonts w:cstheme="minorHAnsi"/>
                <w:noProof/>
              </w:rPr>
              <w:t>Climate Change Mitigation Benefits:</w:t>
            </w:r>
            <w:r w:rsidR="00D2345B">
              <w:rPr>
                <w:noProof/>
                <w:webHidden/>
              </w:rPr>
              <w:tab/>
            </w:r>
            <w:r w:rsidR="00D2345B">
              <w:rPr>
                <w:noProof/>
                <w:webHidden/>
              </w:rPr>
              <w:fldChar w:fldCharType="begin"/>
            </w:r>
            <w:r w:rsidR="00D2345B">
              <w:rPr>
                <w:noProof/>
                <w:webHidden/>
              </w:rPr>
              <w:instrText xml:space="preserve"> PAGEREF _Toc38031620 \h </w:instrText>
            </w:r>
            <w:r w:rsidR="00D2345B">
              <w:rPr>
                <w:noProof/>
                <w:webHidden/>
              </w:rPr>
            </w:r>
            <w:r w:rsidR="00D2345B">
              <w:rPr>
                <w:noProof/>
                <w:webHidden/>
              </w:rPr>
              <w:fldChar w:fldCharType="separate"/>
            </w:r>
            <w:r w:rsidR="00D2345B">
              <w:rPr>
                <w:noProof/>
                <w:webHidden/>
              </w:rPr>
              <w:t>9</w:t>
            </w:r>
            <w:r w:rsidR="00D2345B">
              <w:rPr>
                <w:noProof/>
                <w:webHidden/>
              </w:rPr>
              <w:fldChar w:fldCharType="end"/>
            </w:r>
          </w:hyperlink>
        </w:p>
        <w:p w14:paraId="4BF892C6" w14:textId="3B8CE009" w:rsidR="00D2345B" w:rsidRDefault="001D7626">
          <w:pPr>
            <w:pStyle w:val="TOC3"/>
            <w:tabs>
              <w:tab w:val="right" w:leader="dot" w:pos="9017"/>
            </w:tabs>
            <w:rPr>
              <w:rFonts w:eastAsiaTheme="minorEastAsia"/>
              <w:noProof/>
            </w:rPr>
          </w:pPr>
          <w:hyperlink w:anchor="_Toc38031621" w:history="1">
            <w:r w:rsidR="00D2345B" w:rsidRPr="00755C23">
              <w:rPr>
                <w:rStyle w:val="Hyperlink"/>
                <w:noProof/>
              </w:rPr>
              <w:t>Table 9: Climate Change Mitigation Benefits of Carbon Sequestration</w:t>
            </w:r>
            <w:r w:rsidR="00D2345B">
              <w:rPr>
                <w:noProof/>
                <w:webHidden/>
              </w:rPr>
              <w:tab/>
            </w:r>
            <w:r w:rsidR="00D2345B">
              <w:rPr>
                <w:noProof/>
                <w:webHidden/>
              </w:rPr>
              <w:fldChar w:fldCharType="begin"/>
            </w:r>
            <w:r w:rsidR="00D2345B">
              <w:rPr>
                <w:noProof/>
                <w:webHidden/>
              </w:rPr>
              <w:instrText xml:space="preserve"> PAGEREF _Toc38031621 \h </w:instrText>
            </w:r>
            <w:r w:rsidR="00D2345B">
              <w:rPr>
                <w:noProof/>
                <w:webHidden/>
              </w:rPr>
            </w:r>
            <w:r w:rsidR="00D2345B">
              <w:rPr>
                <w:noProof/>
                <w:webHidden/>
              </w:rPr>
              <w:fldChar w:fldCharType="separate"/>
            </w:r>
            <w:r w:rsidR="00D2345B">
              <w:rPr>
                <w:noProof/>
                <w:webHidden/>
              </w:rPr>
              <w:t>10</w:t>
            </w:r>
            <w:r w:rsidR="00D2345B">
              <w:rPr>
                <w:noProof/>
                <w:webHidden/>
              </w:rPr>
              <w:fldChar w:fldCharType="end"/>
            </w:r>
          </w:hyperlink>
        </w:p>
        <w:p w14:paraId="1A23A69D" w14:textId="3483F95E" w:rsidR="00D2345B" w:rsidRDefault="001D7626">
          <w:pPr>
            <w:pStyle w:val="TOC3"/>
            <w:tabs>
              <w:tab w:val="right" w:leader="dot" w:pos="9017"/>
            </w:tabs>
            <w:rPr>
              <w:rFonts w:eastAsiaTheme="minorEastAsia"/>
              <w:noProof/>
            </w:rPr>
          </w:pPr>
          <w:hyperlink w:anchor="_Toc38031622" w:history="1">
            <w:r w:rsidR="00D2345B" w:rsidRPr="00755C23">
              <w:rPr>
                <w:rStyle w:val="Hyperlink"/>
                <w:noProof/>
              </w:rPr>
              <w:t>Table 10: Market and social value of carbon (USD per ton)</w:t>
            </w:r>
            <w:r w:rsidR="00D2345B">
              <w:rPr>
                <w:noProof/>
                <w:webHidden/>
              </w:rPr>
              <w:tab/>
            </w:r>
            <w:r w:rsidR="00D2345B">
              <w:rPr>
                <w:noProof/>
                <w:webHidden/>
              </w:rPr>
              <w:fldChar w:fldCharType="begin"/>
            </w:r>
            <w:r w:rsidR="00D2345B">
              <w:rPr>
                <w:noProof/>
                <w:webHidden/>
              </w:rPr>
              <w:instrText xml:space="preserve"> PAGEREF _Toc38031622 \h </w:instrText>
            </w:r>
            <w:r w:rsidR="00D2345B">
              <w:rPr>
                <w:noProof/>
                <w:webHidden/>
              </w:rPr>
            </w:r>
            <w:r w:rsidR="00D2345B">
              <w:rPr>
                <w:noProof/>
                <w:webHidden/>
              </w:rPr>
              <w:fldChar w:fldCharType="separate"/>
            </w:r>
            <w:r w:rsidR="00D2345B">
              <w:rPr>
                <w:noProof/>
                <w:webHidden/>
              </w:rPr>
              <w:t>10</w:t>
            </w:r>
            <w:r w:rsidR="00D2345B">
              <w:rPr>
                <w:noProof/>
                <w:webHidden/>
              </w:rPr>
              <w:fldChar w:fldCharType="end"/>
            </w:r>
          </w:hyperlink>
        </w:p>
        <w:p w14:paraId="64BBA6C8" w14:textId="7A16635E" w:rsidR="00D2345B" w:rsidRDefault="001D7626">
          <w:pPr>
            <w:pStyle w:val="TOC2"/>
            <w:rPr>
              <w:rFonts w:eastAsiaTheme="minorEastAsia"/>
              <w:noProof/>
            </w:rPr>
          </w:pPr>
          <w:hyperlink w:anchor="_Toc38031623" w:history="1">
            <w:r w:rsidR="00D2345B" w:rsidRPr="00755C23">
              <w:rPr>
                <w:rStyle w:val="Hyperlink"/>
                <w:noProof/>
              </w:rPr>
              <w:t>Appendices</w:t>
            </w:r>
            <w:r w:rsidR="00D2345B">
              <w:rPr>
                <w:noProof/>
                <w:webHidden/>
              </w:rPr>
              <w:tab/>
            </w:r>
            <w:r w:rsidR="00D2345B">
              <w:rPr>
                <w:noProof/>
                <w:webHidden/>
              </w:rPr>
              <w:fldChar w:fldCharType="begin"/>
            </w:r>
            <w:r w:rsidR="00D2345B">
              <w:rPr>
                <w:noProof/>
                <w:webHidden/>
              </w:rPr>
              <w:instrText xml:space="preserve"> PAGEREF _Toc38031623 \h </w:instrText>
            </w:r>
            <w:r w:rsidR="00D2345B">
              <w:rPr>
                <w:noProof/>
                <w:webHidden/>
              </w:rPr>
            </w:r>
            <w:r w:rsidR="00D2345B">
              <w:rPr>
                <w:noProof/>
                <w:webHidden/>
              </w:rPr>
              <w:fldChar w:fldCharType="separate"/>
            </w:r>
            <w:r w:rsidR="00D2345B">
              <w:rPr>
                <w:noProof/>
                <w:webHidden/>
              </w:rPr>
              <w:t>11</w:t>
            </w:r>
            <w:r w:rsidR="00D2345B">
              <w:rPr>
                <w:noProof/>
                <w:webHidden/>
              </w:rPr>
              <w:fldChar w:fldCharType="end"/>
            </w:r>
          </w:hyperlink>
        </w:p>
        <w:p w14:paraId="0DFA2704" w14:textId="03A356BD" w:rsidR="00D2345B" w:rsidRDefault="001D7626">
          <w:pPr>
            <w:pStyle w:val="TOC2"/>
            <w:rPr>
              <w:rFonts w:eastAsiaTheme="minorEastAsia"/>
              <w:noProof/>
            </w:rPr>
          </w:pPr>
          <w:hyperlink w:anchor="_Toc38031624" w:history="1">
            <w:r w:rsidR="00D2345B" w:rsidRPr="00755C23">
              <w:rPr>
                <w:rStyle w:val="Hyperlink"/>
                <w:noProof/>
              </w:rPr>
              <w:t>Appendix 1: Financial and Economic Analysis Tables</w:t>
            </w:r>
            <w:r w:rsidR="00D2345B">
              <w:rPr>
                <w:noProof/>
                <w:webHidden/>
              </w:rPr>
              <w:tab/>
            </w:r>
            <w:r w:rsidR="00D2345B">
              <w:rPr>
                <w:noProof/>
                <w:webHidden/>
              </w:rPr>
              <w:fldChar w:fldCharType="begin"/>
            </w:r>
            <w:r w:rsidR="00D2345B">
              <w:rPr>
                <w:noProof/>
                <w:webHidden/>
              </w:rPr>
              <w:instrText xml:space="preserve"> PAGEREF _Toc38031624 \h </w:instrText>
            </w:r>
            <w:r w:rsidR="00D2345B">
              <w:rPr>
                <w:noProof/>
                <w:webHidden/>
              </w:rPr>
            </w:r>
            <w:r w:rsidR="00D2345B">
              <w:rPr>
                <w:noProof/>
                <w:webHidden/>
              </w:rPr>
              <w:fldChar w:fldCharType="separate"/>
            </w:r>
            <w:r w:rsidR="00D2345B">
              <w:rPr>
                <w:noProof/>
                <w:webHidden/>
              </w:rPr>
              <w:t>12</w:t>
            </w:r>
            <w:r w:rsidR="00D2345B">
              <w:rPr>
                <w:noProof/>
                <w:webHidden/>
              </w:rPr>
              <w:fldChar w:fldCharType="end"/>
            </w:r>
          </w:hyperlink>
        </w:p>
        <w:p w14:paraId="2E5A196F" w14:textId="77777777" w:rsidR="0023582D" w:rsidRDefault="0023582D" w:rsidP="0023582D">
          <w:pPr>
            <w:pStyle w:val="TOC2"/>
            <w:outlineLvl w:val="2"/>
          </w:pPr>
          <w:r>
            <w:rPr>
              <w:b/>
              <w:bCs/>
              <w:noProof/>
            </w:rPr>
            <w:fldChar w:fldCharType="end"/>
          </w:r>
        </w:p>
      </w:sdtContent>
    </w:sdt>
    <w:p w14:paraId="518E8C24" w14:textId="77777777" w:rsidR="00B80740" w:rsidRPr="00B80740" w:rsidRDefault="00B80740" w:rsidP="00B80740">
      <w:pPr>
        <w:pStyle w:val="Heading2"/>
        <w:rPr>
          <w:rFonts w:cstheme="minorHAnsi"/>
          <w:sz w:val="22"/>
          <w:szCs w:val="24"/>
          <w:lang w:eastAsia="it-IT"/>
        </w:rPr>
      </w:pPr>
      <w:bookmarkStart w:id="1" w:name="_Toc38031607"/>
      <w:r>
        <w:rPr>
          <w:rFonts w:cstheme="minorHAnsi"/>
          <w:szCs w:val="24"/>
          <w:lang w:eastAsia="it-IT"/>
        </w:rPr>
        <w:t>Introduction</w:t>
      </w:r>
      <w:bookmarkEnd w:id="1"/>
    </w:p>
    <w:p w14:paraId="64A33298" w14:textId="614000AC" w:rsidR="000A1D28" w:rsidRDefault="000A61F3" w:rsidP="001F27AC">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The </w:t>
      </w:r>
      <w:r w:rsidR="000F7A3A">
        <w:rPr>
          <w:rFonts w:asciiTheme="minorHAnsi" w:hAnsiTheme="minorHAnsi" w:cstheme="minorHAnsi"/>
          <w:sz w:val="22"/>
          <w:szCs w:val="22"/>
        </w:rPr>
        <w:t>economic and financial analys</w:t>
      </w:r>
      <w:r w:rsidR="00FB2781">
        <w:rPr>
          <w:rFonts w:asciiTheme="minorHAnsi" w:hAnsiTheme="minorHAnsi" w:cstheme="minorHAnsi"/>
          <w:sz w:val="22"/>
          <w:szCs w:val="22"/>
        </w:rPr>
        <w:t>e</w:t>
      </w:r>
      <w:r w:rsidR="000F7A3A">
        <w:rPr>
          <w:rFonts w:asciiTheme="minorHAnsi" w:hAnsiTheme="minorHAnsi" w:cstheme="minorHAnsi"/>
          <w:sz w:val="22"/>
          <w:szCs w:val="22"/>
        </w:rPr>
        <w:t xml:space="preserve">s </w:t>
      </w:r>
      <w:proofErr w:type="gramStart"/>
      <w:r w:rsidR="000F7A3A">
        <w:rPr>
          <w:rFonts w:asciiTheme="minorHAnsi" w:hAnsiTheme="minorHAnsi" w:cstheme="minorHAnsi"/>
          <w:sz w:val="22"/>
          <w:szCs w:val="22"/>
        </w:rPr>
        <w:t>uses</w:t>
      </w:r>
      <w:proofErr w:type="gramEnd"/>
      <w:r w:rsidR="000F7A3A">
        <w:rPr>
          <w:rFonts w:asciiTheme="minorHAnsi" w:hAnsiTheme="minorHAnsi" w:cstheme="minorHAnsi"/>
          <w:sz w:val="22"/>
          <w:szCs w:val="22"/>
        </w:rPr>
        <w:t xml:space="preserve"> </w:t>
      </w:r>
      <w:r>
        <w:rPr>
          <w:rFonts w:asciiTheme="minorHAnsi" w:hAnsiTheme="minorHAnsi" w:cstheme="minorHAnsi"/>
          <w:sz w:val="22"/>
          <w:szCs w:val="22"/>
        </w:rPr>
        <w:t xml:space="preserve">cost-benefit </w:t>
      </w:r>
      <w:r w:rsidR="000A1D28">
        <w:rPr>
          <w:rFonts w:asciiTheme="minorHAnsi" w:hAnsiTheme="minorHAnsi" w:cstheme="minorHAnsi"/>
          <w:sz w:val="22"/>
          <w:szCs w:val="22"/>
        </w:rPr>
        <w:t>analysis for the GAMS project</w:t>
      </w:r>
      <w:r w:rsidR="000F7A3A">
        <w:rPr>
          <w:rFonts w:asciiTheme="minorHAnsi" w:hAnsiTheme="minorHAnsi" w:cstheme="minorHAnsi"/>
          <w:sz w:val="22"/>
          <w:szCs w:val="22"/>
        </w:rPr>
        <w:t xml:space="preserve">, while seeking to determine </w:t>
      </w:r>
      <w:r>
        <w:rPr>
          <w:rFonts w:asciiTheme="minorHAnsi" w:hAnsiTheme="minorHAnsi" w:cstheme="minorHAnsi"/>
          <w:sz w:val="22"/>
          <w:szCs w:val="22"/>
        </w:rPr>
        <w:t xml:space="preserve">financial, economic and environmental co-benefits </w:t>
      </w:r>
      <w:r w:rsidR="000F7A3A">
        <w:rPr>
          <w:rFonts w:asciiTheme="minorHAnsi" w:hAnsiTheme="minorHAnsi" w:cstheme="minorHAnsi"/>
          <w:sz w:val="22"/>
          <w:szCs w:val="22"/>
        </w:rPr>
        <w:t xml:space="preserve">generated from </w:t>
      </w:r>
      <w:r>
        <w:rPr>
          <w:rFonts w:asciiTheme="minorHAnsi" w:hAnsiTheme="minorHAnsi" w:cstheme="minorHAnsi"/>
          <w:sz w:val="22"/>
          <w:szCs w:val="22"/>
        </w:rPr>
        <w:t>invest</w:t>
      </w:r>
      <w:r w:rsidR="000F7A3A">
        <w:rPr>
          <w:rFonts w:asciiTheme="minorHAnsi" w:hAnsiTheme="minorHAnsi" w:cstheme="minorHAnsi"/>
          <w:sz w:val="22"/>
          <w:szCs w:val="22"/>
        </w:rPr>
        <w:t>ments</w:t>
      </w:r>
      <w:r>
        <w:rPr>
          <w:rFonts w:asciiTheme="minorHAnsi" w:hAnsiTheme="minorHAnsi" w:cstheme="minorHAnsi"/>
          <w:sz w:val="22"/>
          <w:szCs w:val="22"/>
        </w:rPr>
        <w:t xml:space="preserve"> in agroforestry systems</w:t>
      </w:r>
      <w:r w:rsidR="000F7A3A">
        <w:rPr>
          <w:rFonts w:asciiTheme="minorHAnsi" w:hAnsiTheme="minorHAnsi" w:cstheme="minorHAnsi"/>
          <w:sz w:val="22"/>
          <w:szCs w:val="22"/>
        </w:rPr>
        <w:t>. Main activities relate</w:t>
      </w:r>
      <w:r w:rsidR="000A1D28">
        <w:rPr>
          <w:rFonts w:asciiTheme="minorHAnsi" w:hAnsiTheme="minorHAnsi" w:cstheme="minorHAnsi"/>
          <w:sz w:val="22"/>
          <w:szCs w:val="22"/>
        </w:rPr>
        <w:t xml:space="preserve"> to </w:t>
      </w:r>
      <w:r w:rsidR="000F7A3A">
        <w:rPr>
          <w:rFonts w:asciiTheme="minorHAnsi" w:hAnsiTheme="minorHAnsi" w:cstheme="minorHAnsi"/>
          <w:sz w:val="22"/>
          <w:szCs w:val="22"/>
        </w:rPr>
        <w:t>a</w:t>
      </w:r>
      <w:r w:rsidR="000A1D28">
        <w:rPr>
          <w:rFonts w:asciiTheme="minorHAnsi" w:hAnsiTheme="minorHAnsi" w:cstheme="minorHAnsi"/>
          <w:sz w:val="22"/>
          <w:szCs w:val="22"/>
        </w:rPr>
        <w:t xml:space="preserve">groforestry, reforestation and </w:t>
      </w:r>
      <w:r w:rsidR="00304E6C">
        <w:rPr>
          <w:rFonts w:asciiTheme="minorHAnsi" w:hAnsiTheme="minorHAnsi" w:cstheme="minorHAnsi"/>
          <w:sz w:val="22"/>
          <w:szCs w:val="22"/>
        </w:rPr>
        <w:t>rangeland restoration</w:t>
      </w:r>
      <w:r w:rsidR="000A1D28">
        <w:rPr>
          <w:rFonts w:asciiTheme="minorHAnsi" w:hAnsiTheme="minorHAnsi" w:cstheme="minorHAnsi"/>
          <w:sz w:val="22"/>
          <w:szCs w:val="22"/>
        </w:rPr>
        <w:t xml:space="preserve"> </w:t>
      </w:r>
      <w:r w:rsidR="000F7A3A">
        <w:rPr>
          <w:rFonts w:asciiTheme="minorHAnsi" w:hAnsiTheme="minorHAnsi" w:cstheme="minorHAnsi"/>
          <w:sz w:val="22"/>
          <w:szCs w:val="22"/>
        </w:rPr>
        <w:t>across the</w:t>
      </w:r>
      <w:r w:rsidR="000A1D28">
        <w:rPr>
          <w:rFonts w:asciiTheme="minorHAnsi" w:hAnsiTheme="minorHAnsi" w:cstheme="minorHAnsi"/>
          <w:sz w:val="22"/>
          <w:szCs w:val="22"/>
        </w:rPr>
        <w:t xml:space="preserve"> three states of Sudan – </w:t>
      </w:r>
      <w:r w:rsidR="0033783E">
        <w:rPr>
          <w:rFonts w:asciiTheme="minorHAnsi" w:hAnsiTheme="minorHAnsi" w:cstheme="minorHAnsi"/>
          <w:sz w:val="22"/>
          <w:szCs w:val="22"/>
        </w:rPr>
        <w:t>N</w:t>
      </w:r>
      <w:r w:rsidR="000A1D28">
        <w:rPr>
          <w:rFonts w:asciiTheme="minorHAnsi" w:hAnsiTheme="minorHAnsi" w:cstheme="minorHAnsi"/>
          <w:sz w:val="22"/>
          <w:szCs w:val="22"/>
        </w:rPr>
        <w:t xml:space="preserve">orth, </w:t>
      </w:r>
      <w:r w:rsidR="0033783E">
        <w:rPr>
          <w:rFonts w:asciiTheme="minorHAnsi" w:hAnsiTheme="minorHAnsi" w:cstheme="minorHAnsi"/>
          <w:sz w:val="22"/>
          <w:szCs w:val="22"/>
        </w:rPr>
        <w:t>S</w:t>
      </w:r>
      <w:r w:rsidR="000A1D28">
        <w:rPr>
          <w:rFonts w:asciiTheme="minorHAnsi" w:hAnsiTheme="minorHAnsi" w:cstheme="minorHAnsi"/>
          <w:sz w:val="22"/>
          <w:szCs w:val="22"/>
        </w:rPr>
        <w:t xml:space="preserve">outh and </w:t>
      </w:r>
      <w:r w:rsidR="0033783E">
        <w:rPr>
          <w:rFonts w:asciiTheme="minorHAnsi" w:hAnsiTheme="minorHAnsi" w:cstheme="minorHAnsi"/>
          <w:sz w:val="22"/>
          <w:szCs w:val="22"/>
        </w:rPr>
        <w:t>W</w:t>
      </w:r>
      <w:r w:rsidR="000A1D28">
        <w:rPr>
          <w:rFonts w:asciiTheme="minorHAnsi" w:hAnsiTheme="minorHAnsi" w:cstheme="minorHAnsi"/>
          <w:sz w:val="22"/>
          <w:szCs w:val="22"/>
        </w:rPr>
        <w:t xml:space="preserve">est Kordofan. The land distribution is as </w:t>
      </w:r>
      <w:r w:rsidR="009544C3">
        <w:rPr>
          <w:rFonts w:asciiTheme="minorHAnsi" w:hAnsiTheme="minorHAnsi" w:cstheme="minorHAnsi"/>
          <w:sz w:val="22"/>
          <w:szCs w:val="22"/>
        </w:rPr>
        <w:t>in the table below.</w:t>
      </w:r>
      <w:r w:rsidR="000A1D28">
        <w:rPr>
          <w:rFonts w:asciiTheme="minorHAnsi" w:hAnsiTheme="minorHAnsi" w:cstheme="minorHAnsi"/>
          <w:sz w:val="22"/>
          <w:szCs w:val="22"/>
        </w:rPr>
        <w:t xml:space="preserve"> </w:t>
      </w:r>
    </w:p>
    <w:p w14:paraId="63D8D22D" w14:textId="77777777" w:rsidR="000A1D28" w:rsidRPr="0023582D" w:rsidRDefault="009544C3" w:rsidP="0023582D">
      <w:pPr>
        <w:pStyle w:val="Heading3"/>
        <w:jc w:val="center"/>
      </w:pPr>
      <w:bookmarkStart w:id="2" w:name="_Toc5355356"/>
      <w:bookmarkStart w:id="3" w:name="_Toc5355532"/>
      <w:bookmarkStart w:id="4" w:name="_Toc14813373"/>
      <w:bookmarkStart w:id="5" w:name="_Toc38031608"/>
      <w:r w:rsidRPr="0023582D">
        <w:t>Table</w:t>
      </w:r>
      <w:r w:rsidR="00B80740" w:rsidRPr="0023582D">
        <w:t xml:space="preserve"> 1</w:t>
      </w:r>
      <w:r w:rsidRPr="0023582D">
        <w:t>: Land usage under GAMS</w:t>
      </w:r>
      <w:r w:rsidR="003435CD" w:rsidRPr="0023582D">
        <w:t xml:space="preserve"> </w:t>
      </w:r>
      <w:r w:rsidR="00315AE2" w:rsidRPr="0023582D">
        <w:t xml:space="preserve">and </w:t>
      </w:r>
      <w:r w:rsidR="008D24AB" w:rsidRPr="0023582D">
        <w:t xml:space="preserve">coverage </w:t>
      </w:r>
      <w:r w:rsidR="00315AE2" w:rsidRPr="0023582D">
        <w:t>area (</w:t>
      </w:r>
      <w:r w:rsidR="003435CD" w:rsidRPr="0023582D">
        <w:t>in ha</w:t>
      </w:r>
      <w:r w:rsidR="00315AE2" w:rsidRPr="0023582D">
        <w:t>)</w:t>
      </w:r>
      <w:bookmarkEnd w:id="2"/>
      <w:bookmarkEnd w:id="3"/>
      <w:bookmarkEnd w:id="4"/>
      <w:bookmarkEnd w:id="5"/>
    </w:p>
    <w:p w14:paraId="1003E3D7" w14:textId="77777777" w:rsidR="000A1D28" w:rsidRDefault="00754DC8" w:rsidP="00762BE2">
      <w:pPr>
        <w:pStyle w:val="ListParagraph"/>
        <w:widowControl/>
        <w:autoSpaceDE/>
        <w:autoSpaceDN/>
        <w:adjustRightInd/>
        <w:ind w:left="0"/>
        <w:contextualSpacing w:val="0"/>
        <w:jc w:val="center"/>
        <w:rPr>
          <w:rFonts w:asciiTheme="minorHAnsi" w:hAnsiTheme="minorHAnsi" w:cstheme="minorHAnsi"/>
          <w:sz w:val="22"/>
          <w:szCs w:val="22"/>
        </w:rPr>
      </w:pPr>
      <w:r w:rsidRPr="00754DC8">
        <w:rPr>
          <w:noProof/>
          <w:lang w:val="en-GB" w:eastAsia="en-GB"/>
        </w:rPr>
        <w:drawing>
          <wp:inline distT="0" distB="0" distL="0" distR="0" wp14:anchorId="551A2184" wp14:editId="6684BA10">
            <wp:extent cx="3037205" cy="86677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7205" cy="866775"/>
                    </a:xfrm>
                    <a:prstGeom prst="rect">
                      <a:avLst/>
                    </a:prstGeom>
                    <a:noFill/>
                    <a:ln>
                      <a:noFill/>
                    </a:ln>
                  </pic:spPr>
                </pic:pic>
              </a:graphicData>
            </a:graphic>
          </wp:inline>
        </w:drawing>
      </w:r>
    </w:p>
    <w:p w14:paraId="00485A45" w14:textId="77777777" w:rsidR="00762BE2" w:rsidRDefault="00762BE2" w:rsidP="00762BE2">
      <w:pPr>
        <w:pStyle w:val="ListParagraph"/>
        <w:widowControl/>
        <w:autoSpaceDE/>
        <w:autoSpaceDN/>
        <w:adjustRightInd/>
        <w:ind w:left="0"/>
        <w:contextualSpacing w:val="0"/>
        <w:jc w:val="center"/>
        <w:rPr>
          <w:rFonts w:asciiTheme="minorHAnsi" w:hAnsiTheme="minorHAnsi" w:cstheme="minorHAnsi"/>
          <w:sz w:val="22"/>
          <w:szCs w:val="22"/>
        </w:rPr>
      </w:pPr>
    </w:p>
    <w:p w14:paraId="72BBAE27" w14:textId="77777777" w:rsidR="00124784" w:rsidRPr="00124784" w:rsidRDefault="00F60730" w:rsidP="001F27AC">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Pr>
          <w:rFonts w:asciiTheme="minorHAnsi" w:hAnsiTheme="minorHAnsi" w:cstheme="minorHAnsi"/>
          <w:bCs/>
          <w:iCs/>
          <w:sz w:val="22"/>
          <w:szCs w:val="22"/>
        </w:rPr>
        <w:t>The primary project beneficiaries are smallholder farmers</w:t>
      </w:r>
      <w:r w:rsidR="00DB0587">
        <w:rPr>
          <w:rFonts w:asciiTheme="minorHAnsi" w:hAnsiTheme="minorHAnsi" w:cstheme="minorHAnsi"/>
          <w:bCs/>
          <w:iCs/>
          <w:sz w:val="22"/>
          <w:szCs w:val="22"/>
        </w:rPr>
        <w:t xml:space="preserve"> (SHF)</w:t>
      </w:r>
      <w:r>
        <w:rPr>
          <w:rFonts w:asciiTheme="minorHAnsi" w:hAnsiTheme="minorHAnsi" w:cstheme="minorHAnsi"/>
          <w:bCs/>
          <w:iCs/>
          <w:sz w:val="22"/>
          <w:szCs w:val="22"/>
        </w:rPr>
        <w:t xml:space="preserve"> </w:t>
      </w:r>
      <w:r w:rsidR="00124784">
        <w:rPr>
          <w:rFonts w:asciiTheme="minorHAnsi" w:hAnsiTheme="minorHAnsi" w:cstheme="minorHAnsi"/>
          <w:bCs/>
          <w:iCs/>
          <w:sz w:val="22"/>
          <w:szCs w:val="22"/>
        </w:rPr>
        <w:t>engaged in</w:t>
      </w:r>
      <w:r>
        <w:rPr>
          <w:rFonts w:asciiTheme="minorHAnsi" w:hAnsiTheme="minorHAnsi" w:cstheme="minorHAnsi"/>
          <w:bCs/>
          <w:iCs/>
          <w:sz w:val="22"/>
          <w:szCs w:val="22"/>
        </w:rPr>
        <w:t xml:space="preserve"> mixed agroforestry farming system</w:t>
      </w:r>
      <w:r w:rsidR="00124784">
        <w:rPr>
          <w:rFonts w:asciiTheme="minorHAnsi" w:hAnsiTheme="minorHAnsi" w:cstheme="minorHAnsi"/>
          <w:bCs/>
          <w:iCs/>
          <w:sz w:val="22"/>
          <w:szCs w:val="22"/>
        </w:rPr>
        <w:t>s</w:t>
      </w:r>
      <w:r>
        <w:rPr>
          <w:rFonts w:asciiTheme="minorHAnsi" w:hAnsiTheme="minorHAnsi" w:cstheme="minorHAnsi"/>
          <w:bCs/>
          <w:iCs/>
          <w:sz w:val="22"/>
          <w:szCs w:val="22"/>
        </w:rPr>
        <w:t xml:space="preserve"> and pastoralists</w:t>
      </w:r>
      <w:r w:rsidR="00DB0587">
        <w:rPr>
          <w:rFonts w:asciiTheme="minorHAnsi" w:hAnsiTheme="minorHAnsi" w:cstheme="minorHAnsi"/>
          <w:bCs/>
          <w:iCs/>
          <w:sz w:val="22"/>
          <w:szCs w:val="22"/>
        </w:rPr>
        <w:t xml:space="preserve"> engaged in rearing of livestock</w:t>
      </w:r>
      <w:r>
        <w:rPr>
          <w:rFonts w:asciiTheme="minorHAnsi" w:hAnsiTheme="minorHAnsi" w:cstheme="minorHAnsi"/>
          <w:bCs/>
          <w:iCs/>
          <w:sz w:val="22"/>
          <w:szCs w:val="22"/>
        </w:rPr>
        <w:t xml:space="preserve">. The project envisages improved co-management of </w:t>
      </w:r>
      <w:r w:rsidR="00BE7F4B">
        <w:rPr>
          <w:rFonts w:asciiTheme="minorHAnsi" w:hAnsiTheme="minorHAnsi" w:cstheme="minorHAnsi"/>
          <w:bCs/>
          <w:iCs/>
          <w:sz w:val="22"/>
          <w:szCs w:val="22"/>
        </w:rPr>
        <w:t xml:space="preserve">natural </w:t>
      </w:r>
      <w:r>
        <w:rPr>
          <w:rFonts w:asciiTheme="minorHAnsi" w:hAnsiTheme="minorHAnsi" w:cstheme="minorHAnsi"/>
          <w:bCs/>
          <w:iCs/>
          <w:sz w:val="22"/>
          <w:szCs w:val="22"/>
        </w:rPr>
        <w:t>resources for better climate adaptation and mitigation from improved management practices</w:t>
      </w:r>
      <w:r w:rsidR="00DB0587">
        <w:rPr>
          <w:rFonts w:asciiTheme="minorHAnsi" w:hAnsiTheme="minorHAnsi" w:cstheme="minorHAnsi"/>
          <w:bCs/>
          <w:iCs/>
          <w:sz w:val="22"/>
          <w:szCs w:val="22"/>
        </w:rPr>
        <w:t xml:space="preserve"> of forest</w:t>
      </w:r>
      <w:r w:rsidR="00824DBA">
        <w:rPr>
          <w:rFonts w:asciiTheme="minorHAnsi" w:hAnsiTheme="minorHAnsi" w:cstheme="minorHAnsi"/>
          <w:bCs/>
          <w:iCs/>
          <w:sz w:val="22"/>
          <w:szCs w:val="22"/>
        </w:rPr>
        <w:t>, farming and pasture</w:t>
      </w:r>
      <w:r w:rsidR="00DB0587">
        <w:rPr>
          <w:rFonts w:asciiTheme="minorHAnsi" w:hAnsiTheme="minorHAnsi" w:cstheme="minorHAnsi"/>
          <w:bCs/>
          <w:iCs/>
          <w:sz w:val="22"/>
          <w:szCs w:val="22"/>
        </w:rPr>
        <w:t xml:space="preserve"> areas. </w:t>
      </w:r>
    </w:p>
    <w:p w14:paraId="25150B00" w14:textId="77777777" w:rsidR="00F60730" w:rsidRPr="00F60730" w:rsidRDefault="00F60730" w:rsidP="007F0540">
      <w:pPr>
        <w:pStyle w:val="ListParagraph"/>
        <w:widowControl/>
        <w:autoSpaceDE/>
        <w:autoSpaceDN/>
        <w:adjustRightInd/>
        <w:ind w:left="0"/>
        <w:contextualSpacing w:val="0"/>
        <w:jc w:val="both"/>
        <w:rPr>
          <w:rFonts w:asciiTheme="minorHAnsi" w:hAnsiTheme="minorHAnsi" w:cstheme="minorHAnsi"/>
          <w:sz w:val="22"/>
          <w:szCs w:val="22"/>
        </w:rPr>
      </w:pPr>
      <w:r>
        <w:rPr>
          <w:rFonts w:asciiTheme="minorHAnsi" w:hAnsiTheme="minorHAnsi" w:cstheme="minorHAnsi"/>
          <w:bCs/>
          <w:iCs/>
          <w:sz w:val="22"/>
          <w:szCs w:val="22"/>
        </w:rPr>
        <w:t xml:space="preserve">    </w:t>
      </w:r>
    </w:p>
    <w:p w14:paraId="3353D864" w14:textId="52775CC6" w:rsidR="00FB2781" w:rsidRDefault="000F7A3A" w:rsidP="007F35AD">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sidRPr="00012B5A">
        <w:rPr>
          <w:rFonts w:asciiTheme="minorHAnsi" w:hAnsiTheme="minorHAnsi" w:cstheme="minorHAnsi"/>
          <w:bCs/>
          <w:iCs/>
          <w:sz w:val="22"/>
          <w:szCs w:val="22"/>
        </w:rPr>
        <w:lastRenderedPageBreak/>
        <w:t xml:space="preserve">The </w:t>
      </w:r>
      <w:r w:rsidRPr="00012B5A">
        <w:rPr>
          <w:rFonts w:asciiTheme="minorHAnsi" w:hAnsiTheme="minorHAnsi" w:cstheme="minorHAnsi"/>
          <w:sz w:val="22"/>
          <w:szCs w:val="22"/>
        </w:rPr>
        <w:t>EFA</w:t>
      </w:r>
      <w:r w:rsidRPr="00012B5A">
        <w:rPr>
          <w:rFonts w:asciiTheme="minorHAnsi" w:hAnsiTheme="minorHAnsi" w:cstheme="minorHAnsi"/>
          <w:bCs/>
          <w:iCs/>
          <w:sz w:val="22"/>
          <w:szCs w:val="22"/>
        </w:rPr>
        <w:t xml:space="preserve"> u</w:t>
      </w:r>
      <w:r w:rsidR="008C7A24">
        <w:rPr>
          <w:rFonts w:asciiTheme="minorHAnsi" w:hAnsiTheme="minorHAnsi" w:cstheme="minorHAnsi"/>
          <w:bCs/>
          <w:iCs/>
          <w:sz w:val="22"/>
          <w:szCs w:val="22"/>
        </w:rPr>
        <w:t>ses Cost-benefit Analysis (CBA)</w:t>
      </w:r>
      <w:r w:rsidRPr="00012B5A">
        <w:rPr>
          <w:rFonts w:asciiTheme="minorHAnsi" w:hAnsiTheme="minorHAnsi" w:cstheme="minorHAnsi"/>
          <w:bCs/>
          <w:iCs/>
          <w:sz w:val="22"/>
          <w:szCs w:val="22"/>
        </w:rPr>
        <w:t xml:space="preserve"> to determine whether the dollar benefits of the project are likely to outweigh do</w:t>
      </w:r>
      <w:r w:rsidR="00F1230F">
        <w:rPr>
          <w:rFonts w:asciiTheme="minorHAnsi" w:hAnsiTheme="minorHAnsi" w:cstheme="minorHAnsi"/>
          <w:bCs/>
          <w:iCs/>
          <w:sz w:val="22"/>
          <w:szCs w:val="22"/>
        </w:rPr>
        <w:t xml:space="preserve">llar costs. The CBA monetizes </w:t>
      </w:r>
      <w:r w:rsidRPr="00012B5A">
        <w:rPr>
          <w:rFonts w:asciiTheme="minorHAnsi" w:hAnsiTheme="minorHAnsi" w:cstheme="minorHAnsi"/>
          <w:bCs/>
          <w:iCs/>
          <w:sz w:val="22"/>
          <w:szCs w:val="22"/>
        </w:rPr>
        <w:t>major benefits</w:t>
      </w:r>
      <w:r w:rsidR="00F1230F">
        <w:rPr>
          <w:rFonts w:asciiTheme="minorHAnsi" w:hAnsiTheme="minorHAnsi" w:cstheme="minorHAnsi"/>
          <w:bCs/>
          <w:iCs/>
          <w:sz w:val="22"/>
          <w:szCs w:val="22"/>
        </w:rPr>
        <w:t xml:space="preserve"> and costs associated with the</w:t>
      </w:r>
      <w:r w:rsidRPr="00012B5A">
        <w:rPr>
          <w:rFonts w:asciiTheme="minorHAnsi" w:hAnsiTheme="minorHAnsi" w:cstheme="minorHAnsi"/>
          <w:bCs/>
          <w:iCs/>
          <w:sz w:val="22"/>
          <w:szCs w:val="22"/>
        </w:rPr>
        <w:t xml:space="preserve"> project, so that they can be directly compared with each other. </w:t>
      </w:r>
      <w:r w:rsidR="00B42B27">
        <w:rPr>
          <w:rFonts w:asciiTheme="minorHAnsi" w:hAnsiTheme="minorHAnsi" w:cstheme="minorHAnsi"/>
          <w:bCs/>
          <w:iCs/>
          <w:sz w:val="22"/>
          <w:szCs w:val="22"/>
        </w:rPr>
        <w:t>T</w:t>
      </w:r>
      <w:r w:rsidR="00F1230F">
        <w:rPr>
          <w:rFonts w:asciiTheme="minorHAnsi" w:hAnsiTheme="minorHAnsi" w:cstheme="minorHAnsi"/>
          <w:bCs/>
          <w:iCs/>
          <w:sz w:val="22"/>
          <w:szCs w:val="22"/>
        </w:rPr>
        <w:t xml:space="preserve">he financial </w:t>
      </w:r>
      <w:r w:rsidR="00C20F51">
        <w:rPr>
          <w:rFonts w:asciiTheme="minorHAnsi" w:hAnsiTheme="minorHAnsi" w:cstheme="minorHAnsi"/>
          <w:bCs/>
          <w:iCs/>
          <w:sz w:val="22"/>
          <w:szCs w:val="22"/>
        </w:rPr>
        <w:t xml:space="preserve">and economic </w:t>
      </w:r>
      <w:r w:rsidR="00F1230F">
        <w:rPr>
          <w:rFonts w:asciiTheme="minorHAnsi" w:hAnsiTheme="minorHAnsi" w:cstheme="minorHAnsi"/>
          <w:bCs/>
          <w:iCs/>
          <w:sz w:val="22"/>
          <w:szCs w:val="22"/>
        </w:rPr>
        <w:t>analys</w:t>
      </w:r>
      <w:r w:rsidR="00C20F51">
        <w:rPr>
          <w:rFonts w:asciiTheme="minorHAnsi" w:hAnsiTheme="minorHAnsi" w:cstheme="minorHAnsi"/>
          <w:bCs/>
          <w:iCs/>
          <w:sz w:val="22"/>
          <w:szCs w:val="22"/>
        </w:rPr>
        <w:t>e</w:t>
      </w:r>
      <w:r w:rsidR="00F1230F">
        <w:rPr>
          <w:rFonts w:asciiTheme="minorHAnsi" w:hAnsiTheme="minorHAnsi" w:cstheme="minorHAnsi"/>
          <w:bCs/>
          <w:iCs/>
          <w:sz w:val="22"/>
          <w:szCs w:val="22"/>
        </w:rPr>
        <w:t xml:space="preserve">s use regional models </w:t>
      </w:r>
      <w:r w:rsidR="00BE7F4B">
        <w:rPr>
          <w:rFonts w:asciiTheme="minorHAnsi" w:hAnsiTheme="minorHAnsi" w:cstheme="minorHAnsi"/>
          <w:bCs/>
          <w:iCs/>
          <w:sz w:val="22"/>
          <w:szCs w:val="22"/>
        </w:rPr>
        <w:t>for North &amp; West Kordofan and South Kordofan respectively</w:t>
      </w:r>
      <w:r w:rsidR="00BE7F4B">
        <w:rPr>
          <w:rStyle w:val="FootnoteReference"/>
          <w:rFonts w:asciiTheme="minorHAnsi" w:hAnsiTheme="minorHAnsi" w:cstheme="minorHAnsi"/>
          <w:bCs/>
          <w:iCs/>
          <w:sz w:val="22"/>
          <w:szCs w:val="22"/>
        </w:rPr>
        <w:footnoteReference w:id="2"/>
      </w:r>
      <w:r w:rsidR="00BE7F4B">
        <w:rPr>
          <w:rFonts w:asciiTheme="minorHAnsi" w:hAnsiTheme="minorHAnsi" w:cstheme="minorHAnsi"/>
          <w:bCs/>
          <w:iCs/>
          <w:sz w:val="22"/>
          <w:szCs w:val="22"/>
        </w:rPr>
        <w:t xml:space="preserve">, </w:t>
      </w:r>
      <w:r w:rsidR="00F1230F">
        <w:rPr>
          <w:rFonts w:asciiTheme="minorHAnsi" w:hAnsiTheme="minorHAnsi" w:cstheme="minorHAnsi"/>
          <w:bCs/>
          <w:iCs/>
          <w:sz w:val="22"/>
          <w:szCs w:val="22"/>
        </w:rPr>
        <w:t xml:space="preserve">to assess the financial </w:t>
      </w:r>
      <w:r w:rsidR="007F0540">
        <w:rPr>
          <w:rFonts w:asciiTheme="minorHAnsi" w:hAnsiTheme="minorHAnsi" w:cstheme="minorHAnsi"/>
          <w:bCs/>
          <w:iCs/>
          <w:sz w:val="22"/>
          <w:szCs w:val="22"/>
        </w:rPr>
        <w:t xml:space="preserve">and economic </w:t>
      </w:r>
      <w:r w:rsidR="00F1230F">
        <w:rPr>
          <w:rFonts w:asciiTheme="minorHAnsi" w:hAnsiTheme="minorHAnsi" w:cstheme="minorHAnsi"/>
          <w:bCs/>
          <w:iCs/>
          <w:sz w:val="22"/>
          <w:szCs w:val="22"/>
        </w:rPr>
        <w:t>viability of agroforestry systems</w:t>
      </w:r>
      <w:r w:rsidR="007F0540">
        <w:rPr>
          <w:rFonts w:asciiTheme="minorHAnsi" w:hAnsiTheme="minorHAnsi" w:cstheme="minorHAnsi"/>
          <w:bCs/>
          <w:iCs/>
          <w:sz w:val="22"/>
          <w:szCs w:val="22"/>
        </w:rPr>
        <w:t>,</w:t>
      </w:r>
      <w:r w:rsidR="00C20F51">
        <w:rPr>
          <w:rFonts w:asciiTheme="minorHAnsi" w:hAnsiTheme="minorHAnsi" w:cstheme="minorHAnsi"/>
          <w:bCs/>
          <w:iCs/>
          <w:sz w:val="22"/>
          <w:szCs w:val="22"/>
        </w:rPr>
        <w:t xml:space="preserve"> reforestation activities</w:t>
      </w:r>
      <w:r w:rsidR="00DB0587">
        <w:rPr>
          <w:rFonts w:asciiTheme="minorHAnsi" w:hAnsiTheme="minorHAnsi" w:cstheme="minorHAnsi"/>
          <w:bCs/>
          <w:iCs/>
          <w:sz w:val="22"/>
          <w:szCs w:val="22"/>
        </w:rPr>
        <w:t xml:space="preserve"> and</w:t>
      </w:r>
      <w:r w:rsidR="00C20F51">
        <w:rPr>
          <w:rFonts w:asciiTheme="minorHAnsi" w:hAnsiTheme="minorHAnsi" w:cstheme="minorHAnsi"/>
          <w:bCs/>
          <w:iCs/>
          <w:sz w:val="22"/>
          <w:szCs w:val="22"/>
        </w:rPr>
        <w:t xml:space="preserve"> rangeland </w:t>
      </w:r>
      <w:r w:rsidR="00B42B27">
        <w:rPr>
          <w:rFonts w:asciiTheme="minorHAnsi" w:hAnsiTheme="minorHAnsi" w:cstheme="minorHAnsi"/>
          <w:bCs/>
          <w:iCs/>
          <w:sz w:val="22"/>
          <w:szCs w:val="22"/>
        </w:rPr>
        <w:t>restoration,</w:t>
      </w:r>
      <w:r w:rsidR="00C20F51">
        <w:rPr>
          <w:rFonts w:asciiTheme="minorHAnsi" w:hAnsiTheme="minorHAnsi" w:cstheme="minorHAnsi"/>
          <w:bCs/>
          <w:iCs/>
          <w:sz w:val="22"/>
          <w:szCs w:val="22"/>
        </w:rPr>
        <w:t xml:space="preserve"> </w:t>
      </w:r>
      <w:r w:rsidR="007F0540">
        <w:rPr>
          <w:rFonts w:asciiTheme="minorHAnsi" w:hAnsiTheme="minorHAnsi" w:cstheme="minorHAnsi"/>
          <w:bCs/>
          <w:iCs/>
          <w:sz w:val="22"/>
          <w:szCs w:val="22"/>
        </w:rPr>
        <w:t xml:space="preserve">while </w:t>
      </w:r>
      <w:r w:rsidR="00B42B27">
        <w:rPr>
          <w:rFonts w:asciiTheme="minorHAnsi" w:hAnsiTheme="minorHAnsi" w:cstheme="minorHAnsi"/>
          <w:bCs/>
          <w:iCs/>
          <w:sz w:val="22"/>
          <w:szCs w:val="22"/>
        </w:rPr>
        <w:t>investments</w:t>
      </w:r>
      <w:r w:rsidR="00C20F51">
        <w:rPr>
          <w:rFonts w:asciiTheme="minorHAnsi" w:hAnsiTheme="minorHAnsi" w:cstheme="minorHAnsi"/>
          <w:bCs/>
          <w:iCs/>
          <w:sz w:val="22"/>
          <w:szCs w:val="22"/>
        </w:rPr>
        <w:t xml:space="preserve"> </w:t>
      </w:r>
      <w:r w:rsidR="007F0540">
        <w:rPr>
          <w:rFonts w:asciiTheme="minorHAnsi" w:hAnsiTheme="minorHAnsi" w:cstheme="minorHAnsi"/>
          <w:bCs/>
          <w:iCs/>
          <w:sz w:val="22"/>
          <w:szCs w:val="22"/>
        </w:rPr>
        <w:t xml:space="preserve">in the potential reduction in </w:t>
      </w:r>
      <w:r w:rsidR="007F0540" w:rsidRPr="0001276A">
        <w:rPr>
          <w:rFonts w:asciiTheme="minorHAnsi" w:hAnsiTheme="minorHAnsi" w:cstheme="minorHAnsi"/>
          <w:sz w:val="22"/>
          <w:szCs w:val="22"/>
        </w:rPr>
        <w:t>GHG</w:t>
      </w:r>
      <w:r w:rsidR="007F0540">
        <w:rPr>
          <w:rFonts w:asciiTheme="minorHAnsi" w:hAnsiTheme="minorHAnsi" w:cstheme="minorHAnsi"/>
          <w:bCs/>
          <w:iCs/>
          <w:sz w:val="22"/>
          <w:szCs w:val="22"/>
        </w:rPr>
        <w:t xml:space="preserve"> emissions </w:t>
      </w:r>
      <w:r w:rsidR="00C20F51">
        <w:rPr>
          <w:rFonts w:asciiTheme="minorHAnsi" w:hAnsiTheme="minorHAnsi" w:cstheme="minorHAnsi"/>
          <w:bCs/>
          <w:iCs/>
          <w:sz w:val="22"/>
          <w:szCs w:val="22"/>
        </w:rPr>
        <w:t>are accounted for using the FAO EX-ACT tool</w:t>
      </w:r>
      <w:r w:rsidR="003F5E35">
        <w:rPr>
          <w:rFonts w:asciiTheme="minorHAnsi" w:hAnsiTheme="minorHAnsi" w:cstheme="minorHAnsi"/>
          <w:bCs/>
          <w:iCs/>
          <w:sz w:val="22"/>
          <w:szCs w:val="22"/>
        </w:rPr>
        <w:t>.</w:t>
      </w:r>
      <w:r w:rsidR="00866710">
        <w:rPr>
          <w:rFonts w:asciiTheme="minorHAnsi" w:hAnsiTheme="minorHAnsi" w:cstheme="minorHAnsi"/>
          <w:bCs/>
          <w:iCs/>
          <w:sz w:val="22"/>
          <w:szCs w:val="22"/>
        </w:rPr>
        <w:t xml:space="preserve"> </w:t>
      </w:r>
      <w:bookmarkStart w:id="6" w:name="_Hlk37111249"/>
      <w:r w:rsidR="00150CBB">
        <w:rPr>
          <w:rFonts w:asciiTheme="minorHAnsi" w:hAnsiTheme="minorHAnsi" w:cstheme="minorHAnsi"/>
          <w:bCs/>
          <w:iCs/>
          <w:sz w:val="22"/>
          <w:szCs w:val="22"/>
        </w:rPr>
        <w:t>Q</w:t>
      </w:r>
      <w:r w:rsidR="00866710">
        <w:rPr>
          <w:rFonts w:asciiTheme="minorHAnsi" w:hAnsiTheme="minorHAnsi" w:cstheme="minorHAnsi"/>
          <w:bCs/>
          <w:iCs/>
          <w:sz w:val="22"/>
          <w:szCs w:val="22"/>
        </w:rPr>
        <w:t>uantified benefits from rangeland restoration include improved livestock nutrition, especially for cows</w:t>
      </w:r>
      <w:r w:rsidR="002F6C50">
        <w:rPr>
          <w:rFonts w:asciiTheme="minorHAnsi" w:hAnsiTheme="minorHAnsi" w:cstheme="minorHAnsi"/>
          <w:bCs/>
          <w:iCs/>
          <w:sz w:val="22"/>
          <w:szCs w:val="22"/>
        </w:rPr>
        <w:t>,</w:t>
      </w:r>
      <w:r w:rsidR="00866710">
        <w:rPr>
          <w:rFonts w:asciiTheme="minorHAnsi" w:hAnsiTheme="minorHAnsi" w:cstheme="minorHAnsi"/>
          <w:bCs/>
          <w:iCs/>
          <w:sz w:val="22"/>
          <w:szCs w:val="22"/>
        </w:rPr>
        <w:t xml:space="preserve"> whi</w:t>
      </w:r>
      <w:r w:rsidR="007F0540">
        <w:rPr>
          <w:rFonts w:asciiTheme="minorHAnsi" w:hAnsiTheme="minorHAnsi" w:cstheme="minorHAnsi"/>
          <w:bCs/>
          <w:iCs/>
          <w:sz w:val="22"/>
          <w:szCs w:val="22"/>
        </w:rPr>
        <w:t>ch leads to</w:t>
      </w:r>
      <w:r w:rsidR="00866710">
        <w:rPr>
          <w:rFonts w:asciiTheme="minorHAnsi" w:hAnsiTheme="minorHAnsi" w:cstheme="minorHAnsi"/>
          <w:bCs/>
          <w:iCs/>
          <w:sz w:val="22"/>
          <w:szCs w:val="22"/>
        </w:rPr>
        <w:t xml:space="preserve"> productivity increase</w:t>
      </w:r>
      <w:r w:rsidR="007F0540">
        <w:rPr>
          <w:rFonts w:asciiTheme="minorHAnsi" w:hAnsiTheme="minorHAnsi" w:cstheme="minorHAnsi"/>
          <w:bCs/>
          <w:iCs/>
          <w:sz w:val="22"/>
          <w:szCs w:val="22"/>
        </w:rPr>
        <w:t>s</w:t>
      </w:r>
      <w:r w:rsidR="00866710">
        <w:rPr>
          <w:rFonts w:asciiTheme="minorHAnsi" w:hAnsiTheme="minorHAnsi" w:cstheme="minorHAnsi"/>
          <w:bCs/>
          <w:iCs/>
          <w:sz w:val="22"/>
          <w:szCs w:val="22"/>
        </w:rPr>
        <w:t xml:space="preserve">, </w:t>
      </w:r>
      <w:r w:rsidR="007F0540">
        <w:rPr>
          <w:rFonts w:asciiTheme="minorHAnsi" w:hAnsiTheme="minorHAnsi" w:cstheme="minorHAnsi"/>
          <w:bCs/>
          <w:iCs/>
          <w:sz w:val="22"/>
          <w:szCs w:val="22"/>
        </w:rPr>
        <w:t xml:space="preserve">and </w:t>
      </w:r>
      <w:r w:rsidR="00866710">
        <w:rPr>
          <w:rFonts w:asciiTheme="minorHAnsi" w:hAnsiTheme="minorHAnsi" w:cstheme="minorHAnsi"/>
          <w:bCs/>
          <w:iCs/>
          <w:sz w:val="22"/>
          <w:szCs w:val="22"/>
        </w:rPr>
        <w:t>GHG emissions decrease</w:t>
      </w:r>
      <w:r w:rsidR="007F0540">
        <w:rPr>
          <w:rFonts w:asciiTheme="minorHAnsi" w:hAnsiTheme="minorHAnsi" w:cstheme="minorHAnsi"/>
          <w:bCs/>
          <w:iCs/>
          <w:sz w:val="22"/>
          <w:szCs w:val="22"/>
        </w:rPr>
        <w:t>s</w:t>
      </w:r>
      <w:r w:rsidR="00866710">
        <w:rPr>
          <w:rFonts w:asciiTheme="minorHAnsi" w:hAnsiTheme="minorHAnsi" w:cstheme="minorHAnsi"/>
          <w:bCs/>
          <w:iCs/>
          <w:sz w:val="22"/>
          <w:szCs w:val="22"/>
        </w:rPr>
        <w:t xml:space="preserve"> in absolute terms. </w:t>
      </w:r>
      <w:bookmarkEnd w:id="6"/>
      <w:r w:rsidR="00F1230F">
        <w:rPr>
          <w:rFonts w:asciiTheme="minorHAnsi" w:hAnsiTheme="minorHAnsi" w:cstheme="minorHAnsi"/>
          <w:bCs/>
          <w:iCs/>
          <w:sz w:val="22"/>
          <w:szCs w:val="22"/>
        </w:rPr>
        <w:t xml:space="preserve">The </w:t>
      </w:r>
      <w:r w:rsidR="00B42B27">
        <w:rPr>
          <w:rFonts w:asciiTheme="minorHAnsi" w:hAnsiTheme="minorHAnsi" w:cstheme="minorHAnsi"/>
          <w:bCs/>
          <w:iCs/>
          <w:sz w:val="22"/>
          <w:szCs w:val="22"/>
        </w:rPr>
        <w:t xml:space="preserve">CBA </w:t>
      </w:r>
      <w:r w:rsidR="00F1230F">
        <w:rPr>
          <w:rFonts w:asciiTheme="minorHAnsi" w:hAnsiTheme="minorHAnsi" w:cstheme="minorHAnsi"/>
          <w:bCs/>
          <w:iCs/>
          <w:sz w:val="22"/>
          <w:szCs w:val="22"/>
        </w:rPr>
        <w:t xml:space="preserve">compares the ‘with project’ to the </w:t>
      </w:r>
      <w:r w:rsidR="004F16CD">
        <w:rPr>
          <w:rFonts w:asciiTheme="minorHAnsi" w:hAnsiTheme="minorHAnsi" w:cstheme="minorHAnsi"/>
          <w:bCs/>
          <w:iCs/>
          <w:sz w:val="22"/>
          <w:szCs w:val="22"/>
        </w:rPr>
        <w:t>‘</w:t>
      </w:r>
      <w:r w:rsidR="00F1230F">
        <w:rPr>
          <w:rFonts w:asciiTheme="minorHAnsi" w:hAnsiTheme="minorHAnsi" w:cstheme="minorHAnsi"/>
          <w:bCs/>
          <w:iCs/>
          <w:sz w:val="22"/>
          <w:szCs w:val="22"/>
        </w:rPr>
        <w:t>without project’ scenario</w:t>
      </w:r>
      <w:r w:rsidR="00B42B27">
        <w:rPr>
          <w:rFonts w:asciiTheme="minorHAnsi" w:hAnsiTheme="minorHAnsi" w:cstheme="minorHAnsi"/>
          <w:bCs/>
          <w:iCs/>
          <w:sz w:val="22"/>
          <w:szCs w:val="22"/>
        </w:rPr>
        <w:t xml:space="preserve"> over a</w:t>
      </w:r>
      <w:r w:rsidR="009336B6">
        <w:rPr>
          <w:rFonts w:asciiTheme="minorHAnsi" w:hAnsiTheme="minorHAnsi" w:cstheme="minorHAnsi"/>
          <w:sz w:val="22"/>
          <w:szCs w:val="22"/>
        </w:rPr>
        <w:t xml:space="preserve"> </w:t>
      </w:r>
      <w:r w:rsidR="00B42B27">
        <w:rPr>
          <w:rFonts w:asciiTheme="minorHAnsi" w:hAnsiTheme="minorHAnsi" w:cstheme="minorHAnsi"/>
          <w:sz w:val="22"/>
          <w:szCs w:val="22"/>
        </w:rPr>
        <w:t>20</w:t>
      </w:r>
      <w:r w:rsidR="00B80740">
        <w:rPr>
          <w:rFonts w:asciiTheme="minorHAnsi" w:hAnsiTheme="minorHAnsi" w:cstheme="minorHAnsi"/>
          <w:sz w:val="22"/>
          <w:szCs w:val="22"/>
        </w:rPr>
        <w:t>-</w:t>
      </w:r>
      <w:r w:rsidR="00FB7C06">
        <w:rPr>
          <w:rFonts w:asciiTheme="minorHAnsi" w:hAnsiTheme="minorHAnsi" w:cstheme="minorHAnsi"/>
          <w:sz w:val="22"/>
          <w:szCs w:val="22"/>
        </w:rPr>
        <w:t>year</w:t>
      </w:r>
      <w:r w:rsidR="00B42B27">
        <w:rPr>
          <w:rFonts w:asciiTheme="minorHAnsi" w:hAnsiTheme="minorHAnsi" w:cstheme="minorHAnsi"/>
          <w:sz w:val="22"/>
          <w:szCs w:val="22"/>
        </w:rPr>
        <w:t xml:space="preserve"> timeframe</w:t>
      </w:r>
      <w:r w:rsidR="009336B6">
        <w:rPr>
          <w:rFonts w:asciiTheme="minorHAnsi" w:hAnsiTheme="minorHAnsi" w:cstheme="minorHAnsi"/>
          <w:sz w:val="22"/>
          <w:szCs w:val="22"/>
        </w:rPr>
        <w:t>,</w:t>
      </w:r>
      <w:r w:rsidR="00FB7C06">
        <w:rPr>
          <w:rFonts w:asciiTheme="minorHAnsi" w:hAnsiTheme="minorHAnsi" w:cstheme="minorHAnsi"/>
          <w:sz w:val="22"/>
          <w:szCs w:val="22"/>
        </w:rPr>
        <w:t xml:space="preserve"> </w:t>
      </w:r>
      <w:r w:rsidR="00B42B27">
        <w:rPr>
          <w:rFonts w:asciiTheme="minorHAnsi" w:hAnsiTheme="minorHAnsi" w:cstheme="minorHAnsi"/>
          <w:sz w:val="22"/>
          <w:szCs w:val="22"/>
        </w:rPr>
        <w:t xml:space="preserve">using </w:t>
      </w:r>
      <w:r w:rsidR="009336B6">
        <w:rPr>
          <w:rFonts w:asciiTheme="minorHAnsi" w:hAnsiTheme="minorHAnsi" w:cstheme="minorHAnsi"/>
          <w:sz w:val="22"/>
          <w:szCs w:val="22"/>
        </w:rPr>
        <w:t>a discount rate of 1</w:t>
      </w:r>
      <w:r w:rsidR="00C30E07">
        <w:rPr>
          <w:rFonts w:asciiTheme="minorHAnsi" w:hAnsiTheme="minorHAnsi" w:cstheme="minorHAnsi"/>
          <w:sz w:val="22"/>
          <w:szCs w:val="22"/>
        </w:rPr>
        <w:t>8</w:t>
      </w:r>
      <w:r w:rsidR="009336B6">
        <w:rPr>
          <w:rFonts w:asciiTheme="minorHAnsi" w:hAnsiTheme="minorHAnsi" w:cstheme="minorHAnsi"/>
          <w:sz w:val="22"/>
          <w:szCs w:val="22"/>
        </w:rPr>
        <w:t xml:space="preserve"> percent</w:t>
      </w:r>
      <w:r w:rsidR="00B42B27">
        <w:rPr>
          <w:rFonts w:asciiTheme="minorHAnsi" w:hAnsiTheme="minorHAnsi" w:cstheme="minorHAnsi"/>
          <w:sz w:val="22"/>
          <w:szCs w:val="22"/>
        </w:rPr>
        <w:t xml:space="preserve"> to reflect the average commercial lending rate</w:t>
      </w:r>
      <w:r w:rsidR="00083B77">
        <w:rPr>
          <w:rFonts w:asciiTheme="minorHAnsi" w:hAnsiTheme="minorHAnsi" w:cstheme="minorHAnsi"/>
          <w:sz w:val="22"/>
          <w:szCs w:val="22"/>
        </w:rPr>
        <w:t xml:space="preserve"> in Sudan</w:t>
      </w:r>
      <w:r w:rsidR="00B42B27">
        <w:rPr>
          <w:rFonts w:asciiTheme="minorHAnsi" w:hAnsiTheme="minorHAnsi" w:cstheme="minorHAnsi"/>
          <w:sz w:val="22"/>
          <w:szCs w:val="22"/>
        </w:rPr>
        <w:t xml:space="preserve">, and </w:t>
      </w:r>
      <w:r w:rsidR="00EE2B5E">
        <w:rPr>
          <w:rFonts w:asciiTheme="minorHAnsi" w:hAnsiTheme="minorHAnsi" w:cstheme="minorHAnsi"/>
          <w:sz w:val="22"/>
          <w:szCs w:val="22"/>
        </w:rPr>
        <w:t>10</w:t>
      </w:r>
      <w:r w:rsidR="00B42B27">
        <w:rPr>
          <w:rFonts w:asciiTheme="minorHAnsi" w:hAnsiTheme="minorHAnsi" w:cstheme="minorHAnsi"/>
          <w:sz w:val="22"/>
          <w:szCs w:val="22"/>
        </w:rPr>
        <w:t xml:space="preserve"> percent </w:t>
      </w:r>
      <w:r w:rsidR="002F6C50">
        <w:rPr>
          <w:rFonts w:asciiTheme="minorHAnsi" w:hAnsiTheme="minorHAnsi" w:cstheme="minorHAnsi"/>
          <w:sz w:val="22"/>
          <w:szCs w:val="22"/>
        </w:rPr>
        <w:t xml:space="preserve">for the social discount rate, </w:t>
      </w:r>
      <w:r w:rsidR="00C30E07">
        <w:rPr>
          <w:rFonts w:asciiTheme="minorHAnsi" w:hAnsiTheme="minorHAnsi" w:cstheme="minorHAnsi"/>
          <w:sz w:val="22"/>
          <w:szCs w:val="22"/>
        </w:rPr>
        <w:t>used by the GCF for related investments</w:t>
      </w:r>
      <w:r w:rsidR="00B42B27">
        <w:rPr>
          <w:rFonts w:asciiTheme="minorHAnsi" w:hAnsiTheme="minorHAnsi" w:cstheme="minorHAnsi"/>
          <w:sz w:val="22"/>
          <w:szCs w:val="22"/>
        </w:rPr>
        <w:t xml:space="preserve">. </w:t>
      </w:r>
      <w:r w:rsidR="00FB2781">
        <w:rPr>
          <w:rFonts w:asciiTheme="minorHAnsi" w:hAnsiTheme="minorHAnsi" w:cstheme="minorHAnsi"/>
          <w:sz w:val="22"/>
          <w:szCs w:val="22"/>
        </w:rPr>
        <w:t>T</w:t>
      </w:r>
      <w:r w:rsidR="003F5E35">
        <w:rPr>
          <w:rFonts w:asciiTheme="minorHAnsi" w:hAnsiTheme="minorHAnsi" w:cstheme="minorHAnsi"/>
          <w:sz w:val="22"/>
          <w:szCs w:val="22"/>
        </w:rPr>
        <w:t>he analys</w:t>
      </w:r>
      <w:r w:rsidR="00304E6C">
        <w:rPr>
          <w:rFonts w:asciiTheme="minorHAnsi" w:hAnsiTheme="minorHAnsi" w:cstheme="minorHAnsi"/>
          <w:sz w:val="22"/>
          <w:szCs w:val="22"/>
        </w:rPr>
        <w:t>i</w:t>
      </w:r>
      <w:r w:rsidR="003F5E35">
        <w:rPr>
          <w:rFonts w:asciiTheme="minorHAnsi" w:hAnsiTheme="minorHAnsi" w:cstheme="minorHAnsi"/>
          <w:sz w:val="22"/>
          <w:szCs w:val="22"/>
        </w:rPr>
        <w:t xml:space="preserve">s </w:t>
      </w:r>
      <w:proofErr w:type="gramStart"/>
      <w:r w:rsidR="00FB2781">
        <w:rPr>
          <w:rFonts w:asciiTheme="minorHAnsi" w:hAnsiTheme="minorHAnsi" w:cstheme="minorHAnsi"/>
          <w:sz w:val="22"/>
          <w:szCs w:val="22"/>
        </w:rPr>
        <w:t xml:space="preserve">assumes </w:t>
      </w:r>
      <w:r w:rsidR="00905F12">
        <w:rPr>
          <w:rFonts w:asciiTheme="minorHAnsi" w:hAnsiTheme="minorHAnsi" w:cstheme="minorHAnsi"/>
          <w:sz w:val="22"/>
          <w:szCs w:val="22"/>
        </w:rPr>
        <w:t xml:space="preserve"> a</w:t>
      </w:r>
      <w:r w:rsidR="007F0540">
        <w:rPr>
          <w:rFonts w:asciiTheme="minorHAnsi" w:hAnsiTheme="minorHAnsi" w:cstheme="minorHAnsi"/>
          <w:sz w:val="22"/>
          <w:szCs w:val="22"/>
        </w:rPr>
        <w:t>n</w:t>
      </w:r>
      <w:proofErr w:type="gramEnd"/>
      <w:r w:rsidR="00905F12">
        <w:rPr>
          <w:rFonts w:asciiTheme="minorHAnsi" w:hAnsiTheme="minorHAnsi" w:cstheme="minorHAnsi"/>
          <w:sz w:val="22"/>
          <w:szCs w:val="22"/>
        </w:rPr>
        <w:t xml:space="preserve"> </w:t>
      </w:r>
      <w:r w:rsidR="00FB2781">
        <w:rPr>
          <w:rFonts w:asciiTheme="minorHAnsi" w:hAnsiTheme="minorHAnsi" w:cstheme="minorHAnsi"/>
          <w:sz w:val="22"/>
          <w:szCs w:val="22"/>
        </w:rPr>
        <w:t xml:space="preserve">initial </w:t>
      </w:r>
      <w:r w:rsidR="00905F12">
        <w:rPr>
          <w:rFonts w:asciiTheme="minorHAnsi" w:hAnsiTheme="minorHAnsi" w:cstheme="minorHAnsi"/>
          <w:sz w:val="22"/>
          <w:szCs w:val="22"/>
        </w:rPr>
        <w:t xml:space="preserve">adoption rate of </w:t>
      </w:r>
      <w:r w:rsidR="007F0540">
        <w:rPr>
          <w:rFonts w:asciiTheme="minorHAnsi" w:hAnsiTheme="minorHAnsi" w:cstheme="minorHAnsi"/>
          <w:sz w:val="22"/>
          <w:szCs w:val="22"/>
        </w:rPr>
        <w:t>10</w:t>
      </w:r>
      <w:r w:rsidR="00866710">
        <w:rPr>
          <w:rFonts w:asciiTheme="minorHAnsi" w:hAnsiTheme="minorHAnsi" w:cstheme="minorHAnsi"/>
          <w:sz w:val="22"/>
          <w:szCs w:val="22"/>
        </w:rPr>
        <w:t>0</w:t>
      </w:r>
      <w:r w:rsidR="00905F12">
        <w:rPr>
          <w:rFonts w:asciiTheme="minorHAnsi" w:hAnsiTheme="minorHAnsi" w:cstheme="minorHAnsi"/>
          <w:sz w:val="22"/>
          <w:szCs w:val="22"/>
        </w:rPr>
        <w:t xml:space="preserve"> percent</w:t>
      </w:r>
      <w:r w:rsidR="007F0540">
        <w:rPr>
          <w:rFonts w:asciiTheme="minorHAnsi" w:hAnsiTheme="minorHAnsi" w:cstheme="minorHAnsi"/>
          <w:sz w:val="22"/>
          <w:szCs w:val="22"/>
        </w:rPr>
        <w:t xml:space="preserve"> of the target numbers</w:t>
      </w:r>
      <w:r w:rsidR="00905F12">
        <w:rPr>
          <w:rFonts w:asciiTheme="minorHAnsi" w:hAnsiTheme="minorHAnsi" w:cstheme="minorHAnsi"/>
          <w:sz w:val="22"/>
          <w:szCs w:val="22"/>
        </w:rPr>
        <w:t xml:space="preserve">, </w:t>
      </w:r>
      <w:r w:rsidR="00FB2781">
        <w:rPr>
          <w:rFonts w:asciiTheme="minorHAnsi" w:hAnsiTheme="minorHAnsi" w:cstheme="minorHAnsi"/>
          <w:sz w:val="22"/>
          <w:szCs w:val="22"/>
        </w:rPr>
        <w:t>followed by drop-out rates of around 20 percent, thereby arriving at an adoption rate of round 80 percent</w:t>
      </w:r>
      <w:r w:rsidR="007A2132">
        <w:rPr>
          <w:rStyle w:val="FootnoteReference"/>
          <w:rFonts w:asciiTheme="minorHAnsi" w:hAnsiTheme="minorHAnsi" w:cstheme="minorHAnsi"/>
          <w:sz w:val="22"/>
          <w:szCs w:val="22"/>
        </w:rPr>
        <w:footnoteReference w:id="3"/>
      </w:r>
      <w:r w:rsidR="007F35AD">
        <w:rPr>
          <w:rFonts w:asciiTheme="minorHAnsi" w:hAnsiTheme="minorHAnsi" w:cstheme="minorHAnsi"/>
          <w:sz w:val="22"/>
          <w:szCs w:val="22"/>
        </w:rPr>
        <w:t>.</w:t>
      </w:r>
      <w:r w:rsidR="00905F12">
        <w:rPr>
          <w:rFonts w:asciiTheme="minorHAnsi" w:hAnsiTheme="minorHAnsi" w:cstheme="minorHAnsi"/>
          <w:sz w:val="22"/>
          <w:szCs w:val="22"/>
        </w:rPr>
        <w:t xml:space="preserve"> </w:t>
      </w:r>
    </w:p>
    <w:p w14:paraId="32A1428E" w14:textId="77777777" w:rsidR="00FB2781" w:rsidRDefault="00FB2781" w:rsidP="00281552">
      <w:pPr>
        <w:pStyle w:val="ListParagraph"/>
        <w:widowControl/>
        <w:autoSpaceDE/>
        <w:autoSpaceDN/>
        <w:adjustRightInd/>
        <w:ind w:left="0"/>
        <w:contextualSpacing w:val="0"/>
        <w:jc w:val="both"/>
        <w:rPr>
          <w:rFonts w:asciiTheme="minorHAnsi" w:hAnsiTheme="minorHAnsi" w:cstheme="minorHAnsi"/>
          <w:sz w:val="22"/>
          <w:szCs w:val="22"/>
        </w:rPr>
      </w:pPr>
    </w:p>
    <w:p w14:paraId="6F830D56" w14:textId="778EF319" w:rsidR="004957F3" w:rsidRDefault="00780091" w:rsidP="007F35AD">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sidRPr="007F35AD">
        <w:rPr>
          <w:rFonts w:asciiTheme="minorHAnsi" w:hAnsiTheme="minorHAnsi" w:cstheme="minorHAnsi"/>
          <w:sz w:val="22"/>
          <w:szCs w:val="22"/>
        </w:rPr>
        <w:t xml:space="preserve">Given the challenging </w:t>
      </w:r>
      <w:r w:rsidR="00304E6C">
        <w:rPr>
          <w:rFonts w:asciiTheme="minorHAnsi" w:hAnsiTheme="minorHAnsi" w:cstheme="minorHAnsi"/>
          <w:sz w:val="22"/>
          <w:szCs w:val="22"/>
        </w:rPr>
        <w:t>climate</w:t>
      </w:r>
      <w:r w:rsidR="00824DBA" w:rsidRPr="003F5215">
        <w:rPr>
          <w:rFonts w:asciiTheme="minorHAnsi" w:hAnsiTheme="minorHAnsi" w:cstheme="minorHAnsi"/>
          <w:sz w:val="22"/>
          <w:szCs w:val="22"/>
        </w:rPr>
        <w:t xml:space="preserve"> conditions</w:t>
      </w:r>
      <w:r w:rsidR="00304E6C">
        <w:rPr>
          <w:rFonts w:asciiTheme="minorHAnsi" w:hAnsiTheme="minorHAnsi" w:cstheme="minorHAnsi"/>
          <w:sz w:val="22"/>
          <w:szCs w:val="22"/>
        </w:rPr>
        <w:t xml:space="preserve"> and recurrent moisture stress suffered by crops (see Chapter 2 of Prefeasibility study)</w:t>
      </w:r>
      <w:r w:rsidR="0069149C">
        <w:rPr>
          <w:rFonts w:asciiTheme="minorHAnsi" w:hAnsiTheme="minorHAnsi" w:cstheme="minorHAnsi"/>
          <w:sz w:val="22"/>
          <w:szCs w:val="22"/>
        </w:rPr>
        <w:t>,</w:t>
      </w:r>
      <w:r w:rsidRPr="003F5215">
        <w:rPr>
          <w:rFonts w:asciiTheme="minorHAnsi" w:hAnsiTheme="minorHAnsi" w:cstheme="minorHAnsi"/>
          <w:sz w:val="22"/>
          <w:szCs w:val="22"/>
        </w:rPr>
        <w:t xml:space="preserve"> projections </w:t>
      </w:r>
      <w:r w:rsidRPr="00503283">
        <w:rPr>
          <w:rFonts w:asciiTheme="minorHAnsi" w:hAnsiTheme="minorHAnsi" w:cstheme="minorHAnsi"/>
          <w:sz w:val="22"/>
          <w:szCs w:val="22"/>
        </w:rPr>
        <w:t>on yield assume</w:t>
      </w:r>
      <w:r w:rsidRPr="007A3F60">
        <w:rPr>
          <w:rFonts w:asciiTheme="minorHAnsi" w:hAnsiTheme="minorHAnsi" w:cstheme="minorHAnsi"/>
          <w:sz w:val="22"/>
          <w:szCs w:val="22"/>
        </w:rPr>
        <w:t>s</w:t>
      </w:r>
      <w:r w:rsidR="00C10062">
        <w:rPr>
          <w:rFonts w:asciiTheme="minorHAnsi" w:hAnsiTheme="minorHAnsi" w:cstheme="minorHAnsi"/>
          <w:sz w:val="22"/>
          <w:szCs w:val="22"/>
        </w:rPr>
        <w:t xml:space="preserve"> varying levels of output, swinging between extreme weather events (total crop failure), moderate </w:t>
      </w:r>
      <w:r w:rsidR="0031688D">
        <w:rPr>
          <w:rFonts w:asciiTheme="minorHAnsi" w:hAnsiTheme="minorHAnsi" w:cstheme="minorHAnsi"/>
          <w:sz w:val="22"/>
          <w:szCs w:val="22"/>
        </w:rPr>
        <w:t>years (60</w:t>
      </w:r>
      <w:r w:rsidR="004957F3">
        <w:rPr>
          <w:rFonts w:asciiTheme="minorHAnsi" w:hAnsiTheme="minorHAnsi" w:cstheme="minorHAnsi"/>
          <w:sz w:val="22"/>
          <w:szCs w:val="22"/>
        </w:rPr>
        <w:t>-80</w:t>
      </w:r>
      <w:r w:rsidR="0031688D">
        <w:rPr>
          <w:rFonts w:asciiTheme="minorHAnsi" w:hAnsiTheme="minorHAnsi" w:cstheme="minorHAnsi"/>
          <w:sz w:val="22"/>
          <w:szCs w:val="22"/>
        </w:rPr>
        <w:t xml:space="preserve"> percent output) </w:t>
      </w:r>
      <w:r w:rsidR="00C10062">
        <w:rPr>
          <w:rFonts w:asciiTheme="minorHAnsi" w:hAnsiTheme="minorHAnsi" w:cstheme="minorHAnsi"/>
          <w:sz w:val="22"/>
          <w:szCs w:val="22"/>
        </w:rPr>
        <w:t xml:space="preserve">and good years </w:t>
      </w:r>
      <w:r w:rsidR="0031688D">
        <w:rPr>
          <w:rFonts w:asciiTheme="minorHAnsi" w:hAnsiTheme="minorHAnsi" w:cstheme="minorHAnsi"/>
          <w:sz w:val="22"/>
          <w:szCs w:val="22"/>
        </w:rPr>
        <w:t xml:space="preserve">(100 percent output) of the defined average for the state. The frequency of such events differs between </w:t>
      </w:r>
      <w:r w:rsidR="00304E6C">
        <w:rPr>
          <w:rFonts w:asciiTheme="minorHAnsi" w:hAnsiTheme="minorHAnsi" w:cstheme="minorHAnsi"/>
          <w:sz w:val="22"/>
          <w:szCs w:val="22"/>
        </w:rPr>
        <w:t>North and West Kordofan on the one hand and S</w:t>
      </w:r>
      <w:r w:rsidR="004957F3">
        <w:rPr>
          <w:rFonts w:asciiTheme="minorHAnsi" w:hAnsiTheme="minorHAnsi" w:cstheme="minorHAnsi"/>
          <w:sz w:val="22"/>
          <w:szCs w:val="22"/>
        </w:rPr>
        <w:t xml:space="preserve">outh Kordofan </w:t>
      </w:r>
      <w:r w:rsidR="00304E6C">
        <w:rPr>
          <w:rFonts w:asciiTheme="minorHAnsi" w:hAnsiTheme="minorHAnsi" w:cstheme="minorHAnsi"/>
          <w:sz w:val="22"/>
          <w:szCs w:val="22"/>
        </w:rPr>
        <w:t xml:space="preserve">on the other </w:t>
      </w:r>
      <w:r w:rsidR="004957F3">
        <w:rPr>
          <w:rFonts w:asciiTheme="minorHAnsi" w:hAnsiTheme="minorHAnsi" w:cstheme="minorHAnsi"/>
          <w:sz w:val="22"/>
          <w:szCs w:val="22"/>
        </w:rPr>
        <w:t>as per the table below.</w:t>
      </w:r>
    </w:p>
    <w:p w14:paraId="11A38E96" w14:textId="77777777" w:rsidR="004957F3" w:rsidRPr="0023582D" w:rsidRDefault="004957F3" w:rsidP="004957F3">
      <w:pPr>
        <w:pStyle w:val="Heading3"/>
        <w:jc w:val="center"/>
      </w:pPr>
      <w:bookmarkStart w:id="7" w:name="_Toc38031609"/>
      <w:r w:rsidRPr="0023582D">
        <w:t>Table</w:t>
      </w:r>
      <w:r>
        <w:t xml:space="preserve"> 2</w:t>
      </w:r>
      <w:r w:rsidRPr="0023582D">
        <w:t xml:space="preserve">: </w:t>
      </w:r>
      <w:r w:rsidR="00DA6748">
        <w:t>F</w:t>
      </w:r>
      <w:r>
        <w:t xml:space="preserve">requency and extremity </w:t>
      </w:r>
      <w:r w:rsidR="00DA6748">
        <w:t>of weather events</w:t>
      </w:r>
      <w:r w:rsidR="00E03B48">
        <w:t>, by state</w:t>
      </w:r>
      <w:bookmarkEnd w:id="7"/>
    </w:p>
    <w:p w14:paraId="4AA1CB29" w14:textId="77777777" w:rsidR="0001276A" w:rsidRPr="00946BB0" w:rsidRDefault="004957F3" w:rsidP="009B4997">
      <w:pPr>
        <w:jc w:val="center"/>
        <w:rPr>
          <w:rFonts w:cstheme="minorHAnsi"/>
        </w:rPr>
      </w:pPr>
      <w:r w:rsidRPr="004957F3">
        <w:rPr>
          <w:noProof/>
          <w:lang w:val="en-GB" w:eastAsia="en-GB"/>
        </w:rPr>
        <w:drawing>
          <wp:inline distT="0" distB="0" distL="0" distR="0" wp14:anchorId="0CE2F459" wp14:editId="79C4A975">
            <wp:extent cx="4047490" cy="1685925"/>
            <wp:effectExtent l="0" t="0" r="0" b="952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7490" cy="1685925"/>
                    </a:xfrm>
                    <a:prstGeom prst="rect">
                      <a:avLst/>
                    </a:prstGeom>
                    <a:noFill/>
                    <a:ln>
                      <a:noFill/>
                    </a:ln>
                  </pic:spPr>
                </pic:pic>
              </a:graphicData>
            </a:graphic>
          </wp:inline>
        </w:drawing>
      </w:r>
    </w:p>
    <w:p w14:paraId="3BFBC65A" w14:textId="77777777" w:rsidR="0001276A" w:rsidRDefault="0001276A" w:rsidP="001F27AC">
      <w:pPr>
        <w:pStyle w:val="ListParagraph"/>
        <w:widowControl/>
        <w:autoSpaceDE/>
        <w:autoSpaceDN/>
        <w:adjustRightInd/>
        <w:ind w:left="0"/>
        <w:contextualSpacing w:val="0"/>
        <w:jc w:val="both"/>
        <w:rPr>
          <w:rFonts w:asciiTheme="minorHAnsi" w:hAnsiTheme="minorHAnsi" w:cstheme="minorHAnsi"/>
          <w:sz w:val="22"/>
          <w:szCs w:val="22"/>
        </w:rPr>
      </w:pPr>
    </w:p>
    <w:p w14:paraId="44F53819" w14:textId="357BC546" w:rsidR="00B20597" w:rsidRDefault="00905F12" w:rsidP="00E472A3">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bookmarkStart w:id="8" w:name="_Hlk37110397"/>
      <w:r w:rsidRPr="0001276A">
        <w:rPr>
          <w:rFonts w:asciiTheme="minorHAnsi" w:hAnsiTheme="minorHAnsi" w:cstheme="minorHAnsi"/>
          <w:sz w:val="22"/>
          <w:szCs w:val="22"/>
        </w:rPr>
        <w:t xml:space="preserve">The investments under </w:t>
      </w:r>
      <w:r w:rsidRPr="0001276A">
        <w:rPr>
          <w:rFonts w:asciiTheme="minorHAnsi" w:hAnsiTheme="minorHAnsi" w:cstheme="minorHAnsi"/>
          <w:b/>
          <w:sz w:val="22"/>
          <w:szCs w:val="22"/>
        </w:rPr>
        <w:t xml:space="preserve">Component 1: </w:t>
      </w:r>
      <w:r w:rsidR="00BB734D" w:rsidRPr="00BB734D">
        <w:rPr>
          <w:rFonts w:asciiTheme="minorHAnsi" w:hAnsiTheme="minorHAnsi" w:cstheme="minorHAnsi"/>
          <w:b/>
          <w:sz w:val="22"/>
          <w:szCs w:val="22"/>
        </w:rPr>
        <w:t xml:space="preserve">Restoration of smallholder gum agroforestry systems and improvement of gum value chain </w:t>
      </w:r>
      <w:r w:rsidRPr="0001276A">
        <w:rPr>
          <w:rFonts w:asciiTheme="minorHAnsi" w:hAnsiTheme="minorHAnsi" w:cstheme="minorHAnsi"/>
          <w:sz w:val="22"/>
          <w:szCs w:val="22"/>
        </w:rPr>
        <w:t xml:space="preserve">constitute around </w:t>
      </w:r>
      <w:r w:rsidR="00983C57">
        <w:rPr>
          <w:rFonts w:asciiTheme="minorHAnsi" w:hAnsiTheme="minorHAnsi" w:cstheme="minorHAnsi"/>
          <w:sz w:val="22"/>
          <w:szCs w:val="22"/>
        </w:rPr>
        <w:t>5</w:t>
      </w:r>
      <w:r w:rsidR="00971E54">
        <w:rPr>
          <w:rFonts w:asciiTheme="minorHAnsi" w:hAnsiTheme="minorHAnsi" w:cstheme="minorHAnsi"/>
          <w:sz w:val="22"/>
          <w:szCs w:val="22"/>
        </w:rPr>
        <w:t>6</w:t>
      </w:r>
      <w:r w:rsidRPr="0001276A">
        <w:rPr>
          <w:rFonts w:asciiTheme="minorHAnsi" w:hAnsiTheme="minorHAnsi" w:cstheme="minorHAnsi"/>
          <w:sz w:val="22"/>
          <w:szCs w:val="22"/>
        </w:rPr>
        <w:t xml:space="preserve"> percent of total project funds, with an estimated USD </w:t>
      </w:r>
      <w:r w:rsidR="00983C57">
        <w:rPr>
          <w:rFonts w:asciiTheme="minorHAnsi" w:hAnsiTheme="minorHAnsi" w:cstheme="minorHAnsi"/>
          <w:sz w:val="22"/>
          <w:szCs w:val="22"/>
        </w:rPr>
        <w:t>5</w:t>
      </w:r>
      <w:r w:rsidR="00971E54">
        <w:rPr>
          <w:rFonts w:asciiTheme="minorHAnsi" w:hAnsiTheme="minorHAnsi" w:cstheme="minorHAnsi"/>
          <w:sz w:val="22"/>
          <w:szCs w:val="22"/>
        </w:rPr>
        <w:t>.</w:t>
      </w:r>
      <w:r w:rsidR="00983C57">
        <w:rPr>
          <w:rFonts w:asciiTheme="minorHAnsi" w:hAnsiTheme="minorHAnsi" w:cstheme="minorHAnsi"/>
          <w:sz w:val="22"/>
          <w:szCs w:val="22"/>
        </w:rPr>
        <w:t>6</w:t>
      </w:r>
      <w:r w:rsidRPr="0001276A">
        <w:rPr>
          <w:rFonts w:asciiTheme="minorHAnsi" w:hAnsiTheme="minorHAnsi" w:cstheme="minorHAnsi"/>
          <w:sz w:val="22"/>
          <w:szCs w:val="22"/>
        </w:rPr>
        <w:t xml:space="preserve"> million </w:t>
      </w:r>
      <w:r w:rsidR="00D628BD">
        <w:rPr>
          <w:rFonts w:asciiTheme="minorHAnsi" w:hAnsiTheme="minorHAnsi" w:cstheme="minorHAnsi"/>
          <w:sz w:val="22"/>
          <w:szCs w:val="22"/>
        </w:rPr>
        <w:t xml:space="preserve">of </w:t>
      </w:r>
      <w:r w:rsidRPr="0001276A">
        <w:rPr>
          <w:rFonts w:asciiTheme="minorHAnsi" w:hAnsiTheme="minorHAnsi" w:cstheme="minorHAnsi"/>
          <w:sz w:val="22"/>
          <w:szCs w:val="22"/>
        </w:rPr>
        <w:t xml:space="preserve">allocated </w:t>
      </w:r>
      <w:r w:rsidR="00D628BD">
        <w:rPr>
          <w:rFonts w:asciiTheme="minorHAnsi" w:hAnsiTheme="minorHAnsi" w:cstheme="minorHAnsi"/>
          <w:sz w:val="22"/>
          <w:szCs w:val="22"/>
        </w:rPr>
        <w:t xml:space="preserve">funds </w:t>
      </w:r>
      <w:r w:rsidRPr="0001276A">
        <w:rPr>
          <w:rFonts w:asciiTheme="minorHAnsi" w:hAnsiTheme="minorHAnsi" w:cstheme="minorHAnsi"/>
          <w:sz w:val="22"/>
          <w:szCs w:val="22"/>
        </w:rPr>
        <w:t xml:space="preserve">for the agroforestry systems </w:t>
      </w:r>
      <w:r w:rsidR="00304E6C">
        <w:rPr>
          <w:rFonts w:asciiTheme="minorHAnsi" w:hAnsiTheme="minorHAnsi" w:cstheme="minorHAnsi"/>
          <w:sz w:val="22"/>
          <w:szCs w:val="22"/>
        </w:rPr>
        <w:t xml:space="preserve">restoration </w:t>
      </w:r>
      <w:r w:rsidR="003A73CA">
        <w:rPr>
          <w:rFonts w:asciiTheme="minorHAnsi" w:hAnsiTheme="minorHAnsi" w:cstheme="minorHAnsi"/>
          <w:sz w:val="22"/>
          <w:szCs w:val="22"/>
        </w:rPr>
        <w:t>and reforestation</w:t>
      </w:r>
      <w:r w:rsidR="00304E6C">
        <w:rPr>
          <w:rFonts w:asciiTheme="minorHAnsi" w:hAnsiTheme="minorHAnsi" w:cstheme="minorHAnsi"/>
          <w:sz w:val="22"/>
          <w:szCs w:val="22"/>
        </w:rPr>
        <w:t xml:space="preserve"> and smallholder gum producer group support</w:t>
      </w:r>
      <w:r w:rsidR="00FE7B73">
        <w:rPr>
          <w:rFonts w:asciiTheme="minorHAnsi" w:hAnsiTheme="minorHAnsi" w:cstheme="minorHAnsi"/>
          <w:sz w:val="22"/>
          <w:szCs w:val="22"/>
        </w:rPr>
        <w:t>,</w:t>
      </w:r>
      <w:r w:rsidR="003A73CA">
        <w:rPr>
          <w:rFonts w:asciiTheme="minorHAnsi" w:hAnsiTheme="minorHAnsi" w:cstheme="minorHAnsi"/>
          <w:sz w:val="22"/>
          <w:szCs w:val="22"/>
        </w:rPr>
        <w:t xml:space="preserve"> of which </w:t>
      </w:r>
      <w:r w:rsidR="00983C57">
        <w:rPr>
          <w:rFonts w:asciiTheme="minorHAnsi" w:hAnsiTheme="minorHAnsi" w:cstheme="minorHAnsi"/>
          <w:sz w:val="22"/>
          <w:szCs w:val="22"/>
        </w:rPr>
        <w:t>100</w:t>
      </w:r>
      <w:r w:rsidR="00FE7B73">
        <w:rPr>
          <w:rFonts w:asciiTheme="minorHAnsi" w:hAnsiTheme="minorHAnsi" w:cstheme="minorHAnsi"/>
          <w:sz w:val="22"/>
          <w:szCs w:val="22"/>
        </w:rPr>
        <w:t xml:space="preserve"> percent </w:t>
      </w:r>
      <w:r w:rsidR="003A73CA">
        <w:rPr>
          <w:rFonts w:asciiTheme="minorHAnsi" w:hAnsiTheme="minorHAnsi" w:cstheme="minorHAnsi"/>
          <w:sz w:val="22"/>
          <w:szCs w:val="22"/>
        </w:rPr>
        <w:t>comes from GCF funding</w:t>
      </w:r>
      <w:r w:rsidR="009856F1" w:rsidRPr="0001276A">
        <w:rPr>
          <w:rFonts w:asciiTheme="minorHAnsi" w:hAnsiTheme="minorHAnsi" w:cstheme="minorHAnsi"/>
          <w:sz w:val="22"/>
          <w:szCs w:val="22"/>
        </w:rPr>
        <w:t xml:space="preserve">. </w:t>
      </w:r>
      <w:r w:rsidR="003A73CA">
        <w:rPr>
          <w:rFonts w:asciiTheme="minorHAnsi" w:hAnsiTheme="minorHAnsi" w:cstheme="minorHAnsi"/>
          <w:sz w:val="22"/>
          <w:szCs w:val="22"/>
        </w:rPr>
        <w:t xml:space="preserve">A significant portion of </w:t>
      </w:r>
      <w:r w:rsidR="00D628BD">
        <w:rPr>
          <w:rFonts w:asciiTheme="minorHAnsi" w:hAnsiTheme="minorHAnsi" w:cstheme="minorHAnsi"/>
          <w:sz w:val="22"/>
          <w:szCs w:val="22"/>
        </w:rPr>
        <w:t xml:space="preserve">the </w:t>
      </w:r>
      <w:r w:rsidR="003A73CA">
        <w:rPr>
          <w:rFonts w:asciiTheme="minorHAnsi" w:hAnsiTheme="minorHAnsi" w:cstheme="minorHAnsi"/>
          <w:sz w:val="22"/>
          <w:szCs w:val="22"/>
        </w:rPr>
        <w:t>GCF funding wi</w:t>
      </w:r>
      <w:r w:rsidR="00D628BD">
        <w:rPr>
          <w:rFonts w:asciiTheme="minorHAnsi" w:hAnsiTheme="minorHAnsi" w:cstheme="minorHAnsi"/>
          <w:sz w:val="22"/>
          <w:szCs w:val="22"/>
        </w:rPr>
        <w:t>ll go to financing direct field-</w:t>
      </w:r>
      <w:r w:rsidR="003A73CA">
        <w:rPr>
          <w:rFonts w:asciiTheme="minorHAnsi" w:hAnsiTheme="minorHAnsi" w:cstheme="minorHAnsi"/>
          <w:sz w:val="22"/>
          <w:szCs w:val="22"/>
        </w:rPr>
        <w:t xml:space="preserve">level investments, with an estimated USD </w:t>
      </w:r>
      <w:r w:rsidR="00983C57">
        <w:rPr>
          <w:rFonts w:asciiTheme="minorHAnsi" w:hAnsiTheme="minorHAnsi" w:cstheme="minorHAnsi"/>
          <w:sz w:val="22"/>
          <w:szCs w:val="22"/>
        </w:rPr>
        <w:t>2</w:t>
      </w:r>
      <w:r w:rsidR="003A73CA">
        <w:rPr>
          <w:rFonts w:asciiTheme="minorHAnsi" w:hAnsiTheme="minorHAnsi" w:cstheme="minorHAnsi"/>
          <w:sz w:val="22"/>
          <w:szCs w:val="22"/>
        </w:rPr>
        <w:t>.</w:t>
      </w:r>
      <w:r w:rsidR="001F6D53">
        <w:rPr>
          <w:rFonts w:asciiTheme="minorHAnsi" w:hAnsiTheme="minorHAnsi" w:cstheme="minorHAnsi"/>
          <w:sz w:val="22"/>
          <w:szCs w:val="22"/>
        </w:rPr>
        <w:t>53</w:t>
      </w:r>
      <w:r w:rsidR="003A73CA">
        <w:rPr>
          <w:rFonts w:asciiTheme="minorHAnsi" w:hAnsiTheme="minorHAnsi" w:cstheme="minorHAnsi"/>
          <w:sz w:val="22"/>
          <w:szCs w:val="22"/>
        </w:rPr>
        <w:t xml:space="preserve"> million</w:t>
      </w:r>
      <w:r w:rsidR="00780091">
        <w:rPr>
          <w:rFonts w:asciiTheme="minorHAnsi" w:hAnsiTheme="minorHAnsi" w:cstheme="minorHAnsi"/>
          <w:sz w:val="22"/>
          <w:szCs w:val="22"/>
        </w:rPr>
        <w:t>, under component 1</w:t>
      </w:r>
      <w:bookmarkStart w:id="9" w:name="_Hlk37110541"/>
      <w:r w:rsidR="003A73CA">
        <w:rPr>
          <w:rFonts w:asciiTheme="minorHAnsi" w:hAnsiTheme="minorHAnsi" w:cstheme="minorHAnsi"/>
          <w:sz w:val="22"/>
          <w:szCs w:val="22"/>
        </w:rPr>
        <w:t xml:space="preserve">. </w:t>
      </w:r>
      <w:bookmarkEnd w:id="8"/>
      <w:r w:rsidR="00C451ED" w:rsidRPr="0001276A">
        <w:rPr>
          <w:rFonts w:asciiTheme="minorHAnsi" w:hAnsiTheme="minorHAnsi" w:cstheme="minorHAnsi"/>
          <w:sz w:val="22"/>
          <w:szCs w:val="22"/>
        </w:rPr>
        <w:t xml:space="preserve">Investments in the densification of agroforestry and forestland areas along the gum </w:t>
      </w:r>
      <w:r w:rsidR="00E03B48">
        <w:rPr>
          <w:rFonts w:asciiTheme="minorHAnsi" w:hAnsiTheme="minorHAnsi" w:cstheme="minorHAnsi"/>
          <w:sz w:val="22"/>
          <w:szCs w:val="22"/>
        </w:rPr>
        <w:t>a</w:t>
      </w:r>
      <w:r w:rsidR="00C451ED" w:rsidRPr="0001276A">
        <w:rPr>
          <w:rFonts w:asciiTheme="minorHAnsi" w:hAnsiTheme="minorHAnsi" w:cstheme="minorHAnsi"/>
          <w:sz w:val="22"/>
          <w:szCs w:val="22"/>
        </w:rPr>
        <w:t xml:space="preserve">rabic belt, livestock corridors and rangeland </w:t>
      </w:r>
      <w:r w:rsidR="00DA4A48" w:rsidRPr="0001276A">
        <w:rPr>
          <w:rFonts w:asciiTheme="minorHAnsi" w:hAnsiTheme="minorHAnsi" w:cstheme="minorHAnsi"/>
          <w:sz w:val="22"/>
          <w:szCs w:val="22"/>
        </w:rPr>
        <w:t xml:space="preserve">areas will result in a significant increase in carbon sequestration and </w:t>
      </w:r>
      <w:r w:rsidR="00BF3420" w:rsidRPr="0001276A">
        <w:rPr>
          <w:rFonts w:asciiTheme="minorHAnsi" w:hAnsiTheme="minorHAnsi" w:cstheme="minorHAnsi"/>
          <w:sz w:val="22"/>
          <w:szCs w:val="22"/>
        </w:rPr>
        <w:t>ecosystem</w:t>
      </w:r>
      <w:r w:rsidR="00C451ED" w:rsidRPr="0001276A">
        <w:rPr>
          <w:rFonts w:asciiTheme="minorHAnsi" w:hAnsiTheme="minorHAnsi" w:cstheme="minorHAnsi"/>
          <w:sz w:val="22"/>
          <w:szCs w:val="22"/>
        </w:rPr>
        <w:t xml:space="preserve"> services</w:t>
      </w:r>
      <w:r w:rsidR="004F16CD">
        <w:rPr>
          <w:rFonts w:asciiTheme="minorHAnsi" w:hAnsiTheme="minorHAnsi" w:cstheme="minorHAnsi"/>
          <w:sz w:val="22"/>
          <w:szCs w:val="22"/>
        </w:rPr>
        <w:t>, the latter contributing directly to climate change adaptation</w:t>
      </w:r>
      <w:r w:rsidR="00DA4A48" w:rsidRPr="0001276A">
        <w:rPr>
          <w:rFonts w:asciiTheme="minorHAnsi" w:hAnsiTheme="minorHAnsi" w:cstheme="minorHAnsi"/>
          <w:sz w:val="22"/>
          <w:szCs w:val="22"/>
        </w:rPr>
        <w:t>.</w:t>
      </w:r>
      <w:r w:rsidR="00780091">
        <w:rPr>
          <w:rFonts w:asciiTheme="minorHAnsi" w:hAnsiTheme="minorHAnsi" w:cstheme="minorHAnsi"/>
          <w:sz w:val="22"/>
          <w:szCs w:val="22"/>
        </w:rPr>
        <w:t xml:space="preserve"> </w:t>
      </w:r>
      <w:r w:rsidR="004F16CD">
        <w:rPr>
          <w:rFonts w:asciiTheme="minorHAnsi" w:hAnsiTheme="minorHAnsi" w:cstheme="minorHAnsi"/>
          <w:sz w:val="22"/>
          <w:szCs w:val="22"/>
        </w:rPr>
        <w:t>Ecosystem s</w:t>
      </w:r>
      <w:r w:rsidR="00DA4A48" w:rsidRPr="0001276A">
        <w:rPr>
          <w:rFonts w:asciiTheme="minorHAnsi" w:hAnsiTheme="minorHAnsi" w:cstheme="minorHAnsi"/>
          <w:sz w:val="22"/>
          <w:szCs w:val="22"/>
        </w:rPr>
        <w:t xml:space="preserve">ervices </w:t>
      </w:r>
      <w:r w:rsidR="00C451ED" w:rsidRPr="0001276A">
        <w:rPr>
          <w:rFonts w:asciiTheme="minorHAnsi" w:hAnsiTheme="minorHAnsi" w:cstheme="minorHAnsi"/>
          <w:sz w:val="22"/>
          <w:szCs w:val="22"/>
        </w:rPr>
        <w:t xml:space="preserve">derived from investments include </w:t>
      </w:r>
      <w:r w:rsidR="009856F1" w:rsidRPr="0001276A">
        <w:rPr>
          <w:rFonts w:asciiTheme="minorHAnsi" w:hAnsiTheme="minorHAnsi" w:cstheme="minorHAnsi"/>
          <w:sz w:val="22"/>
          <w:szCs w:val="22"/>
        </w:rPr>
        <w:t xml:space="preserve">reduced wind speed, </w:t>
      </w:r>
      <w:r w:rsidR="00BF3420" w:rsidRPr="0001276A">
        <w:rPr>
          <w:rFonts w:asciiTheme="minorHAnsi" w:hAnsiTheme="minorHAnsi" w:cstheme="minorHAnsi"/>
          <w:sz w:val="22"/>
          <w:szCs w:val="22"/>
        </w:rPr>
        <w:t xml:space="preserve">increased shading, improved water </w:t>
      </w:r>
      <w:r w:rsidR="00981DEE" w:rsidRPr="0001276A">
        <w:rPr>
          <w:rFonts w:asciiTheme="minorHAnsi" w:hAnsiTheme="minorHAnsi" w:cstheme="minorHAnsi"/>
          <w:sz w:val="22"/>
          <w:szCs w:val="22"/>
        </w:rPr>
        <w:t>infiltration, reduced surface run-off,</w:t>
      </w:r>
      <w:r w:rsidR="00BF3420" w:rsidRPr="0001276A">
        <w:rPr>
          <w:rFonts w:asciiTheme="minorHAnsi" w:hAnsiTheme="minorHAnsi" w:cstheme="minorHAnsi"/>
          <w:sz w:val="22"/>
          <w:szCs w:val="22"/>
        </w:rPr>
        <w:t xml:space="preserve"> and subsequently</w:t>
      </w:r>
      <w:r w:rsidR="009856F1" w:rsidRPr="0001276A">
        <w:rPr>
          <w:rFonts w:asciiTheme="minorHAnsi" w:hAnsiTheme="minorHAnsi" w:cstheme="minorHAnsi"/>
          <w:sz w:val="22"/>
          <w:szCs w:val="22"/>
        </w:rPr>
        <w:t xml:space="preserve"> </w:t>
      </w:r>
      <w:r w:rsidR="00BF3420" w:rsidRPr="0001276A">
        <w:rPr>
          <w:rFonts w:asciiTheme="minorHAnsi" w:hAnsiTheme="minorHAnsi" w:cstheme="minorHAnsi"/>
          <w:sz w:val="22"/>
          <w:szCs w:val="22"/>
        </w:rPr>
        <w:t xml:space="preserve">reduced evapotranspiration, </w:t>
      </w:r>
      <w:r w:rsidR="00892FBC" w:rsidRPr="0001276A">
        <w:rPr>
          <w:rFonts w:asciiTheme="minorHAnsi" w:hAnsiTheme="minorHAnsi" w:cstheme="minorHAnsi"/>
          <w:sz w:val="22"/>
          <w:szCs w:val="22"/>
        </w:rPr>
        <w:t>increased</w:t>
      </w:r>
      <w:r w:rsidRPr="0001276A">
        <w:rPr>
          <w:rFonts w:asciiTheme="minorHAnsi" w:hAnsiTheme="minorHAnsi" w:cstheme="minorHAnsi"/>
          <w:sz w:val="22"/>
          <w:szCs w:val="22"/>
        </w:rPr>
        <w:t xml:space="preserve"> biomass</w:t>
      </w:r>
      <w:r w:rsidR="00DD5C58" w:rsidRPr="0001276A">
        <w:rPr>
          <w:rFonts w:asciiTheme="minorHAnsi" w:hAnsiTheme="minorHAnsi" w:cstheme="minorHAnsi"/>
          <w:sz w:val="22"/>
          <w:szCs w:val="22"/>
        </w:rPr>
        <w:t xml:space="preserve">, increased </w:t>
      </w:r>
      <w:r w:rsidR="00DA4A48" w:rsidRPr="0001276A">
        <w:rPr>
          <w:rFonts w:asciiTheme="minorHAnsi" w:hAnsiTheme="minorHAnsi" w:cstheme="minorHAnsi"/>
          <w:sz w:val="22"/>
          <w:szCs w:val="22"/>
        </w:rPr>
        <w:t>soil</w:t>
      </w:r>
      <w:r w:rsidRPr="0001276A">
        <w:rPr>
          <w:rFonts w:asciiTheme="minorHAnsi" w:hAnsiTheme="minorHAnsi" w:cstheme="minorHAnsi"/>
          <w:sz w:val="22"/>
          <w:szCs w:val="22"/>
        </w:rPr>
        <w:t xml:space="preserve"> </w:t>
      </w:r>
      <w:r w:rsidR="009856F1" w:rsidRPr="0001276A">
        <w:rPr>
          <w:rFonts w:asciiTheme="minorHAnsi" w:hAnsiTheme="minorHAnsi" w:cstheme="minorHAnsi"/>
          <w:sz w:val="22"/>
          <w:szCs w:val="22"/>
        </w:rPr>
        <w:t>nutrient</w:t>
      </w:r>
      <w:r w:rsidR="004F16CD">
        <w:rPr>
          <w:rFonts w:asciiTheme="minorHAnsi" w:hAnsiTheme="minorHAnsi" w:cstheme="minorHAnsi"/>
          <w:sz w:val="22"/>
          <w:szCs w:val="22"/>
        </w:rPr>
        <w:t xml:space="preserve"> content</w:t>
      </w:r>
      <w:r w:rsidR="00AD3889">
        <w:rPr>
          <w:rFonts w:asciiTheme="minorHAnsi" w:hAnsiTheme="minorHAnsi" w:cstheme="minorHAnsi"/>
          <w:sz w:val="22"/>
          <w:szCs w:val="22"/>
        </w:rPr>
        <w:t xml:space="preserve">, increased moisture </w:t>
      </w:r>
      <w:r w:rsidR="009856F1" w:rsidRPr="0001276A">
        <w:rPr>
          <w:rFonts w:asciiTheme="minorHAnsi" w:hAnsiTheme="minorHAnsi" w:cstheme="minorHAnsi"/>
          <w:sz w:val="22"/>
          <w:szCs w:val="22"/>
        </w:rPr>
        <w:t>retention</w:t>
      </w:r>
      <w:r w:rsidR="00DD5C58" w:rsidRPr="0001276A">
        <w:rPr>
          <w:rFonts w:asciiTheme="minorHAnsi" w:hAnsiTheme="minorHAnsi" w:cstheme="minorHAnsi"/>
          <w:sz w:val="22"/>
          <w:szCs w:val="22"/>
        </w:rPr>
        <w:t xml:space="preserve"> </w:t>
      </w:r>
      <w:r w:rsidR="00AD3889">
        <w:rPr>
          <w:rFonts w:asciiTheme="minorHAnsi" w:hAnsiTheme="minorHAnsi" w:cstheme="minorHAnsi"/>
          <w:sz w:val="22"/>
          <w:szCs w:val="22"/>
        </w:rPr>
        <w:t xml:space="preserve">through increased organic matter </w:t>
      </w:r>
      <w:r w:rsidR="00DD5C58" w:rsidRPr="0001276A">
        <w:rPr>
          <w:rFonts w:asciiTheme="minorHAnsi" w:hAnsiTheme="minorHAnsi" w:cstheme="minorHAnsi"/>
          <w:sz w:val="22"/>
          <w:szCs w:val="22"/>
        </w:rPr>
        <w:t xml:space="preserve">and </w:t>
      </w:r>
      <w:r w:rsidR="00AD3889">
        <w:rPr>
          <w:rFonts w:asciiTheme="minorHAnsi" w:hAnsiTheme="minorHAnsi" w:cstheme="minorHAnsi"/>
          <w:sz w:val="22"/>
          <w:szCs w:val="22"/>
        </w:rPr>
        <w:t xml:space="preserve">increased </w:t>
      </w:r>
      <w:r w:rsidR="004F16CD">
        <w:rPr>
          <w:rFonts w:asciiTheme="minorHAnsi" w:hAnsiTheme="minorHAnsi" w:cstheme="minorHAnsi"/>
          <w:sz w:val="22"/>
          <w:szCs w:val="22"/>
        </w:rPr>
        <w:t xml:space="preserve">crop </w:t>
      </w:r>
      <w:r w:rsidR="00DD5C58" w:rsidRPr="0001276A">
        <w:rPr>
          <w:rFonts w:asciiTheme="minorHAnsi" w:hAnsiTheme="minorHAnsi" w:cstheme="minorHAnsi"/>
          <w:sz w:val="22"/>
          <w:szCs w:val="22"/>
        </w:rPr>
        <w:t>yields</w:t>
      </w:r>
      <w:r w:rsidR="00892FBC" w:rsidRPr="0001276A">
        <w:rPr>
          <w:rFonts w:asciiTheme="minorHAnsi" w:hAnsiTheme="minorHAnsi" w:cstheme="minorHAnsi"/>
          <w:sz w:val="22"/>
          <w:szCs w:val="22"/>
        </w:rPr>
        <w:t>.</w:t>
      </w:r>
      <w:bookmarkEnd w:id="9"/>
      <w:r w:rsidR="00B20597">
        <w:rPr>
          <w:rFonts w:asciiTheme="minorHAnsi" w:hAnsiTheme="minorHAnsi" w:cstheme="minorHAnsi"/>
          <w:sz w:val="22"/>
          <w:szCs w:val="22"/>
        </w:rPr>
        <w:t xml:space="preserve"> </w:t>
      </w:r>
      <w:r w:rsidR="00FB2781">
        <w:rPr>
          <w:rFonts w:asciiTheme="minorHAnsi" w:hAnsiTheme="minorHAnsi" w:cstheme="minorHAnsi"/>
          <w:sz w:val="22"/>
          <w:szCs w:val="22"/>
        </w:rPr>
        <w:t xml:space="preserve">These services are accounted for by a slower decrease of the CARD tool rates of change over the discount </w:t>
      </w:r>
      <w:r w:rsidR="00FB2781">
        <w:rPr>
          <w:rFonts w:asciiTheme="minorHAnsi" w:hAnsiTheme="minorHAnsi" w:cstheme="minorHAnsi"/>
          <w:sz w:val="22"/>
          <w:szCs w:val="22"/>
        </w:rPr>
        <w:lastRenderedPageBreak/>
        <w:t xml:space="preserve">period, at a rate of 3 </w:t>
      </w:r>
      <w:r w:rsidR="005678C5">
        <w:rPr>
          <w:rFonts w:asciiTheme="minorHAnsi" w:hAnsiTheme="minorHAnsi" w:cstheme="minorHAnsi"/>
          <w:sz w:val="22"/>
          <w:szCs w:val="22"/>
        </w:rPr>
        <w:t>percent</w:t>
      </w:r>
      <w:r w:rsidR="00FB2781">
        <w:rPr>
          <w:rFonts w:asciiTheme="minorHAnsi" w:hAnsiTheme="minorHAnsi" w:cstheme="minorHAnsi"/>
          <w:sz w:val="22"/>
          <w:szCs w:val="22"/>
        </w:rPr>
        <w:t xml:space="preserve"> per year. </w:t>
      </w:r>
      <w:r w:rsidR="00B20597">
        <w:rPr>
          <w:rFonts w:asciiTheme="minorHAnsi" w:hAnsiTheme="minorHAnsi" w:cstheme="minorHAnsi"/>
          <w:sz w:val="22"/>
          <w:szCs w:val="22"/>
        </w:rPr>
        <w:t>Additional off-site benefits exist, such as reduced damage to infrastructure from flooding</w:t>
      </w:r>
      <w:r w:rsidR="00E472A3">
        <w:rPr>
          <w:rFonts w:asciiTheme="minorHAnsi" w:hAnsiTheme="minorHAnsi" w:cstheme="minorHAnsi"/>
          <w:sz w:val="22"/>
          <w:szCs w:val="22"/>
        </w:rPr>
        <w:t>,</w:t>
      </w:r>
      <w:r w:rsidR="00B20597">
        <w:rPr>
          <w:rFonts w:asciiTheme="minorHAnsi" w:hAnsiTheme="minorHAnsi" w:cstheme="minorHAnsi"/>
          <w:sz w:val="22"/>
          <w:szCs w:val="22"/>
        </w:rPr>
        <w:t xml:space="preserve"> which are not quantified under the analysis. They result from improved water infiltration and reduced surface run-off.  </w:t>
      </w:r>
      <w:r w:rsidR="00892FBC" w:rsidRPr="0001276A">
        <w:rPr>
          <w:rFonts w:asciiTheme="minorHAnsi" w:hAnsiTheme="minorHAnsi" w:cstheme="minorHAnsi"/>
          <w:sz w:val="22"/>
          <w:szCs w:val="22"/>
        </w:rPr>
        <w:t xml:space="preserve"> </w:t>
      </w:r>
    </w:p>
    <w:p w14:paraId="0E75E2EA" w14:textId="77777777" w:rsidR="00B20597" w:rsidRPr="00A5193C" w:rsidRDefault="00B20597" w:rsidP="00A5193C">
      <w:pPr>
        <w:pStyle w:val="ListParagraph"/>
        <w:rPr>
          <w:rFonts w:asciiTheme="minorHAnsi" w:hAnsiTheme="minorHAnsi" w:cstheme="minorHAnsi"/>
          <w:sz w:val="22"/>
          <w:szCs w:val="22"/>
        </w:rPr>
      </w:pPr>
    </w:p>
    <w:p w14:paraId="5B8ED797" w14:textId="77777777" w:rsidR="005764CE" w:rsidRDefault="005843C9" w:rsidP="001F27AC">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sidRPr="0001276A">
        <w:rPr>
          <w:rFonts w:asciiTheme="minorHAnsi" w:hAnsiTheme="minorHAnsi" w:cstheme="minorHAnsi"/>
          <w:sz w:val="22"/>
          <w:szCs w:val="22"/>
        </w:rPr>
        <w:t>In areas with reforestation activities</w:t>
      </w:r>
      <w:r w:rsidR="00A275BF">
        <w:rPr>
          <w:rFonts w:asciiTheme="minorHAnsi" w:hAnsiTheme="minorHAnsi" w:cstheme="minorHAnsi"/>
          <w:sz w:val="22"/>
          <w:szCs w:val="22"/>
        </w:rPr>
        <w:t xml:space="preserve"> planting density on bare land</w:t>
      </w:r>
      <w:r w:rsidRPr="0001276A">
        <w:rPr>
          <w:rFonts w:asciiTheme="minorHAnsi" w:hAnsiTheme="minorHAnsi" w:cstheme="minorHAnsi"/>
          <w:sz w:val="22"/>
          <w:szCs w:val="22"/>
        </w:rPr>
        <w:t xml:space="preserve"> will shift from an approximate 10x10m format to a 4x5m or 6x3m layout, resulting in an additional 400 </w:t>
      </w:r>
      <w:r w:rsidR="003E7878">
        <w:rPr>
          <w:rFonts w:asciiTheme="minorHAnsi" w:hAnsiTheme="minorHAnsi" w:cstheme="minorHAnsi"/>
          <w:sz w:val="22"/>
          <w:szCs w:val="22"/>
        </w:rPr>
        <w:t xml:space="preserve">and 456 </w:t>
      </w:r>
      <w:r w:rsidRPr="0001276A">
        <w:rPr>
          <w:rFonts w:asciiTheme="minorHAnsi" w:hAnsiTheme="minorHAnsi" w:cstheme="minorHAnsi"/>
          <w:sz w:val="22"/>
          <w:szCs w:val="22"/>
        </w:rPr>
        <w:t xml:space="preserve">plus trees per hectare. </w:t>
      </w:r>
      <w:r w:rsidR="00812C05" w:rsidRPr="0001276A">
        <w:rPr>
          <w:rFonts w:asciiTheme="minorHAnsi" w:hAnsiTheme="minorHAnsi" w:cstheme="minorHAnsi"/>
          <w:sz w:val="22"/>
          <w:szCs w:val="22"/>
        </w:rPr>
        <w:t>In areas with agroforestry, the d</w:t>
      </w:r>
      <w:r w:rsidR="00892FBC" w:rsidRPr="0001276A">
        <w:rPr>
          <w:rFonts w:asciiTheme="minorHAnsi" w:hAnsiTheme="minorHAnsi" w:cstheme="minorHAnsi"/>
          <w:sz w:val="22"/>
          <w:szCs w:val="22"/>
        </w:rPr>
        <w:t xml:space="preserve">ensification </w:t>
      </w:r>
      <w:r w:rsidR="00812C05" w:rsidRPr="0001276A">
        <w:rPr>
          <w:rFonts w:asciiTheme="minorHAnsi" w:hAnsiTheme="minorHAnsi" w:cstheme="minorHAnsi"/>
          <w:sz w:val="22"/>
          <w:szCs w:val="22"/>
        </w:rPr>
        <w:t>activities will result in a shift from 8x8m to 6x6m</w:t>
      </w:r>
      <w:r w:rsidR="00B26C29">
        <w:rPr>
          <w:rFonts w:asciiTheme="minorHAnsi" w:hAnsiTheme="minorHAnsi" w:cstheme="minorHAnsi"/>
          <w:sz w:val="22"/>
          <w:szCs w:val="22"/>
        </w:rPr>
        <w:t>, or an additional 122 trees per ha</w:t>
      </w:r>
      <w:r w:rsidR="00812C05" w:rsidRPr="0001276A">
        <w:rPr>
          <w:rFonts w:asciiTheme="minorHAnsi" w:hAnsiTheme="minorHAnsi" w:cstheme="minorHAnsi"/>
          <w:sz w:val="22"/>
          <w:szCs w:val="22"/>
        </w:rPr>
        <w:t>, intercropped with field crops</w:t>
      </w:r>
      <w:r w:rsidR="003E7878">
        <w:rPr>
          <w:rFonts w:asciiTheme="minorHAnsi" w:hAnsiTheme="minorHAnsi" w:cstheme="minorHAnsi"/>
          <w:sz w:val="22"/>
          <w:szCs w:val="22"/>
        </w:rPr>
        <w:t xml:space="preserve"> over a 15</w:t>
      </w:r>
      <w:r w:rsidR="004F16CD">
        <w:rPr>
          <w:rFonts w:asciiTheme="minorHAnsi" w:hAnsiTheme="minorHAnsi" w:cstheme="minorHAnsi"/>
          <w:sz w:val="22"/>
          <w:szCs w:val="22"/>
        </w:rPr>
        <w:t>-</w:t>
      </w:r>
      <w:r w:rsidR="003E7878">
        <w:rPr>
          <w:rFonts w:asciiTheme="minorHAnsi" w:hAnsiTheme="minorHAnsi" w:cstheme="minorHAnsi"/>
          <w:sz w:val="22"/>
          <w:szCs w:val="22"/>
        </w:rPr>
        <w:t>year period and then left fallow over the remaining 5 years</w:t>
      </w:r>
      <w:r w:rsidR="00812C05" w:rsidRPr="0001276A">
        <w:rPr>
          <w:rFonts w:asciiTheme="minorHAnsi" w:hAnsiTheme="minorHAnsi" w:cstheme="minorHAnsi"/>
          <w:sz w:val="22"/>
          <w:szCs w:val="22"/>
        </w:rPr>
        <w:t>.</w:t>
      </w:r>
      <w:r w:rsidR="007A018D" w:rsidRPr="0001276A">
        <w:rPr>
          <w:rFonts w:asciiTheme="minorHAnsi" w:hAnsiTheme="minorHAnsi" w:cstheme="minorHAnsi"/>
          <w:sz w:val="22"/>
          <w:szCs w:val="22"/>
        </w:rPr>
        <w:t xml:space="preserve"> As representative models, one staple crop</w:t>
      </w:r>
      <w:r w:rsidR="00FF61C1" w:rsidRPr="0001276A">
        <w:rPr>
          <w:rFonts w:asciiTheme="minorHAnsi" w:hAnsiTheme="minorHAnsi" w:cstheme="minorHAnsi"/>
          <w:sz w:val="22"/>
          <w:szCs w:val="22"/>
        </w:rPr>
        <w:t xml:space="preserve"> model </w:t>
      </w:r>
      <w:r w:rsidR="007A018D" w:rsidRPr="0001276A">
        <w:rPr>
          <w:rFonts w:asciiTheme="minorHAnsi" w:hAnsiTheme="minorHAnsi" w:cstheme="minorHAnsi"/>
          <w:sz w:val="22"/>
          <w:szCs w:val="22"/>
        </w:rPr>
        <w:t xml:space="preserve">(millet) and one cash crop </w:t>
      </w:r>
      <w:r w:rsidR="00FF61C1" w:rsidRPr="0001276A">
        <w:rPr>
          <w:rFonts w:asciiTheme="minorHAnsi" w:hAnsiTheme="minorHAnsi" w:cstheme="minorHAnsi"/>
          <w:sz w:val="22"/>
          <w:szCs w:val="22"/>
        </w:rPr>
        <w:t xml:space="preserve">model </w:t>
      </w:r>
      <w:r w:rsidR="007A018D" w:rsidRPr="0001276A">
        <w:rPr>
          <w:rFonts w:asciiTheme="minorHAnsi" w:hAnsiTheme="minorHAnsi" w:cstheme="minorHAnsi"/>
          <w:sz w:val="22"/>
          <w:szCs w:val="22"/>
        </w:rPr>
        <w:t>(groundnut</w:t>
      </w:r>
      <w:r w:rsidR="00FF61C1" w:rsidRPr="0001276A">
        <w:rPr>
          <w:rFonts w:asciiTheme="minorHAnsi" w:hAnsiTheme="minorHAnsi" w:cstheme="minorHAnsi"/>
          <w:sz w:val="22"/>
          <w:szCs w:val="22"/>
        </w:rPr>
        <w:t>s</w:t>
      </w:r>
      <w:r w:rsidR="00536415" w:rsidRPr="0001276A">
        <w:rPr>
          <w:rFonts w:asciiTheme="minorHAnsi" w:hAnsiTheme="minorHAnsi" w:cstheme="minorHAnsi"/>
          <w:sz w:val="22"/>
          <w:szCs w:val="22"/>
        </w:rPr>
        <w:t>)</w:t>
      </w:r>
      <w:r w:rsidR="007A018D" w:rsidRPr="0001276A">
        <w:rPr>
          <w:rFonts w:asciiTheme="minorHAnsi" w:hAnsiTheme="minorHAnsi" w:cstheme="minorHAnsi"/>
          <w:sz w:val="22"/>
          <w:szCs w:val="22"/>
        </w:rPr>
        <w:t xml:space="preserve"> represent</w:t>
      </w:r>
      <w:r w:rsidR="00536415" w:rsidRPr="0001276A">
        <w:rPr>
          <w:rFonts w:asciiTheme="minorHAnsi" w:hAnsiTheme="minorHAnsi" w:cstheme="minorHAnsi"/>
          <w:sz w:val="22"/>
          <w:szCs w:val="22"/>
        </w:rPr>
        <w:t>s</w:t>
      </w:r>
      <w:r w:rsidR="007A018D" w:rsidRPr="0001276A">
        <w:rPr>
          <w:rFonts w:asciiTheme="minorHAnsi" w:hAnsiTheme="minorHAnsi" w:cstheme="minorHAnsi"/>
          <w:sz w:val="22"/>
          <w:szCs w:val="22"/>
        </w:rPr>
        <w:t xml:space="preserve"> the composition of activities within the agroforestry system. </w:t>
      </w:r>
      <w:r w:rsidR="00FF61C1" w:rsidRPr="0001276A">
        <w:rPr>
          <w:rFonts w:asciiTheme="minorHAnsi" w:hAnsiTheme="minorHAnsi" w:cstheme="minorHAnsi"/>
          <w:sz w:val="22"/>
          <w:szCs w:val="22"/>
        </w:rPr>
        <w:t>The introduction of an additional 122 trees into one hectare of land was calculated using the space and impact of a</w:t>
      </w:r>
      <w:r w:rsidR="007866DF" w:rsidRPr="0001276A">
        <w:rPr>
          <w:rFonts w:asciiTheme="minorHAnsi" w:hAnsiTheme="minorHAnsi" w:cstheme="minorHAnsi"/>
          <w:sz w:val="22"/>
          <w:szCs w:val="22"/>
        </w:rPr>
        <w:t>n</w:t>
      </w:r>
      <w:r w:rsidR="00FF61C1" w:rsidRPr="0001276A">
        <w:rPr>
          <w:rFonts w:asciiTheme="minorHAnsi" w:hAnsiTheme="minorHAnsi" w:cstheme="minorHAnsi"/>
          <w:sz w:val="22"/>
          <w:szCs w:val="22"/>
        </w:rPr>
        <w:t xml:space="preserve"> increasing tree crown on field crop production</w:t>
      </w:r>
      <w:r w:rsidR="00DE32AE">
        <w:rPr>
          <w:rFonts w:asciiTheme="minorHAnsi" w:hAnsiTheme="minorHAnsi" w:cstheme="minorHAnsi"/>
          <w:sz w:val="22"/>
          <w:szCs w:val="22"/>
        </w:rPr>
        <w:t xml:space="preserve"> </w:t>
      </w:r>
      <w:r w:rsidR="00FF61C1" w:rsidRPr="0001276A">
        <w:rPr>
          <w:rFonts w:asciiTheme="minorHAnsi" w:hAnsiTheme="minorHAnsi" w:cstheme="minorHAnsi"/>
          <w:sz w:val="22"/>
          <w:szCs w:val="22"/>
        </w:rPr>
        <w:t xml:space="preserve">over </w:t>
      </w:r>
      <w:r w:rsidR="008C2773" w:rsidRPr="0001276A">
        <w:rPr>
          <w:rFonts w:asciiTheme="minorHAnsi" w:hAnsiTheme="minorHAnsi" w:cstheme="minorHAnsi"/>
          <w:sz w:val="22"/>
          <w:szCs w:val="22"/>
        </w:rPr>
        <w:t>a</w:t>
      </w:r>
      <w:r w:rsidR="007866DF" w:rsidRPr="0001276A">
        <w:rPr>
          <w:rFonts w:asciiTheme="minorHAnsi" w:hAnsiTheme="minorHAnsi" w:cstheme="minorHAnsi"/>
          <w:sz w:val="22"/>
          <w:szCs w:val="22"/>
        </w:rPr>
        <w:t xml:space="preserve"> </w:t>
      </w:r>
      <w:r w:rsidR="00DE32AE">
        <w:rPr>
          <w:rFonts w:asciiTheme="minorHAnsi" w:hAnsiTheme="minorHAnsi" w:cstheme="minorHAnsi"/>
          <w:sz w:val="22"/>
          <w:szCs w:val="22"/>
        </w:rPr>
        <w:t>20</w:t>
      </w:r>
      <w:r w:rsidR="007866DF" w:rsidRPr="0001276A">
        <w:rPr>
          <w:rFonts w:asciiTheme="minorHAnsi" w:hAnsiTheme="minorHAnsi" w:cstheme="minorHAnsi"/>
          <w:sz w:val="22"/>
          <w:szCs w:val="22"/>
        </w:rPr>
        <w:t>-</w:t>
      </w:r>
      <w:r w:rsidR="00FF61C1" w:rsidRPr="0001276A">
        <w:rPr>
          <w:rFonts w:asciiTheme="minorHAnsi" w:hAnsiTheme="minorHAnsi" w:cstheme="minorHAnsi"/>
          <w:sz w:val="22"/>
          <w:szCs w:val="22"/>
        </w:rPr>
        <w:t>year</w:t>
      </w:r>
      <w:r w:rsidR="008C2773" w:rsidRPr="0001276A">
        <w:rPr>
          <w:rFonts w:asciiTheme="minorHAnsi" w:hAnsiTheme="minorHAnsi" w:cstheme="minorHAnsi"/>
          <w:sz w:val="22"/>
          <w:szCs w:val="22"/>
        </w:rPr>
        <w:t xml:space="preserve"> period</w:t>
      </w:r>
      <w:r w:rsidR="00D43109">
        <w:rPr>
          <w:rStyle w:val="FootnoteReference"/>
          <w:rFonts w:asciiTheme="minorHAnsi" w:hAnsiTheme="minorHAnsi" w:cstheme="minorHAnsi"/>
          <w:sz w:val="22"/>
          <w:szCs w:val="22"/>
        </w:rPr>
        <w:footnoteReference w:id="4"/>
      </w:r>
      <w:r w:rsidR="008C2773" w:rsidRPr="0001276A">
        <w:rPr>
          <w:rFonts w:asciiTheme="minorHAnsi" w:hAnsiTheme="minorHAnsi" w:cstheme="minorHAnsi"/>
          <w:sz w:val="22"/>
          <w:szCs w:val="22"/>
        </w:rPr>
        <w:t>, as was the increase in biomass services from having more trees in the field</w:t>
      </w:r>
      <w:r w:rsidR="00A649C2">
        <w:rPr>
          <w:rFonts w:asciiTheme="minorHAnsi" w:hAnsiTheme="minorHAnsi" w:cstheme="minorHAnsi"/>
          <w:sz w:val="22"/>
          <w:szCs w:val="22"/>
        </w:rPr>
        <w:t>,</w:t>
      </w:r>
      <w:r w:rsidR="007866DF" w:rsidRPr="0001276A">
        <w:rPr>
          <w:rFonts w:asciiTheme="minorHAnsi" w:hAnsiTheme="minorHAnsi" w:cstheme="minorHAnsi"/>
          <w:sz w:val="22"/>
          <w:szCs w:val="22"/>
        </w:rPr>
        <w:t xml:space="preserve"> with a positive</w:t>
      </w:r>
      <w:r w:rsidR="009979AF">
        <w:rPr>
          <w:rFonts w:asciiTheme="minorHAnsi" w:hAnsiTheme="minorHAnsi" w:cstheme="minorHAnsi"/>
          <w:sz w:val="22"/>
          <w:szCs w:val="22"/>
        </w:rPr>
        <w:t xml:space="preserve"> </w:t>
      </w:r>
      <w:r w:rsidR="00EB480E">
        <w:rPr>
          <w:rFonts w:asciiTheme="minorHAnsi" w:hAnsiTheme="minorHAnsi" w:cstheme="minorHAnsi"/>
          <w:sz w:val="22"/>
          <w:szCs w:val="22"/>
        </w:rPr>
        <w:t xml:space="preserve">annual </w:t>
      </w:r>
      <w:r w:rsidR="009979AF">
        <w:rPr>
          <w:rFonts w:asciiTheme="minorHAnsi" w:hAnsiTheme="minorHAnsi" w:cstheme="minorHAnsi"/>
          <w:sz w:val="22"/>
          <w:szCs w:val="22"/>
        </w:rPr>
        <w:t>incremental</w:t>
      </w:r>
      <w:r w:rsidR="007866DF" w:rsidRPr="0001276A">
        <w:rPr>
          <w:rFonts w:asciiTheme="minorHAnsi" w:hAnsiTheme="minorHAnsi" w:cstheme="minorHAnsi"/>
          <w:sz w:val="22"/>
          <w:szCs w:val="22"/>
        </w:rPr>
        <w:t xml:space="preserve"> 2 percent impact o</w:t>
      </w:r>
      <w:r w:rsidR="00A275BF">
        <w:rPr>
          <w:rFonts w:asciiTheme="minorHAnsi" w:hAnsiTheme="minorHAnsi" w:cstheme="minorHAnsi"/>
          <w:sz w:val="22"/>
          <w:szCs w:val="22"/>
        </w:rPr>
        <w:t>n</w:t>
      </w:r>
      <w:r w:rsidR="007866DF" w:rsidRPr="0001276A">
        <w:rPr>
          <w:rFonts w:asciiTheme="minorHAnsi" w:hAnsiTheme="minorHAnsi" w:cstheme="minorHAnsi"/>
          <w:sz w:val="22"/>
          <w:szCs w:val="22"/>
        </w:rPr>
        <w:t xml:space="preserve"> yields</w:t>
      </w:r>
      <w:r w:rsidR="00EB480E">
        <w:rPr>
          <w:rFonts w:asciiTheme="minorHAnsi" w:hAnsiTheme="minorHAnsi" w:cstheme="minorHAnsi"/>
          <w:sz w:val="22"/>
          <w:szCs w:val="22"/>
        </w:rPr>
        <w:t xml:space="preserve"> starting </w:t>
      </w:r>
      <w:r w:rsidR="00EB480E" w:rsidRPr="0001276A">
        <w:rPr>
          <w:rFonts w:asciiTheme="minorHAnsi" w:hAnsiTheme="minorHAnsi" w:cstheme="minorHAnsi"/>
          <w:sz w:val="22"/>
          <w:szCs w:val="22"/>
        </w:rPr>
        <w:t xml:space="preserve">after </w:t>
      </w:r>
      <w:r w:rsidR="00EB480E">
        <w:rPr>
          <w:rFonts w:asciiTheme="minorHAnsi" w:hAnsiTheme="minorHAnsi" w:cstheme="minorHAnsi"/>
          <w:sz w:val="22"/>
          <w:szCs w:val="22"/>
        </w:rPr>
        <w:t>5</w:t>
      </w:r>
      <w:r w:rsidR="00EB480E" w:rsidRPr="0001276A">
        <w:rPr>
          <w:rFonts w:asciiTheme="minorHAnsi" w:hAnsiTheme="minorHAnsi" w:cstheme="minorHAnsi"/>
          <w:sz w:val="22"/>
          <w:szCs w:val="22"/>
        </w:rPr>
        <w:t xml:space="preserve"> years</w:t>
      </w:r>
      <w:r w:rsidR="00EB480E">
        <w:rPr>
          <w:rFonts w:asciiTheme="minorHAnsi" w:hAnsiTheme="minorHAnsi" w:cstheme="minorHAnsi"/>
          <w:sz w:val="22"/>
          <w:szCs w:val="22"/>
        </w:rPr>
        <w:t>, when the trees have grown sufficiently to protect the crops</w:t>
      </w:r>
      <w:r w:rsidR="008C2773" w:rsidRPr="0001276A">
        <w:rPr>
          <w:rFonts w:asciiTheme="minorHAnsi" w:hAnsiTheme="minorHAnsi" w:cstheme="minorHAnsi"/>
          <w:sz w:val="22"/>
          <w:szCs w:val="22"/>
        </w:rPr>
        <w:t xml:space="preserve">. </w:t>
      </w:r>
    </w:p>
    <w:p w14:paraId="11F1989F" w14:textId="77777777" w:rsidR="00884743" w:rsidRPr="0001276A" w:rsidRDefault="00884743" w:rsidP="001F27AC">
      <w:pPr>
        <w:pStyle w:val="ListParagraph"/>
        <w:widowControl/>
        <w:autoSpaceDE/>
        <w:autoSpaceDN/>
        <w:adjustRightInd/>
        <w:ind w:left="0"/>
        <w:contextualSpacing w:val="0"/>
        <w:jc w:val="both"/>
        <w:rPr>
          <w:rFonts w:asciiTheme="minorHAnsi" w:hAnsiTheme="minorHAnsi" w:cstheme="minorHAnsi"/>
          <w:sz w:val="22"/>
          <w:szCs w:val="22"/>
        </w:rPr>
      </w:pPr>
    </w:p>
    <w:p w14:paraId="7C78BA4A" w14:textId="77777777" w:rsidR="00884743" w:rsidRPr="0023582D" w:rsidRDefault="00884743" w:rsidP="0023582D">
      <w:pPr>
        <w:pStyle w:val="Heading3"/>
        <w:jc w:val="center"/>
      </w:pPr>
      <w:bookmarkStart w:id="10" w:name="_Toc5355533"/>
      <w:bookmarkStart w:id="11" w:name="_Toc14813374"/>
      <w:bookmarkStart w:id="12" w:name="_Toc38031610"/>
      <w:r w:rsidRPr="0023582D">
        <w:t>Table</w:t>
      </w:r>
      <w:r w:rsidR="00B80740" w:rsidRPr="0023582D">
        <w:t xml:space="preserve"> </w:t>
      </w:r>
      <w:r w:rsidR="002A2F54">
        <w:t>3</w:t>
      </w:r>
      <w:r w:rsidRPr="0023582D">
        <w:t xml:space="preserve">: Densification of gum </w:t>
      </w:r>
      <w:r w:rsidR="004B1072">
        <w:t>a</w:t>
      </w:r>
      <w:r w:rsidRPr="0023582D">
        <w:t>rabic trees</w:t>
      </w:r>
      <w:bookmarkEnd w:id="10"/>
      <w:bookmarkEnd w:id="11"/>
      <w:bookmarkEnd w:id="12"/>
    </w:p>
    <w:p w14:paraId="3E8FA15E" w14:textId="77777777" w:rsidR="005764CE" w:rsidRDefault="005764CE" w:rsidP="001F27AC">
      <w:pPr>
        <w:pStyle w:val="ListParagraph"/>
        <w:widowControl/>
        <w:autoSpaceDE/>
        <w:autoSpaceDN/>
        <w:adjustRightInd/>
        <w:ind w:left="0"/>
        <w:contextualSpacing w:val="0"/>
        <w:jc w:val="center"/>
        <w:rPr>
          <w:rFonts w:asciiTheme="minorHAnsi" w:hAnsiTheme="minorHAnsi" w:cstheme="minorHAnsi"/>
          <w:sz w:val="22"/>
          <w:szCs w:val="22"/>
        </w:rPr>
      </w:pPr>
      <w:r w:rsidRPr="00130649">
        <w:rPr>
          <w:noProof/>
          <w:lang w:val="en-GB" w:eastAsia="en-GB"/>
        </w:rPr>
        <w:drawing>
          <wp:inline distT="0" distB="0" distL="0" distR="0" wp14:anchorId="08A5F760" wp14:editId="620FD9BE">
            <wp:extent cx="3880237" cy="1512321"/>
            <wp:effectExtent l="0" t="0" r="635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38361" cy="1534975"/>
                    </a:xfrm>
                    <a:prstGeom prst="rect">
                      <a:avLst/>
                    </a:prstGeom>
                    <a:noFill/>
                    <a:ln>
                      <a:noFill/>
                    </a:ln>
                  </pic:spPr>
                </pic:pic>
              </a:graphicData>
            </a:graphic>
          </wp:inline>
        </w:drawing>
      </w:r>
    </w:p>
    <w:p w14:paraId="272E6FFD" w14:textId="77777777" w:rsidR="0001276A" w:rsidRDefault="0001276A" w:rsidP="001F27AC">
      <w:pPr>
        <w:jc w:val="both"/>
        <w:rPr>
          <w:rFonts w:cstheme="minorHAnsi"/>
        </w:rPr>
      </w:pPr>
    </w:p>
    <w:p w14:paraId="3B8AF269" w14:textId="77777777" w:rsidR="00905F12" w:rsidRDefault="007866DF" w:rsidP="001F27AC">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sidRPr="0001276A">
        <w:rPr>
          <w:rFonts w:asciiTheme="minorHAnsi" w:hAnsiTheme="minorHAnsi" w:cstheme="minorHAnsi"/>
          <w:sz w:val="22"/>
          <w:szCs w:val="22"/>
        </w:rPr>
        <w:t xml:space="preserve">The analysis also benefited from the IFAD Climate Adaptation in Rural Development (CARD) Assessment Tool to forecast yields for the two field crops </w:t>
      </w:r>
      <w:r w:rsidR="00EB480E">
        <w:rPr>
          <w:rFonts w:asciiTheme="minorHAnsi" w:hAnsiTheme="minorHAnsi" w:cstheme="minorHAnsi"/>
          <w:sz w:val="22"/>
          <w:szCs w:val="22"/>
        </w:rPr>
        <w:t>taking into account predicted</w:t>
      </w:r>
      <w:r w:rsidRPr="0001276A">
        <w:rPr>
          <w:rFonts w:asciiTheme="minorHAnsi" w:hAnsiTheme="minorHAnsi" w:cstheme="minorHAnsi"/>
          <w:sz w:val="22"/>
          <w:szCs w:val="22"/>
        </w:rPr>
        <w:t xml:space="preserve"> climate change, using a pessimistic scenario</w:t>
      </w:r>
      <w:r w:rsidR="007F35AD">
        <w:rPr>
          <w:rStyle w:val="FootnoteReference"/>
          <w:rFonts w:asciiTheme="minorHAnsi" w:hAnsiTheme="minorHAnsi" w:cstheme="minorHAnsi"/>
          <w:sz w:val="22"/>
          <w:szCs w:val="22"/>
        </w:rPr>
        <w:footnoteReference w:id="5"/>
      </w:r>
      <w:r w:rsidRPr="0001276A">
        <w:rPr>
          <w:rFonts w:asciiTheme="minorHAnsi" w:hAnsiTheme="minorHAnsi" w:cstheme="minorHAnsi"/>
          <w:sz w:val="22"/>
          <w:szCs w:val="22"/>
        </w:rPr>
        <w:t xml:space="preserve"> – starting from 2021 until 2040. </w:t>
      </w:r>
    </w:p>
    <w:p w14:paraId="5C827425" w14:textId="77777777" w:rsidR="00C03C6D" w:rsidRDefault="00C03C6D" w:rsidP="001F27AC">
      <w:pPr>
        <w:pStyle w:val="ListParagraph"/>
        <w:widowControl/>
        <w:autoSpaceDE/>
        <w:autoSpaceDN/>
        <w:adjustRightInd/>
        <w:ind w:left="0"/>
        <w:contextualSpacing w:val="0"/>
        <w:jc w:val="both"/>
        <w:rPr>
          <w:rFonts w:asciiTheme="minorHAnsi" w:hAnsiTheme="minorHAnsi" w:cstheme="minorHAnsi"/>
          <w:sz w:val="22"/>
          <w:szCs w:val="22"/>
        </w:rPr>
      </w:pPr>
    </w:p>
    <w:p w14:paraId="13AE8CA8" w14:textId="77777777" w:rsidR="00884743" w:rsidRPr="0023582D" w:rsidRDefault="00884743" w:rsidP="0023582D">
      <w:pPr>
        <w:pStyle w:val="Heading3"/>
        <w:jc w:val="center"/>
      </w:pPr>
      <w:bookmarkStart w:id="13" w:name="_Toc5355534"/>
      <w:bookmarkStart w:id="14" w:name="_Toc14813375"/>
      <w:bookmarkStart w:id="15" w:name="_Toc38031611"/>
      <w:r w:rsidRPr="0023582D">
        <w:t>Chart</w:t>
      </w:r>
      <w:r w:rsidR="0023582D" w:rsidRPr="0023582D">
        <w:t xml:space="preserve"> 1</w:t>
      </w:r>
      <w:r w:rsidRPr="0023582D">
        <w:t>: Climate affected crop yield forecast, using CARD Tool, 2018=0</w:t>
      </w:r>
      <w:bookmarkEnd w:id="13"/>
      <w:bookmarkEnd w:id="14"/>
      <w:bookmarkEnd w:id="15"/>
    </w:p>
    <w:p w14:paraId="2A56BB03" w14:textId="77777777" w:rsidR="00C03C6D" w:rsidRPr="0001276A" w:rsidRDefault="003E7878" w:rsidP="001F27AC">
      <w:pPr>
        <w:pStyle w:val="ListParagraph"/>
        <w:widowControl/>
        <w:autoSpaceDE/>
        <w:autoSpaceDN/>
        <w:adjustRightInd/>
        <w:ind w:left="0"/>
        <w:contextualSpacing w:val="0"/>
        <w:jc w:val="both"/>
        <w:rPr>
          <w:rFonts w:asciiTheme="minorHAnsi" w:hAnsiTheme="minorHAnsi" w:cstheme="minorHAnsi"/>
          <w:sz w:val="22"/>
          <w:szCs w:val="22"/>
        </w:rPr>
      </w:pPr>
      <w:r w:rsidRPr="003E7878">
        <w:rPr>
          <w:noProof/>
          <w:lang w:val="en-GB" w:eastAsia="en-GB"/>
        </w:rPr>
        <w:drawing>
          <wp:inline distT="0" distB="0" distL="0" distR="0" wp14:anchorId="15212CE3" wp14:editId="34C3B24B">
            <wp:extent cx="5732145" cy="1346061"/>
            <wp:effectExtent l="0" t="0" r="1905" b="6985"/>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145" cy="1346061"/>
                    </a:xfrm>
                    <a:prstGeom prst="rect">
                      <a:avLst/>
                    </a:prstGeom>
                    <a:noFill/>
                    <a:ln>
                      <a:noFill/>
                    </a:ln>
                  </pic:spPr>
                </pic:pic>
              </a:graphicData>
            </a:graphic>
          </wp:inline>
        </w:drawing>
      </w:r>
    </w:p>
    <w:p w14:paraId="5C511B7C" w14:textId="77777777" w:rsidR="005168A2" w:rsidRDefault="003E7878" w:rsidP="009B4997">
      <w:pPr>
        <w:pStyle w:val="ListParagraph"/>
        <w:widowControl/>
        <w:autoSpaceDE/>
        <w:autoSpaceDN/>
        <w:adjustRightInd/>
        <w:ind w:left="0"/>
        <w:contextualSpacing w:val="0"/>
        <w:rPr>
          <w:rFonts w:asciiTheme="minorHAnsi" w:hAnsiTheme="minorHAnsi" w:cstheme="minorHAnsi"/>
          <w:sz w:val="22"/>
          <w:szCs w:val="22"/>
        </w:rPr>
      </w:pPr>
      <w:r w:rsidRPr="009B4997">
        <w:rPr>
          <w:rFonts w:asciiTheme="minorHAnsi" w:hAnsiTheme="minorHAnsi" w:cstheme="minorHAnsi"/>
          <w:sz w:val="16"/>
          <w:szCs w:val="22"/>
        </w:rPr>
        <w:t xml:space="preserve">Note: </w:t>
      </w:r>
      <w:r>
        <w:rPr>
          <w:rFonts w:asciiTheme="minorHAnsi" w:hAnsiTheme="minorHAnsi" w:cstheme="minorHAnsi"/>
          <w:sz w:val="16"/>
          <w:szCs w:val="22"/>
        </w:rPr>
        <w:t>Includes w</w:t>
      </w:r>
      <w:r w:rsidRPr="009B4997">
        <w:rPr>
          <w:rFonts w:asciiTheme="minorHAnsi" w:hAnsiTheme="minorHAnsi" w:cstheme="minorHAnsi"/>
          <w:sz w:val="16"/>
          <w:szCs w:val="22"/>
        </w:rPr>
        <w:t>ith and without project</w:t>
      </w:r>
      <w:r>
        <w:rPr>
          <w:rFonts w:asciiTheme="minorHAnsi" w:hAnsiTheme="minorHAnsi" w:cstheme="minorHAnsi"/>
          <w:sz w:val="16"/>
          <w:szCs w:val="22"/>
        </w:rPr>
        <w:t xml:space="preserve"> impact scenarios.</w:t>
      </w:r>
    </w:p>
    <w:p w14:paraId="2E984322" w14:textId="77777777" w:rsidR="003E7878" w:rsidRDefault="003E7878" w:rsidP="009B4997">
      <w:pPr>
        <w:pStyle w:val="ListParagraph"/>
        <w:widowControl/>
        <w:autoSpaceDE/>
        <w:autoSpaceDN/>
        <w:adjustRightInd/>
        <w:ind w:left="0"/>
        <w:contextualSpacing w:val="0"/>
        <w:rPr>
          <w:rFonts w:asciiTheme="minorHAnsi" w:hAnsiTheme="minorHAnsi" w:cstheme="minorHAnsi"/>
          <w:sz w:val="22"/>
          <w:szCs w:val="22"/>
        </w:rPr>
      </w:pPr>
    </w:p>
    <w:p w14:paraId="22543616" w14:textId="77777777" w:rsidR="00130649" w:rsidRDefault="008959CB" w:rsidP="001F27AC">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The estimated total number of trees planted </w:t>
      </w:r>
      <w:r w:rsidR="00B26C29">
        <w:rPr>
          <w:rFonts w:asciiTheme="minorHAnsi" w:hAnsiTheme="minorHAnsi" w:cstheme="minorHAnsi"/>
          <w:sz w:val="22"/>
          <w:szCs w:val="22"/>
        </w:rPr>
        <w:t xml:space="preserve">(or </w:t>
      </w:r>
      <w:r w:rsidR="00F15C1E">
        <w:rPr>
          <w:rFonts w:asciiTheme="minorHAnsi" w:hAnsiTheme="minorHAnsi" w:cstheme="minorHAnsi"/>
          <w:sz w:val="22"/>
          <w:szCs w:val="22"/>
        </w:rPr>
        <w:t xml:space="preserve">more often </w:t>
      </w:r>
      <w:r w:rsidR="00B26C29">
        <w:rPr>
          <w:rFonts w:asciiTheme="minorHAnsi" w:hAnsiTheme="minorHAnsi" w:cstheme="minorHAnsi"/>
          <w:sz w:val="22"/>
          <w:szCs w:val="22"/>
        </w:rPr>
        <w:t xml:space="preserve">seeded) </w:t>
      </w:r>
      <w:r>
        <w:rPr>
          <w:rFonts w:asciiTheme="minorHAnsi" w:hAnsiTheme="minorHAnsi" w:cstheme="minorHAnsi"/>
          <w:sz w:val="22"/>
          <w:szCs w:val="22"/>
        </w:rPr>
        <w:t xml:space="preserve">over </w:t>
      </w:r>
      <w:r w:rsidR="005168A2">
        <w:rPr>
          <w:rFonts w:asciiTheme="minorHAnsi" w:hAnsiTheme="minorHAnsi" w:cstheme="minorHAnsi"/>
          <w:sz w:val="22"/>
          <w:szCs w:val="22"/>
        </w:rPr>
        <w:t xml:space="preserve">five </w:t>
      </w:r>
      <w:r w:rsidR="009A161B">
        <w:rPr>
          <w:rFonts w:asciiTheme="minorHAnsi" w:hAnsiTheme="minorHAnsi" w:cstheme="minorHAnsi"/>
          <w:sz w:val="22"/>
          <w:szCs w:val="22"/>
        </w:rPr>
        <w:t>years is slightly over 39.3</w:t>
      </w:r>
      <w:r>
        <w:rPr>
          <w:rFonts w:asciiTheme="minorHAnsi" w:hAnsiTheme="minorHAnsi" w:cstheme="minorHAnsi"/>
          <w:sz w:val="22"/>
          <w:szCs w:val="22"/>
        </w:rPr>
        <w:t xml:space="preserve"> million across all three states</w:t>
      </w:r>
      <w:r w:rsidR="005168A2">
        <w:rPr>
          <w:rFonts w:asciiTheme="minorHAnsi" w:hAnsiTheme="minorHAnsi" w:cstheme="minorHAnsi"/>
          <w:sz w:val="22"/>
          <w:szCs w:val="22"/>
        </w:rPr>
        <w:t xml:space="preserve"> over a total of 125,000 hectares. The figure assumes a 70 percent survival rate in the first two years, with a 30 percent repla</w:t>
      </w:r>
      <w:r w:rsidR="009A161B">
        <w:rPr>
          <w:rFonts w:asciiTheme="minorHAnsi" w:hAnsiTheme="minorHAnsi" w:cstheme="minorHAnsi"/>
          <w:sz w:val="22"/>
          <w:szCs w:val="22"/>
        </w:rPr>
        <w:t xml:space="preserve">cement value </w:t>
      </w:r>
      <w:r w:rsidR="005168A2">
        <w:rPr>
          <w:rFonts w:asciiTheme="minorHAnsi" w:hAnsiTheme="minorHAnsi" w:cstheme="minorHAnsi"/>
          <w:sz w:val="22"/>
          <w:szCs w:val="22"/>
        </w:rPr>
        <w:t>in the second year</w:t>
      </w:r>
      <w:r w:rsidR="009A161B">
        <w:rPr>
          <w:rFonts w:asciiTheme="minorHAnsi" w:hAnsiTheme="minorHAnsi" w:cstheme="minorHAnsi"/>
          <w:sz w:val="22"/>
          <w:szCs w:val="22"/>
        </w:rPr>
        <w:t>,</w:t>
      </w:r>
      <w:r w:rsidR="005168A2">
        <w:rPr>
          <w:rFonts w:asciiTheme="minorHAnsi" w:hAnsiTheme="minorHAnsi" w:cstheme="minorHAnsi"/>
          <w:sz w:val="22"/>
          <w:szCs w:val="22"/>
        </w:rPr>
        <w:t xml:space="preserve"> after initial </w:t>
      </w:r>
      <w:r w:rsidR="005002A2">
        <w:rPr>
          <w:rFonts w:asciiTheme="minorHAnsi" w:hAnsiTheme="minorHAnsi" w:cstheme="minorHAnsi"/>
          <w:sz w:val="22"/>
          <w:szCs w:val="22"/>
        </w:rPr>
        <w:t>seeding</w:t>
      </w:r>
      <w:r w:rsidR="00B30936">
        <w:rPr>
          <w:rFonts w:asciiTheme="minorHAnsi" w:hAnsiTheme="minorHAnsi" w:cstheme="minorHAnsi"/>
          <w:sz w:val="22"/>
          <w:szCs w:val="22"/>
        </w:rPr>
        <w:t xml:space="preserve"> or </w:t>
      </w:r>
      <w:r w:rsidR="005168A2">
        <w:rPr>
          <w:rFonts w:asciiTheme="minorHAnsi" w:hAnsiTheme="minorHAnsi" w:cstheme="minorHAnsi"/>
          <w:sz w:val="22"/>
          <w:szCs w:val="22"/>
        </w:rPr>
        <w:t>planting.</w:t>
      </w:r>
      <w:r w:rsidR="00130649">
        <w:rPr>
          <w:rFonts w:asciiTheme="minorHAnsi" w:hAnsiTheme="minorHAnsi" w:cstheme="minorHAnsi"/>
          <w:sz w:val="22"/>
          <w:szCs w:val="22"/>
        </w:rPr>
        <w:t xml:space="preserve"> </w:t>
      </w:r>
      <w:r w:rsidR="00923622">
        <w:rPr>
          <w:rFonts w:asciiTheme="minorHAnsi" w:hAnsiTheme="minorHAnsi" w:cstheme="minorHAnsi"/>
          <w:sz w:val="22"/>
          <w:szCs w:val="22"/>
        </w:rPr>
        <w:t xml:space="preserve">The expected number of remaining trees in the ground is just above </w:t>
      </w:r>
      <w:r w:rsidR="009A161B">
        <w:rPr>
          <w:rFonts w:asciiTheme="minorHAnsi" w:hAnsiTheme="minorHAnsi" w:cstheme="minorHAnsi"/>
          <w:sz w:val="22"/>
          <w:szCs w:val="22"/>
        </w:rPr>
        <w:t>30</w:t>
      </w:r>
      <w:r w:rsidR="00923622">
        <w:rPr>
          <w:rFonts w:asciiTheme="minorHAnsi" w:hAnsiTheme="minorHAnsi" w:cstheme="minorHAnsi"/>
          <w:sz w:val="22"/>
          <w:szCs w:val="22"/>
        </w:rPr>
        <w:t xml:space="preserve"> million.</w:t>
      </w:r>
    </w:p>
    <w:p w14:paraId="13ABAF74" w14:textId="77777777" w:rsidR="00130649" w:rsidRDefault="00130649" w:rsidP="001F27AC">
      <w:pPr>
        <w:pStyle w:val="ListParagraph"/>
        <w:widowControl/>
        <w:autoSpaceDE/>
        <w:autoSpaceDN/>
        <w:adjustRightInd/>
        <w:ind w:left="0"/>
        <w:contextualSpacing w:val="0"/>
        <w:jc w:val="both"/>
        <w:rPr>
          <w:rFonts w:asciiTheme="minorHAnsi" w:hAnsiTheme="minorHAnsi" w:cstheme="minorHAnsi"/>
          <w:sz w:val="22"/>
          <w:szCs w:val="22"/>
        </w:rPr>
      </w:pPr>
    </w:p>
    <w:p w14:paraId="3C76B73A" w14:textId="77777777" w:rsidR="00130649" w:rsidRPr="0023582D" w:rsidRDefault="00130649" w:rsidP="0023582D">
      <w:pPr>
        <w:pStyle w:val="Heading3"/>
        <w:jc w:val="center"/>
      </w:pPr>
      <w:bookmarkStart w:id="16" w:name="_Toc5355535"/>
      <w:bookmarkStart w:id="17" w:name="_Toc14813376"/>
      <w:bookmarkStart w:id="18" w:name="_Toc38031612"/>
      <w:r w:rsidRPr="0023582D">
        <w:lastRenderedPageBreak/>
        <w:t xml:space="preserve">Table </w:t>
      </w:r>
      <w:r w:rsidR="002A2F54">
        <w:t>4</w:t>
      </w:r>
      <w:r w:rsidRPr="0023582D">
        <w:t xml:space="preserve">: Number of trees </w:t>
      </w:r>
      <w:r w:rsidR="00B30936">
        <w:t xml:space="preserve">seeded or </w:t>
      </w:r>
      <w:r w:rsidRPr="0023582D">
        <w:t>planted</w:t>
      </w:r>
      <w:bookmarkEnd w:id="16"/>
      <w:bookmarkEnd w:id="17"/>
      <w:bookmarkEnd w:id="18"/>
    </w:p>
    <w:p w14:paraId="31600DDA" w14:textId="77777777" w:rsidR="008959CB" w:rsidRDefault="006063F2" w:rsidP="001F27AC">
      <w:pPr>
        <w:pStyle w:val="ListParagraph"/>
        <w:widowControl/>
        <w:autoSpaceDE/>
        <w:autoSpaceDN/>
        <w:adjustRightInd/>
        <w:ind w:left="0"/>
        <w:contextualSpacing w:val="0"/>
        <w:rPr>
          <w:rFonts w:asciiTheme="minorHAnsi" w:hAnsiTheme="minorHAnsi" w:cstheme="minorHAnsi"/>
          <w:sz w:val="22"/>
          <w:szCs w:val="22"/>
        </w:rPr>
      </w:pPr>
      <w:r w:rsidRPr="006063F2">
        <w:rPr>
          <w:noProof/>
          <w:lang w:val="en-GB" w:eastAsia="en-GB"/>
        </w:rPr>
        <w:drawing>
          <wp:inline distT="0" distB="0" distL="0" distR="0" wp14:anchorId="529BB911" wp14:editId="3B17A881">
            <wp:extent cx="6001313" cy="1860605"/>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0563" cy="1869673"/>
                    </a:xfrm>
                    <a:prstGeom prst="rect">
                      <a:avLst/>
                    </a:prstGeom>
                    <a:noFill/>
                    <a:ln>
                      <a:noFill/>
                    </a:ln>
                  </pic:spPr>
                </pic:pic>
              </a:graphicData>
            </a:graphic>
          </wp:inline>
        </w:drawing>
      </w:r>
    </w:p>
    <w:p w14:paraId="4D003F9B" w14:textId="77777777" w:rsidR="006712FA" w:rsidRDefault="006712FA" w:rsidP="001F27AC">
      <w:pPr>
        <w:pStyle w:val="ListParagraph"/>
        <w:widowControl/>
        <w:autoSpaceDE/>
        <w:autoSpaceDN/>
        <w:adjustRightInd/>
        <w:ind w:left="0"/>
        <w:contextualSpacing w:val="0"/>
        <w:jc w:val="both"/>
        <w:rPr>
          <w:rFonts w:asciiTheme="minorHAnsi" w:hAnsiTheme="minorHAnsi" w:cstheme="minorHAnsi"/>
          <w:sz w:val="22"/>
          <w:szCs w:val="22"/>
        </w:rPr>
      </w:pPr>
    </w:p>
    <w:p w14:paraId="1D950E3A" w14:textId="77777777" w:rsidR="003F5E35" w:rsidRDefault="006712FA" w:rsidP="001F27AC">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The analysis</w:t>
      </w:r>
      <w:r w:rsidR="00BF3420">
        <w:rPr>
          <w:rFonts w:asciiTheme="minorHAnsi" w:hAnsiTheme="minorHAnsi" w:cstheme="minorHAnsi"/>
          <w:sz w:val="22"/>
          <w:szCs w:val="22"/>
        </w:rPr>
        <w:t xml:space="preserve"> also</w:t>
      </w:r>
      <w:r>
        <w:rPr>
          <w:rFonts w:asciiTheme="minorHAnsi" w:hAnsiTheme="minorHAnsi" w:cstheme="minorHAnsi"/>
          <w:sz w:val="22"/>
          <w:szCs w:val="22"/>
        </w:rPr>
        <w:t xml:space="preserve"> assumes better management practices in the tapping of the trees, extending the lifespan of the tree stock with the use of the </w:t>
      </w:r>
      <w:r w:rsidRPr="006712FA">
        <w:rPr>
          <w:rFonts w:asciiTheme="minorHAnsi" w:hAnsiTheme="minorHAnsi" w:cstheme="minorHAnsi"/>
          <w:i/>
          <w:sz w:val="22"/>
          <w:szCs w:val="22"/>
        </w:rPr>
        <w:t>son</w:t>
      </w:r>
      <w:r w:rsidR="00D37E5A">
        <w:rPr>
          <w:rFonts w:asciiTheme="minorHAnsi" w:hAnsiTheme="minorHAnsi" w:cstheme="minorHAnsi"/>
          <w:i/>
          <w:sz w:val="22"/>
          <w:szCs w:val="22"/>
        </w:rPr>
        <w:t>ki</w:t>
      </w:r>
      <w:r w:rsidR="00D61694">
        <w:rPr>
          <w:rStyle w:val="FootnoteReference"/>
          <w:rFonts w:asciiTheme="minorHAnsi" w:hAnsiTheme="minorHAnsi" w:cstheme="minorHAnsi"/>
          <w:i/>
          <w:sz w:val="22"/>
          <w:szCs w:val="22"/>
        </w:rPr>
        <w:footnoteReference w:id="6"/>
      </w:r>
      <w:r>
        <w:rPr>
          <w:rFonts w:asciiTheme="minorHAnsi" w:hAnsiTheme="minorHAnsi" w:cstheme="minorHAnsi"/>
          <w:sz w:val="22"/>
          <w:szCs w:val="22"/>
        </w:rPr>
        <w:t xml:space="preserve"> in place of the traditional small ax</w:t>
      </w:r>
      <w:r w:rsidR="006F039F">
        <w:rPr>
          <w:rFonts w:asciiTheme="minorHAnsi" w:hAnsiTheme="minorHAnsi" w:cstheme="minorHAnsi"/>
          <w:sz w:val="22"/>
          <w:szCs w:val="22"/>
        </w:rPr>
        <w:t xml:space="preserve">e, while increasing the </w:t>
      </w:r>
      <w:r w:rsidR="00E27D79">
        <w:rPr>
          <w:rFonts w:asciiTheme="minorHAnsi" w:hAnsiTheme="minorHAnsi" w:cstheme="minorHAnsi"/>
          <w:sz w:val="22"/>
          <w:szCs w:val="22"/>
        </w:rPr>
        <w:t xml:space="preserve">gum </w:t>
      </w:r>
      <w:r w:rsidR="006F039F">
        <w:rPr>
          <w:rFonts w:asciiTheme="minorHAnsi" w:hAnsiTheme="minorHAnsi" w:cstheme="minorHAnsi"/>
          <w:sz w:val="22"/>
          <w:szCs w:val="22"/>
        </w:rPr>
        <w:t>yield from the tree</w:t>
      </w:r>
      <w:r w:rsidR="00A67456">
        <w:rPr>
          <w:rFonts w:asciiTheme="minorHAnsi" w:hAnsiTheme="minorHAnsi" w:cstheme="minorHAnsi"/>
          <w:sz w:val="22"/>
          <w:szCs w:val="22"/>
        </w:rPr>
        <w:t xml:space="preserve"> by 30 percent</w:t>
      </w:r>
      <w:r w:rsidR="006F039F">
        <w:rPr>
          <w:rFonts w:asciiTheme="minorHAnsi" w:hAnsiTheme="minorHAnsi" w:cstheme="minorHAnsi"/>
          <w:sz w:val="22"/>
          <w:szCs w:val="22"/>
        </w:rPr>
        <w:t>.</w:t>
      </w:r>
      <w:r w:rsidR="00FD1929">
        <w:rPr>
          <w:rStyle w:val="FootnoteReference"/>
          <w:rFonts w:asciiTheme="minorHAnsi" w:hAnsiTheme="minorHAnsi" w:cstheme="minorHAnsi"/>
          <w:sz w:val="22"/>
          <w:szCs w:val="22"/>
        </w:rPr>
        <w:footnoteReference w:id="7"/>
      </w:r>
      <w:r w:rsidR="006F039F">
        <w:rPr>
          <w:rFonts w:asciiTheme="minorHAnsi" w:hAnsiTheme="minorHAnsi" w:cstheme="minorHAnsi"/>
          <w:sz w:val="22"/>
          <w:szCs w:val="22"/>
        </w:rPr>
        <w:t xml:space="preserve"> </w:t>
      </w:r>
      <w:r w:rsidR="00496846">
        <w:rPr>
          <w:rFonts w:asciiTheme="minorHAnsi" w:hAnsiTheme="minorHAnsi" w:cstheme="minorHAnsi"/>
          <w:sz w:val="22"/>
          <w:szCs w:val="22"/>
        </w:rPr>
        <w:t>Furthermore, a</w:t>
      </w:r>
      <w:r w:rsidR="00E27D79">
        <w:rPr>
          <w:rFonts w:asciiTheme="minorHAnsi" w:hAnsiTheme="minorHAnsi" w:cstheme="minorHAnsi"/>
          <w:sz w:val="22"/>
          <w:szCs w:val="22"/>
        </w:rPr>
        <w:t xml:space="preserve">n increase in the price of the gum is achieved by assisting tappers to harvest </w:t>
      </w:r>
      <w:r w:rsidR="00F15C1E">
        <w:rPr>
          <w:rFonts w:asciiTheme="minorHAnsi" w:hAnsiTheme="minorHAnsi" w:cstheme="minorHAnsi"/>
          <w:sz w:val="22"/>
          <w:szCs w:val="22"/>
        </w:rPr>
        <w:t xml:space="preserve">and condition </w:t>
      </w:r>
      <w:r w:rsidR="00E27D79">
        <w:rPr>
          <w:rFonts w:asciiTheme="minorHAnsi" w:hAnsiTheme="minorHAnsi" w:cstheme="minorHAnsi"/>
          <w:sz w:val="22"/>
          <w:szCs w:val="22"/>
        </w:rPr>
        <w:t>clean, dry gum</w:t>
      </w:r>
      <w:r w:rsidR="00ED4EBB">
        <w:rPr>
          <w:rFonts w:asciiTheme="minorHAnsi" w:hAnsiTheme="minorHAnsi" w:cstheme="minorHAnsi"/>
          <w:sz w:val="22"/>
          <w:szCs w:val="22"/>
        </w:rPr>
        <w:t xml:space="preserve">, </w:t>
      </w:r>
      <w:r w:rsidR="00F15C1E">
        <w:rPr>
          <w:rFonts w:asciiTheme="minorHAnsi" w:hAnsiTheme="minorHAnsi" w:cstheme="minorHAnsi"/>
          <w:sz w:val="22"/>
          <w:szCs w:val="22"/>
        </w:rPr>
        <w:t xml:space="preserve">leading to smallholder producers receiving </w:t>
      </w:r>
      <w:r w:rsidR="00ED4EBB">
        <w:rPr>
          <w:rFonts w:asciiTheme="minorHAnsi" w:hAnsiTheme="minorHAnsi" w:cstheme="minorHAnsi"/>
          <w:sz w:val="22"/>
          <w:szCs w:val="22"/>
        </w:rPr>
        <w:t xml:space="preserve">a </w:t>
      </w:r>
      <w:r w:rsidR="00F15C1E">
        <w:rPr>
          <w:rFonts w:asciiTheme="minorHAnsi" w:hAnsiTheme="minorHAnsi" w:cstheme="minorHAnsi"/>
          <w:sz w:val="22"/>
          <w:szCs w:val="22"/>
        </w:rPr>
        <w:t xml:space="preserve">40 per cent price </w:t>
      </w:r>
      <w:r w:rsidR="00ED4EBB">
        <w:rPr>
          <w:rFonts w:asciiTheme="minorHAnsi" w:hAnsiTheme="minorHAnsi" w:cstheme="minorHAnsi"/>
          <w:sz w:val="22"/>
          <w:szCs w:val="22"/>
        </w:rPr>
        <w:t>premium</w:t>
      </w:r>
      <w:r w:rsidR="00F15C1E">
        <w:rPr>
          <w:rStyle w:val="FootnoteReference"/>
          <w:rFonts w:asciiTheme="minorHAnsi" w:hAnsiTheme="minorHAnsi" w:cstheme="minorHAnsi"/>
          <w:sz w:val="22"/>
          <w:szCs w:val="22"/>
        </w:rPr>
        <w:footnoteReference w:id="8"/>
      </w:r>
      <w:r w:rsidR="00946BB0">
        <w:rPr>
          <w:rFonts w:asciiTheme="minorHAnsi" w:hAnsiTheme="minorHAnsi" w:cstheme="minorHAnsi"/>
          <w:sz w:val="22"/>
          <w:szCs w:val="22"/>
        </w:rPr>
        <w:t xml:space="preserve">, while other </w:t>
      </w:r>
      <w:r w:rsidR="00275C18">
        <w:rPr>
          <w:rFonts w:asciiTheme="minorHAnsi" w:hAnsiTheme="minorHAnsi" w:cstheme="minorHAnsi"/>
          <w:sz w:val="22"/>
          <w:szCs w:val="22"/>
        </w:rPr>
        <w:t xml:space="preserve">gum </w:t>
      </w:r>
      <w:r w:rsidR="00946BB0">
        <w:rPr>
          <w:rFonts w:asciiTheme="minorHAnsi" w:hAnsiTheme="minorHAnsi" w:cstheme="minorHAnsi"/>
          <w:sz w:val="22"/>
          <w:szCs w:val="22"/>
        </w:rPr>
        <w:t xml:space="preserve">products receive a 20 percent </w:t>
      </w:r>
      <w:r w:rsidR="0061463B">
        <w:rPr>
          <w:rFonts w:asciiTheme="minorHAnsi" w:hAnsiTheme="minorHAnsi" w:cstheme="minorHAnsi"/>
          <w:sz w:val="22"/>
          <w:szCs w:val="22"/>
        </w:rPr>
        <w:t xml:space="preserve">(project) </w:t>
      </w:r>
      <w:r w:rsidR="00946BB0">
        <w:rPr>
          <w:rFonts w:asciiTheme="minorHAnsi" w:hAnsiTheme="minorHAnsi" w:cstheme="minorHAnsi"/>
          <w:sz w:val="22"/>
          <w:szCs w:val="22"/>
        </w:rPr>
        <w:t>premium for improved product quality</w:t>
      </w:r>
      <w:r w:rsidR="001C4DB3">
        <w:rPr>
          <w:rFonts w:asciiTheme="minorHAnsi" w:hAnsiTheme="minorHAnsi" w:cstheme="minorHAnsi"/>
          <w:sz w:val="22"/>
          <w:szCs w:val="22"/>
        </w:rPr>
        <w:t xml:space="preserve"> and regularity of supply</w:t>
      </w:r>
      <w:r w:rsidR="003132F3">
        <w:rPr>
          <w:rFonts w:asciiTheme="minorHAnsi" w:hAnsiTheme="minorHAnsi" w:cstheme="minorHAnsi"/>
          <w:sz w:val="22"/>
          <w:szCs w:val="22"/>
        </w:rPr>
        <w:t xml:space="preserve"> with off-takers</w:t>
      </w:r>
      <w:r w:rsidR="00E27D79">
        <w:rPr>
          <w:rFonts w:asciiTheme="minorHAnsi" w:hAnsiTheme="minorHAnsi" w:cstheme="minorHAnsi"/>
          <w:sz w:val="22"/>
          <w:szCs w:val="22"/>
        </w:rPr>
        <w:t xml:space="preserve">. </w:t>
      </w:r>
    </w:p>
    <w:p w14:paraId="7A4F96A4" w14:textId="77777777" w:rsidR="004F1484" w:rsidRDefault="004F1484" w:rsidP="001F27AC">
      <w:pPr>
        <w:pStyle w:val="ListParagraph"/>
        <w:widowControl/>
        <w:autoSpaceDE/>
        <w:autoSpaceDN/>
        <w:adjustRightInd/>
        <w:ind w:left="0"/>
        <w:contextualSpacing w:val="0"/>
        <w:jc w:val="both"/>
        <w:rPr>
          <w:rFonts w:asciiTheme="minorHAnsi" w:hAnsiTheme="minorHAnsi" w:cstheme="minorHAnsi"/>
          <w:sz w:val="22"/>
          <w:szCs w:val="22"/>
        </w:rPr>
      </w:pPr>
    </w:p>
    <w:p w14:paraId="5A530E08" w14:textId="2DDFC4DA" w:rsidR="009020F6" w:rsidRDefault="00261C6E" w:rsidP="002F6C50">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Investments </w:t>
      </w:r>
      <w:r w:rsidR="00E55CC5">
        <w:rPr>
          <w:rFonts w:asciiTheme="minorHAnsi" w:hAnsiTheme="minorHAnsi" w:cstheme="minorHAnsi"/>
          <w:sz w:val="22"/>
          <w:szCs w:val="22"/>
        </w:rPr>
        <w:t>under</w:t>
      </w:r>
      <w:r w:rsidR="00E55CC5" w:rsidRPr="007F0540">
        <w:rPr>
          <w:rFonts w:asciiTheme="minorHAnsi" w:hAnsiTheme="minorHAnsi" w:cstheme="minorHAnsi"/>
          <w:b/>
          <w:sz w:val="22"/>
          <w:szCs w:val="22"/>
        </w:rPr>
        <w:t xml:space="preserve"> Component 2: </w:t>
      </w:r>
      <w:r w:rsidR="00BB734D" w:rsidRPr="00BB734D">
        <w:rPr>
          <w:rFonts w:asciiTheme="minorHAnsi" w:hAnsiTheme="minorHAnsi" w:cstheme="minorHAnsi"/>
          <w:b/>
          <w:sz w:val="22"/>
          <w:szCs w:val="22"/>
        </w:rPr>
        <w:t xml:space="preserve">Climate change adaptation at landscape level through establishment of livestock routes, restoration of rangelands and enhancement of policy/institutional environment </w:t>
      </w:r>
      <w:r w:rsidR="00B14585">
        <w:rPr>
          <w:rFonts w:asciiTheme="minorHAnsi" w:hAnsiTheme="minorHAnsi" w:cstheme="minorHAnsi"/>
          <w:sz w:val="22"/>
          <w:szCs w:val="22"/>
        </w:rPr>
        <w:t>with</w:t>
      </w:r>
      <w:r>
        <w:rPr>
          <w:rFonts w:asciiTheme="minorHAnsi" w:hAnsiTheme="minorHAnsi" w:cstheme="minorHAnsi"/>
          <w:sz w:val="22"/>
          <w:szCs w:val="22"/>
        </w:rPr>
        <w:t>in livestock corridor</w:t>
      </w:r>
      <w:r w:rsidR="00EF4A2B">
        <w:rPr>
          <w:rFonts w:asciiTheme="minorHAnsi" w:hAnsiTheme="minorHAnsi" w:cstheme="minorHAnsi"/>
          <w:sz w:val="22"/>
          <w:szCs w:val="22"/>
        </w:rPr>
        <w:t>s</w:t>
      </w:r>
      <w:r>
        <w:rPr>
          <w:rFonts w:asciiTheme="minorHAnsi" w:hAnsiTheme="minorHAnsi" w:cstheme="minorHAnsi"/>
          <w:sz w:val="22"/>
          <w:szCs w:val="22"/>
        </w:rPr>
        <w:t xml:space="preserve"> </w:t>
      </w:r>
      <w:r w:rsidR="002E0A7A">
        <w:rPr>
          <w:rFonts w:asciiTheme="minorHAnsi" w:hAnsiTheme="minorHAnsi" w:cstheme="minorHAnsi"/>
          <w:sz w:val="22"/>
          <w:szCs w:val="22"/>
        </w:rPr>
        <w:t>l</w:t>
      </w:r>
      <w:r w:rsidR="00815569">
        <w:rPr>
          <w:rFonts w:asciiTheme="minorHAnsi" w:hAnsiTheme="minorHAnsi" w:cstheme="minorHAnsi"/>
          <w:sz w:val="22"/>
          <w:szCs w:val="22"/>
        </w:rPr>
        <w:t>ook</w:t>
      </w:r>
      <w:r w:rsidR="002E0A7A">
        <w:rPr>
          <w:rFonts w:asciiTheme="minorHAnsi" w:hAnsiTheme="minorHAnsi" w:cstheme="minorHAnsi"/>
          <w:sz w:val="22"/>
          <w:szCs w:val="22"/>
        </w:rPr>
        <w:t xml:space="preserve"> to improv</w:t>
      </w:r>
      <w:r w:rsidR="00B14585">
        <w:rPr>
          <w:rFonts w:asciiTheme="minorHAnsi" w:hAnsiTheme="minorHAnsi" w:cstheme="minorHAnsi"/>
          <w:sz w:val="22"/>
          <w:szCs w:val="22"/>
        </w:rPr>
        <w:t>e</w:t>
      </w:r>
      <w:r>
        <w:rPr>
          <w:rFonts w:asciiTheme="minorHAnsi" w:hAnsiTheme="minorHAnsi" w:cstheme="minorHAnsi"/>
          <w:sz w:val="22"/>
          <w:szCs w:val="22"/>
        </w:rPr>
        <w:t xml:space="preserve"> livestock mobility, </w:t>
      </w:r>
      <w:r w:rsidR="00B26C29">
        <w:rPr>
          <w:rFonts w:asciiTheme="minorHAnsi" w:hAnsiTheme="minorHAnsi" w:cstheme="minorHAnsi"/>
          <w:sz w:val="22"/>
          <w:szCs w:val="22"/>
        </w:rPr>
        <w:t>thus</w:t>
      </w:r>
      <w:r>
        <w:rPr>
          <w:rFonts w:asciiTheme="minorHAnsi" w:hAnsiTheme="minorHAnsi" w:cstheme="minorHAnsi"/>
          <w:sz w:val="22"/>
          <w:szCs w:val="22"/>
        </w:rPr>
        <w:t xml:space="preserve"> safeguarding </w:t>
      </w:r>
      <w:r w:rsidR="00305DBD">
        <w:rPr>
          <w:rFonts w:asciiTheme="minorHAnsi" w:hAnsiTheme="minorHAnsi" w:cstheme="minorHAnsi"/>
          <w:sz w:val="22"/>
          <w:szCs w:val="22"/>
        </w:rPr>
        <w:t xml:space="preserve">gum </w:t>
      </w:r>
      <w:r w:rsidR="00796C95">
        <w:rPr>
          <w:rFonts w:asciiTheme="minorHAnsi" w:hAnsiTheme="minorHAnsi" w:cstheme="minorHAnsi"/>
          <w:sz w:val="22"/>
          <w:szCs w:val="22"/>
        </w:rPr>
        <w:t>trees</w:t>
      </w:r>
      <w:r w:rsidR="00F05E28">
        <w:rPr>
          <w:rFonts w:asciiTheme="minorHAnsi" w:hAnsiTheme="minorHAnsi" w:cstheme="minorHAnsi"/>
          <w:sz w:val="22"/>
          <w:szCs w:val="22"/>
        </w:rPr>
        <w:t xml:space="preserve"> and</w:t>
      </w:r>
      <w:r w:rsidR="00796C95">
        <w:rPr>
          <w:rFonts w:asciiTheme="minorHAnsi" w:hAnsiTheme="minorHAnsi" w:cstheme="minorHAnsi"/>
          <w:sz w:val="22"/>
          <w:szCs w:val="22"/>
        </w:rPr>
        <w:t xml:space="preserve"> </w:t>
      </w:r>
      <w:r w:rsidR="00F05E28">
        <w:rPr>
          <w:rFonts w:asciiTheme="minorHAnsi" w:hAnsiTheme="minorHAnsi" w:cstheme="minorHAnsi"/>
          <w:sz w:val="22"/>
          <w:szCs w:val="22"/>
        </w:rPr>
        <w:t>rangel</w:t>
      </w:r>
      <w:r>
        <w:rPr>
          <w:rFonts w:asciiTheme="minorHAnsi" w:hAnsiTheme="minorHAnsi" w:cstheme="minorHAnsi"/>
          <w:sz w:val="22"/>
          <w:szCs w:val="22"/>
        </w:rPr>
        <w:t>and</w:t>
      </w:r>
      <w:r w:rsidR="00F05E28">
        <w:rPr>
          <w:rFonts w:asciiTheme="minorHAnsi" w:hAnsiTheme="minorHAnsi" w:cstheme="minorHAnsi"/>
          <w:sz w:val="22"/>
          <w:szCs w:val="22"/>
        </w:rPr>
        <w:t>s</w:t>
      </w:r>
      <w:r w:rsidR="00EF4A2B">
        <w:rPr>
          <w:rFonts w:asciiTheme="minorHAnsi" w:hAnsiTheme="minorHAnsi" w:cstheme="minorHAnsi"/>
          <w:sz w:val="22"/>
          <w:szCs w:val="22"/>
        </w:rPr>
        <w:t xml:space="preserve"> from overgrazing and damage</w:t>
      </w:r>
      <w:r w:rsidR="00815569">
        <w:rPr>
          <w:rFonts w:asciiTheme="minorHAnsi" w:hAnsiTheme="minorHAnsi" w:cstheme="minorHAnsi"/>
          <w:sz w:val="22"/>
          <w:szCs w:val="22"/>
        </w:rPr>
        <w:t xml:space="preserve"> from livestock</w:t>
      </w:r>
      <w:r w:rsidR="00F05E28">
        <w:rPr>
          <w:rFonts w:asciiTheme="minorHAnsi" w:hAnsiTheme="minorHAnsi" w:cstheme="minorHAnsi"/>
          <w:sz w:val="22"/>
          <w:szCs w:val="22"/>
        </w:rPr>
        <w:t xml:space="preserve">, </w:t>
      </w:r>
      <w:r w:rsidR="00F23BBC">
        <w:rPr>
          <w:rFonts w:asciiTheme="minorHAnsi" w:hAnsiTheme="minorHAnsi" w:cstheme="minorHAnsi"/>
          <w:sz w:val="22"/>
          <w:szCs w:val="22"/>
        </w:rPr>
        <w:t>and</w:t>
      </w:r>
      <w:r w:rsidR="00EF4A2B">
        <w:rPr>
          <w:rFonts w:asciiTheme="minorHAnsi" w:hAnsiTheme="minorHAnsi" w:cstheme="minorHAnsi"/>
          <w:sz w:val="22"/>
          <w:szCs w:val="22"/>
        </w:rPr>
        <w:t xml:space="preserve"> </w:t>
      </w:r>
      <w:r>
        <w:rPr>
          <w:rFonts w:asciiTheme="minorHAnsi" w:hAnsiTheme="minorHAnsi" w:cstheme="minorHAnsi"/>
          <w:sz w:val="22"/>
          <w:szCs w:val="22"/>
        </w:rPr>
        <w:t>increasing carbon sequestration</w:t>
      </w:r>
      <w:r w:rsidR="00487AD2">
        <w:rPr>
          <w:rFonts w:asciiTheme="minorHAnsi" w:hAnsiTheme="minorHAnsi" w:cstheme="minorHAnsi"/>
          <w:sz w:val="22"/>
          <w:szCs w:val="22"/>
        </w:rPr>
        <w:t xml:space="preserve"> </w:t>
      </w:r>
      <w:r w:rsidR="00EF4A2B">
        <w:rPr>
          <w:rFonts w:asciiTheme="minorHAnsi" w:hAnsiTheme="minorHAnsi" w:cstheme="minorHAnsi"/>
          <w:sz w:val="22"/>
          <w:szCs w:val="22"/>
        </w:rPr>
        <w:t xml:space="preserve">by grassland across </w:t>
      </w:r>
      <w:r w:rsidR="00487AD2">
        <w:rPr>
          <w:rFonts w:asciiTheme="minorHAnsi" w:hAnsiTheme="minorHAnsi" w:cstheme="minorHAnsi"/>
          <w:sz w:val="22"/>
          <w:szCs w:val="22"/>
        </w:rPr>
        <w:t>151,000 hectares</w:t>
      </w:r>
      <w:r w:rsidR="00F05E28">
        <w:rPr>
          <w:rFonts w:asciiTheme="minorHAnsi" w:hAnsiTheme="minorHAnsi" w:cstheme="minorHAnsi"/>
          <w:sz w:val="22"/>
          <w:szCs w:val="22"/>
        </w:rPr>
        <w:t xml:space="preserve">. </w:t>
      </w:r>
      <w:r w:rsidR="00815569">
        <w:rPr>
          <w:rFonts w:asciiTheme="minorHAnsi" w:hAnsiTheme="minorHAnsi" w:cstheme="minorHAnsi"/>
          <w:sz w:val="22"/>
          <w:szCs w:val="22"/>
        </w:rPr>
        <w:t>The livestock corridors will act to help</w:t>
      </w:r>
      <w:r w:rsidR="00496846">
        <w:rPr>
          <w:rFonts w:asciiTheme="minorHAnsi" w:hAnsiTheme="minorHAnsi" w:cstheme="minorHAnsi"/>
          <w:sz w:val="22"/>
          <w:szCs w:val="22"/>
        </w:rPr>
        <w:t xml:space="preserve"> farming</w:t>
      </w:r>
      <w:r w:rsidR="00815569">
        <w:rPr>
          <w:rFonts w:asciiTheme="minorHAnsi" w:hAnsiTheme="minorHAnsi" w:cstheme="minorHAnsi"/>
          <w:sz w:val="22"/>
          <w:szCs w:val="22"/>
        </w:rPr>
        <w:t xml:space="preserve"> communities </w:t>
      </w:r>
      <w:r w:rsidR="00496846">
        <w:rPr>
          <w:rFonts w:asciiTheme="minorHAnsi" w:hAnsiTheme="minorHAnsi" w:cstheme="minorHAnsi"/>
          <w:sz w:val="22"/>
          <w:szCs w:val="22"/>
        </w:rPr>
        <w:t xml:space="preserve">to </w:t>
      </w:r>
      <w:r w:rsidR="00815569">
        <w:rPr>
          <w:rFonts w:asciiTheme="minorHAnsi" w:hAnsiTheme="minorHAnsi" w:cstheme="minorHAnsi"/>
          <w:sz w:val="22"/>
          <w:szCs w:val="22"/>
        </w:rPr>
        <w:t xml:space="preserve">co-manage resources </w:t>
      </w:r>
      <w:r w:rsidR="00496846">
        <w:rPr>
          <w:rFonts w:asciiTheme="minorHAnsi" w:hAnsiTheme="minorHAnsi" w:cstheme="minorHAnsi"/>
          <w:sz w:val="22"/>
          <w:szCs w:val="22"/>
        </w:rPr>
        <w:t xml:space="preserve">with </w:t>
      </w:r>
      <w:r w:rsidR="00815569">
        <w:rPr>
          <w:rFonts w:asciiTheme="minorHAnsi" w:hAnsiTheme="minorHAnsi" w:cstheme="minorHAnsi"/>
          <w:sz w:val="22"/>
          <w:szCs w:val="22"/>
        </w:rPr>
        <w:t xml:space="preserve">pastoralists by improving water supply infrastructure along the defined livestock routes, </w:t>
      </w:r>
      <w:r w:rsidR="00B26C29">
        <w:rPr>
          <w:rFonts w:asciiTheme="minorHAnsi" w:hAnsiTheme="minorHAnsi" w:cstheme="minorHAnsi"/>
          <w:sz w:val="22"/>
          <w:szCs w:val="22"/>
        </w:rPr>
        <w:t xml:space="preserve">and </w:t>
      </w:r>
      <w:r w:rsidR="00503283">
        <w:rPr>
          <w:rFonts w:asciiTheme="minorHAnsi" w:hAnsiTheme="minorHAnsi" w:cstheme="minorHAnsi"/>
          <w:sz w:val="22"/>
          <w:szCs w:val="22"/>
        </w:rPr>
        <w:t xml:space="preserve">to </w:t>
      </w:r>
      <w:r w:rsidR="00B26C29">
        <w:rPr>
          <w:rFonts w:asciiTheme="minorHAnsi" w:hAnsiTheme="minorHAnsi" w:cstheme="minorHAnsi"/>
          <w:sz w:val="22"/>
          <w:szCs w:val="22"/>
        </w:rPr>
        <w:t xml:space="preserve">avoid resource use conflicts between the two groups </w:t>
      </w:r>
      <w:r w:rsidR="00815569">
        <w:rPr>
          <w:rFonts w:asciiTheme="minorHAnsi" w:hAnsiTheme="minorHAnsi" w:cstheme="minorHAnsi"/>
          <w:sz w:val="22"/>
          <w:szCs w:val="22"/>
        </w:rPr>
        <w:t>by building on the experience of past projects and development partners.</w:t>
      </w:r>
      <w:r w:rsidR="00DA6808">
        <w:rPr>
          <w:rStyle w:val="FootnoteReference"/>
          <w:rFonts w:asciiTheme="minorHAnsi" w:hAnsiTheme="minorHAnsi" w:cstheme="minorHAnsi"/>
          <w:sz w:val="22"/>
          <w:szCs w:val="22"/>
        </w:rPr>
        <w:footnoteReference w:id="9"/>
      </w:r>
      <w:r w:rsidR="00815569">
        <w:rPr>
          <w:rFonts w:asciiTheme="minorHAnsi" w:hAnsiTheme="minorHAnsi" w:cstheme="minorHAnsi"/>
          <w:sz w:val="22"/>
          <w:szCs w:val="22"/>
        </w:rPr>
        <w:t xml:space="preserve"> </w:t>
      </w:r>
      <w:r w:rsidR="00503283">
        <w:rPr>
          <w:rFonts w:asciiTheme="minorHAnsi" w:hAnsiTheme="minorHAnsi" w:cstheme="minorHAnsi"/>
          <w:sz w:val="22"/>
          <w:szCs w:val="22"/>
        </w:rPr>
        <w:t>In th</w:t>
      </w:r>
      <w:r w:rsidR="006A0A3B">
        <w:rPr>
          <w:rFonts w:asciiTheme="minorHAnsi" w:hAnsiTheme="minorHAnsi" w:cstheme="minorHAnsi"/>
          <w:sz w:val="22"/>
          <w:szCs w:val="22"/>
        </w:rPr>
        <w:t>e</w:t>
      </w:r>
      <w:r w:rsidR="00503283">
        <w:rPr>
          <w:rFonts w:asciiTheme="minorHAnsi" w:hAnsiTheme="minorHAnsi" w:cstheme="minorHAnsi"/>
          <w:sz w:val="22"/>
          <w:szCs w:val="22"/>
        </w:rPr>
        <w:t xml:space="preserve"> analysis, t</w:t>
      </w:r>
      <w:r w:rsidR="008D4274">
        <w:rPr>
          <w:rFonts w:asciiTheme="minorHAnsi" w:hAnsiTheme="minorHAnsi" w:cstheme="minorHAnsi"/>
          <w:sz w:val="22"/>
          <w:szCs w:val="22"/>
        </w:rPr>
        <w:t xml:space="preserve">he </w:t>
      </w:r>
      <w:r w:rsidR="00503283">
        <w:rPr>
          <w:rFonts w:asciiTheme="minorHAnsi" w:hAnsiTheme="minorHAnsi" w:cstheme="minorHAnsi"/>
          <w:sz w:val="22"/>
          <w:szCs w:val="22"/>
        </w:rPr>
        <w:t xml:space="preserve">contribution </w:t>
      </w:r>
      <w:r w:rsidR="008D4274">
        <w:rPr>
          <w:rFonts w:asciiTheme="minorHAnsi" w:hAnsiTheme="minorHAnsi" w:cstheme="minorHAnsi"/>
          <w:sz w:val="22"/>
          <w:szCs w:val="22"/>
        </w:rPr>
        <w:t xml:space="preserve">of rangeland </w:t>
      </w:r>
      <w:r w:rsidR="00503283">
        <w:rPr>
          <w:rFonts w:asciiTheme="minorHAnsi" w:hAnsiTheme="minorHAnsi" w:cstheme="minorHAnsi"/>
          <w:sz w:val="22"/>
          <w:szCs w:val="22"/>
        </w:rPr>
        <w:t xml:space="preserve">restoration </w:t>
      </w:r>
      <w:r w:rsidR="008D4274">
        <w:rPr>
          <w:rFonts w:asciiTheme="minorHAnsi" w:hAnsiTheme="minorHAnsi" w:cstheme="minorHAnsi"/>
          <w:sz w:val="22"/>
          <w:szCs w:val="22"/>
        </w:rPr>
        <w:t>to improv</w:t>
      </w:r>
      <w:r w:rsidR="00503283">
        <w:rPr>
          <w:rFonts w:asciiTheme="minorHAnsi" w:hAnsiTheme="minorHAnsi" w:cstheme="minorHAnsi"/>
          <w:sz w:val="22"/>
          <w:szCs w:val="22"/>
        </w:rPr>
        <w:t>ing</w:t>
      </w:r>
      <w:r w:rsidR="008D4274">
        <w:rPr>
          <w:rFonts w:asciiTheme="minorHAnsi" w:hAnsiTheme="minorHAnsi" w:cstheme="minorHAnsi"/>
          <w:sz w:val="22"/>
          <w:szCs w:val="22"/>
        </w:rPr>
        <w:t xml:space="preserve"> the input to livestock directly</w:t>
      </w:r>
      <w:r w:rsidR="00503283">
        <w:rPr>
          <w:rFonts w:asciiTheme="minorHAnsi" w:hAnsiTheme="minorHAnsi" w:cstheme="minorHAnsi"/>
          <w:sz w:val="22"/>
          <w:szCs w:val="22"/>
        </w:rPr>
        <w:t xml:space="preserve"> is taken into account</w:t>
      </w:r>
      <w:r w:rsidR="006A0A3B">
        <w:rPr>
          <w:rFonts w:asciiTheme="minorHAnsi" w:hAnsiTheme="minorHAnsi" w:cstheme="minorHAnsi"/>
          <w:sz w:val="22"/>
          <w:szCs w:val="22"/>
        </w:rPr>
        <w:t xml:space="preserve"> through improved productivity in meat and milk production and higher market prices</w:t>
      </w:r>
      <w:r w:rsidR="007A3F60">
        <w:rPr>
          <w:rFonts w:asciiTheme="minorHAnsi" w:hAnsiTheme="minorHAnsi" w:cstheme="minorHAnsi"/>
          <w:sz w:val="22"/>
          <w:szCs w:val="22"/>
        </w:rPr>
        <w:t xml:space="preserve">. </w:t>
      </w:r>
      <w:r w:rsidR="006A0A3B">
        <w:rPr>
          <w:rFonts w:asciiTheme="minorHAnsi" w:hAnsiTheme="minorHAnsi" w:cstheme="minorHAnsi"/>
          <w:sz w:val="22"/>
          <w:szCs w:val="22"/>
        </w:rPr>
        <w:t>In addition</w:t>
      </w:r>
      <w:r w:rsidR="007A3F60">
        <w:rPr>
          <w:rFonts w:asciiTheme="minorHAnsi" w:hAnsiTheme="minorHAnsi" w:cstheme="minorHAnsi"/>
          <w:sz w:val="22"/>
          <w:szCs w:val="22"/>
        </w:rPr>
        <w:t>,</w:t>
      </w:r>
      <w:r w:rsidR="008D4274">
        <w:rPr>
          <w:rFonts w:asciiTheme="minorHAnsi" w:hAnsiTheme="minorHAnsi" w:cstheme="minorHAnsi"/>
          <w:sz w:val="22"/>
          <w:szCs w:val="22"/>
        </w:rPr>
        <w:t xml:space="preserve"> the </w:t>
      </w:r>
      <w:r w:rsidR="00EB4180">
        <w:rPr>
          <w:rFonts w:asciiTheme="minorHAnsi" w:hAnsiTheme="minorHAnsi" w:cstheme="minorHAnsi"/>
          <w:sz w:val="22"/>
          <w:szCs w:val="22"/>
        </w:rPr>
        <w:t xml:space="preserve">economic </w:t>
      </w:r>
      <w:r w:rsidR="008D4274">
        <w:rPr>
          <w:rFonts w:asciiTheme="minorHAnsi" w:hAnsiTheme="minorHAnsi" w:cstheme="minorHAnsi"/>
          <w:sz w:val="22"/>
          <w:szCs w:val="22"/>
        </w:rPr>
        <w:t xml:space="preserve">benefits calculated </w:t>
      </w:r>
      <w:r w:rsidR="006A0A3B">
        <w:rPr>
          <w:rFonts w:asciiTheme="minorHAnsi" w:hAnsiTheme="minorHAnsi" w:cstheme="minorHAnsi"/>
          <w:sz w:val="22"/>
          <w:szCs w:val="22"/>
        </w:rPr>
        <w:t xml:space="preserve">also </w:t>
      </w:r>
      <w:r w:rsidR="008D4274">
        <w:rPr>
          <w:rFonts w:asciiTheme="minorHAnsi" w:hAnsiTheme="minorHAnsi" w:cstheme="minorHAnsi"/>
          <w:sz w:val="22"/>
          <w:szCs w:val="22"/>
        </w:rPr>
        <w:t xml:space="preserve">draw </w:t>
      </w:r>
      <w:r w:rsidR="006A0A3B">
        <w:rPr>
          <w:rFonts w:asciiTheme="minorHAnsi" w:hAnsiTheme="minorHAnsi" w:cstheme="minorHAnsi"/>
          <w:sz w:val="22"/>
          <w:szCs w:val="22"/>
        </w:rPr>
        <w:t xml:space="preserve">on </w:t>
      </w:r>
      <w:r w:rsidR="008D4274">
        <w:rPr>
          <w:rFonts w:asciiTheme="minorHAnsi" w:hAnsiTheme="minorHAnsi" w:cstheme="minorHAnsi"/>
          <w:sz w:val="22"/>
          <w:szCs w:val="22"/>
        </w:rPr>
        <w:t>increase</w:t>
      </w:r>
      <w:r w:rsidR="00503283">
        <w:rPr>
          <w:rFonts w:asciiTheme="minorHAnsi" w:hAnsiTheme="minorHAnsi" w:cstheme="minorHAnsi"/>
          <w:sz w:val="22"/>
          <w:szCs w:val="22"/>
        </w:rPr>
        <w:t>s</w:t>
      </w:r>
      <w:r w:rsidR="008D4274">
        <w:rPr>
          <w:rFonts w:asciiTheme="minorHAnsi" w:hAnsiTheme="minorHAnsi" w:cstheme="minorHAnsi"/>
          <w:sz w:val="22"/>
          <w:szCs w:val="22"/>
        </w:rPr>
        <w:t xml:space="preserve"> </w:t>
      </w:r>
      <w:r w:rsidR="00EB4180">
        <w:rPr>
          <w:rFonts w:asciiTheme="minorHAnsi" w:hAnsiTheme="minorHAnsi" w:cstheme="minorHAnsi"/>
          <w:sz w:val="22"/>
          <w:szCs w:val="22"/>
        </w:rPr>
        <w:t xml:space="preserve">in ecosystem services through </w:t>
      </w:r>
      <w:r w:rsidR="008D4274">
        <w:rPr>
          <w:rFonts w:asciiTheme="minorHAnsi" w:hAnsiTheme="minorHAnsi" w:cstheme="minorHAnsi"/>
          <w:sz w:val="22"/>
          <w:szCs w:val="22"/>
        </w:rPr>
        <w:t>carbon sequestration.</w:t>
      </w:r>
      <w:r w:rsidR="002B4601">
        <w:rPr>
          <w:rFonts w:asciiTheme="minorHAnsi" w:hAnsiTheme="minorHAnsi" w:cstheme="minorHAnsi"/>
          <w:sz w:val="22"/>
          <w:szCs w:val="22"/>
        </w:rPr>
        <w:t xml:space="preserve"> </w:t>
      </w:r>
      <w:r w:rsidR="004C692E">
        <w:rPr>
          <w:rFonts w:asciiTheme="minorHAnsi" w:hAnsiTheme="minorHAnsi" w:cstheme="minorHAnsi"/>
          <w:sz w:val="22"/>
          <w:szCs w:val="22"/>
        </w:rPr>
        <w:t>Total project fund allocation amounts to 3</w:t>
      </w:r>
      <w:r w:rsidR="005678C5">
        <w:rPr>
          <w:rFonts w:asciiTheme="minorHAnsi" w:hAnsiTheme="minorHAnsi" w:cstheme="minorHAnsi"/>
          <w:sz w:val="22"/>
          <w:szCs w:val="22"/>
        </w:rPr>
        <w:t>9</w:t>
      </w:r>
      <w:r w:rsidR="004C692E">
        <w:rPr>
          <w:rFonts w:asciiTheme="minorHAnsi" w:hAnsiTheme="minorHAnsi" w:cstheme="minorHAnsi"/>
          <w:sz w:val="22"/>
          <w:szCs w:val="22"/>
        </w:rPr>
        <w:t xml:space="preserve"> percent of USD 10 million, or USD 3.9 million.</w:t>
      </w:r>
      <w:r w:rsidR="008D4274">
        <w:rPr>
          <w:rFonts w:asciiTheme="minorHAnsi" w:hAnsiTheme="minorHAnsi" w:cstheme="minorHAnsi"/>
          <w:sz w:val="22"/>
          <w:szCs w:val="22"/>
        </w:rPr>
        <w:t xml:space="preserve"> </w:t>
      </w:r>
    </w:p>
    <w:p w14:paraId="3F4E3DDF" w14:textId="77777777" w:rsidR="00D2508F" w:rsidRDefault="00D2508F" w:rsidP="001F27AC">
      <w:pPr>
        <w:pStyle w:val="ListParagraph"/>
        <w:widowControl/>
        <w:autoSpaceDE/>
        <w:autoSpaceDN/>
        <w:adjustRightInd/>
        <w:ind w:left="0"/>
        <w:contextualSpacing w:val="0"/>
        <w:jc w:val="both"/>
        <w:rPr>
          <w:rFonts w:asciiTheme="minorHAnsi" w:hAnsiTheme="minorHAnsi" w:cstheme="minorHAnsi"/>
          <w:sz w:val="22"/>
          <w:szCs w:val="22"/>
        </w:rPr>
      </w:pPr>
    </w:p>
    <w:p w14:paraId="37A85C3E" w14:textId="77777777" w:rsidR="00D2508F" w:rsidRPr="00B80740" w:rsidRDefault="00050EF3" w:rsidP="00B80740">
      <w:pPr>
        <w:pStyle w:val="Heading2"/>
        <w:rPr>
          <w:rFonts w:cstheme="minorHAnsi"/>
          <w:szCs w:val="24"/>
          <w:lang w:eastAsia="it-IT"/>
        </w:rPr>
      </w:pPr>
      <w:bookmarkStart w:id="19" w:name="_Toc38031613"/>
      <w:r w:rsidRPr="00B80740">
        <w:rPr>
          <w:rFonts w:cstheme="minorHAnsi"/>
          <w:szCs w:val="24"/>
          <w:lang w:eastAsia="it-IT"/>
        </w:rPr>
        <w:t>Financial A</w:t>
      </w:r>
      <w:r w:rsidR="00D2508F" w:rsidRPr="00B80740">
        <w:rPr>
          <w:rFonts w:cstheme="minorHAnsi"/>
          <w:szCs w:val="24"/>
          <w:lang w:eastAsia="it-IT"/>
        </w:rPr>
        <w:t>nalysis:</w:t>
      </w:r>
      <w:bookmarkEnd w:id="19"/>
    </w:p>
    <w:p w14:paraId="50E79442" w14:textId="77777777" w:rsidR="00A53EAA" w:rsidRPr="009B4997" w:rsidRDefault="00840D0B" w:rsidP="00451C26">
      <w:pPr>
        <w:pStyle w:val="ListParagraph"/>
        <w:widowControl/>
        <w:numPr>
          <w:ilvl w:val="0"/>
          <w:numId w:val="1"/>
        </w:numPr>
        <w:autoSpaceDE/>
        <w:autoSpaceDN/>
        <w:adjustRightInd/>
        <w:ind w:left="0" w:firstLine="0"/>
        <w:contextualSpacing w:val="0"/>
        <w:jc w:val="both"/>
        <w:rPr>
          <w:rFonts w:asciiTheme="minorHAnsi" w:hAnsiTheme="minorHAnsi" w:cstheme="minorHAnsi"/>
          <w:b/>
          <w:bCs/>
          <w:iCs/>
          <w:sz w:val="22"/>
          <w:szCs w:val="22"/>
        </w:rPr>
      </w:pPr>
      <w:r>
        <w:rPr>
          <w:rFonts w:asciiTheme="minorHAnsi" w:hAnsiTheme="minorHAnsi" w:cstheme="minorHAnsi"/>
          <w:bCs/>
          <w:iCs/>
          <w:sz w:val="22"/>
          <w:szCs w:val="22"/>
        </w:rPr>
        <w:t xml:space="preserve">Two types of model exist to capture the benefits of </w:t>
      </w:r>
      <w:r w:rsidR="002E16E2">
        <w:rPr>
          <w:rFonts w:asciiTheme="minorHAnsi" w:hAnsiTheme="minorHAnsi" w:cstheme="minorHAnsi"/>
          <w:bCs/>
          <w:iCs/>
          <w:sz w:val="22"/>
          <w:szCs w:val="22"/>
        </w:rPr>
        <w:t xml:space="preserve">investments in </w:t>
      </w:r>
      <w:r w:rsidR="00A53EAA">
        <w:rPr>
          <w:rFonts w:asciiTheme="minorHAnsi" w:hAnsiTheme="minorHAnsi" w:cstheme="minorHAnsi"/>
          <w:bCs/>
          <w:iCs/>
          <w:sz w:val="22"/>
          <w:szCs w:val="22"/>
        </w:rPr>
        <w:t xml:space="preserve">- </w:t>
      </w:r>
      <w:r w:rsidR="00EB37F7" w:rsidRPr="009B4997">
        <w:rPr>
          <w:rFonts w:asciiTheme="minorHAnsi" w:hAnsiTheme="minorHAnsi" w:cstheme="minorHAnsi"/>
          <w:bCs/>
          <w:i/>
          <w:iCs/>
          <w:sz w:val="22"/>
          <w:szCs w:val="22"/>
        </w:rPr>
        <w:t>Acacia senegal</w:t>
      </w:r>
      <w:r w:rsidR="00EB37F7">
        <w:rPr>
          <w:rFonts w:asciiTheme="minorHAnsi" w:hAnsiTheme="minorHAnsi" w:cstheme="minorHAnsi"/>
          <w:bCs/>
          <w:iCs/>
          <w:sz w:val="22"/>
          <w:szCs w:val="22"/>
        </w:rPr>
        <w:t xml:space="preserve"> </w:t>
      </w:r>
      <w:r w:rsidR="00EB37F7" w:rsidRPr="009B4997">
        <w:rPr>
          <w:rFonts w:asciiTheme="minorHAnsi" w:hAnsiTheme="minorHAnsi" w:cstheme="minorHAnsi"/>
          <w:bCs/>
          <w:i/>
          <w:iCs/>
          <w:sz w:val="22"/>
          <w:szCs w:val="22"/>
        </w:rPr>
        <w:t>(hashab)</w:t>
      </w:r>
      <w:r w:rsidR="00EB37F7">
        <w:rPr>
          <w:rFonts w:asciiTheme="minorHAnsi" w:hAnsiTheme="minorHAnsi" w:cstheme="minorHAnsi"/>
          <w:bCs/>
          <w:iCs/>
          <w:sz w:val="22"/>
          <w:szCs w:val="22"/>
        </w:rPr>
        <w:t xml:space="preserve"> and </w:t>
      </w:r>
      <w:r w:rsidR="00EB37F7" w:rsidRPr="009B4997">
        <w:rPr>
          <w:rFonts w:asciiTheme="minorHAnsi" w:hAnsiTheme="minorHAnsi" w:cstheme="minorHAnsi"/>
          <w:bCs/>
          <w:i/>
          <w:iCs/>
          <w:sz w:val="22"/>
          <w:szCs w:val="22"/>
        </w:rPr>
        <w:t>Acacia seyal</w:t>
      </w:r>
      <w:r w:rsidR="00EB37F7">
        <w:rPr>
          <w:rFonts w:asciiTheme="minorHAnsi" w:hAnsiTheme="minorHAnsi" w:cstheme="minorHAnsi"/>
          <w:bCs/>
          <w:iCs/>
          <w:sz w:val="22"/>
          <w:szCs w:val="22"/>
        </w:rPr>
        <w:t xml:space="preserve"> </w:t>
      </w:r>
      <w:r w:rsidR="00EB37F7" w:rsidRPr="009B4997">
        <w:rPr>
          <w:rFonts w:asciiTheme="minorHAnsi" w:hAnsiTheme="minorHAnsi" w:cstheme="minorHAnsi"/>
          <w:bCs/>
          <w:i/>
          <w:iCs/>
          <w:sz w:val="22"/>
          <w:szCs w:val="22"/>
        </w:rPr>
        <w:t>(talha)</w:t>
      </w:r>
      <w:r w:rsidR="00EB37F7">
        <w:rPr>
          <w:rFonts w:asciiTheme="minorHAnsi" w:hAnsiTheme="minorHAnsi" w:cstheme="minorHAnsi"/>
          <w:bCs/>
          <w:iCs/>
          <w:sz w:val="22"/>
          <w:szCs w:val="22"/>
        </w:rPr>
        <w:t xml:space="preserve"> </w:t>
      </w:r>
      <w:r w:rsidR="00A53EAA">
        <w:rPr>
          <w:rFonts w:asciiTheme="minorHAnsi" w:hAnsiTheme="minorHAnsi" w:cstheme="minorHAnsi"/>
          <w:bCs/>
          <w:iCs/>
          <w:sz w:val="22"/>
          <w:szCs w:val="22"/>
        </w:rPr>
        <w:t xml:space="preserve">- </w:t>
      </w:r>
      <w:r w:rsidR="002E16E2">
        <w:rPr>
          <w:rFonts w:asciiTheme="minorHAnsi" w:hAnsiTheme="minorHAnsi" w:cstheme="minorHAnsi"/>
          <w:bCs/>
          <w:iCs/>
          <w:sz w:val="22"/>
          <w:szCs w:val="22"/>
        </w:rPr>
        <w:t xml:space="preserve">gum arabic trees through </w:t>
      </w:r>
      <w:r>
        <w:rPr>
          <w:rFonts w:asciiTheme="minorHAnsi" w:hAnsiTheme="minorHAnsi" w:cstheme="minorHAnsi"/>
          <w:bCs/>
          <w:iCs/>
          <w:sz w:val="22"/>
          <w:szCs w:val="22"/>
        </w:rPr>
        <w:t>agroforestry and reforestation activities of the project, using the cost-benefit analysis method</w:t>
      </w:r>
      <w:r w:rsidR="0014226F">
        <w:rPr>
          <w:rFonts w:asciiTheme="minorHAnsi" w:hAnsiTheme="minorHAnsi" w:cstheme="minorHAnsi"/>
          <w:bCs/>
          <w:iCs/>
          <w:sz w:val="22"/>
          <w:szCs w:val="22"/>
        </w:rPr>
        <w:t>, based on one hectare</w:t>
      </w:r>
      <w:r w:rsidR="00300AA0">
        <w:rPr>
          <w:rFonts w:asciiTheme="minorHAnsi" w:hAnsiTheme="minorHAnsi" w:cstheme="minorHAnsi"/>
          <w:bCs/>
          <w:iCs/>
          <w:sz w:val="22"/>
          <w:szCs w:val="22"/>
        </w:rPr>
        <w:t xml:space="preserve"> and a two hectare plot at the </w:t>
      </w:r>
      <w:r w:rsidR="00623F95">
        <w:rPr>
          <w:rFonts w:asciiTheme="minorHAnsi" w:hAnsiTheme="minorHAnsi" w:cstheme="minorHAnsi"/>
          <w:bCs/>
          <w:iCs/>
          <w:sz w:val="22"/>
          <w:szCs w:val="22"/>
        </w:rPr>
        <w:t xml:space="preserve">agroforestry </w:t>
      </w:r>
      <w:r w:rsidR="00300AA0">
        <w:rPr>
          <w:rFonts w:asciiTheme="minorHAnsi" w:hAnsiTheme="minorHAnsi" w:cstheme="minorHAnsi"/>
          <w:bCs/>
          <w:iCs/>
          <w:sz w:val="22"/>
          <w:szCs w:val="22"/>
        </w:rPr>
        <w:t>household level</w:t>
      </w:r>
      <w:r>
        <w:rPr>
          <w:rFonts w:asciiTheme="minorHAnsi" w:hAnsiTheme="minorHAnsi" w:cstheme="minorHAnsi"/>
          <w:bCs/>
          <w:iCs/>
          <w:sz w:val="22"/>
          <w:szCs w:val="22"/>
        </w:rPr>
        <w:t xml:space="preserve">. </w:t>
      </w:r>
      <w:r w:rsidR="007A3F60">
        <w:rPr>
          <w:rFonts w:asciiTheme="minorHAnsi" w:hAnsiTheme="minorHAnsi" w:cstheme="minorHAnsi"/>
          <w:bCs/>
          <w:iCs/>
          <w:sz w:val="22"/>
          <w:szCs w:val="22"/>
        </w:rPr>
        <w:t xml:space="preserve">Under agroforestry, the </w:t>
      </w:r>
      <w:r w:rsidR="00032643">
        <w:rPr>
          <w:rFonts w:asciiTheme="minorHAnsi" w:hAnsiTheme="minorHAnsi" w:cstheme="minorHAnsi"/>
          <w:bCs/>
          <w:iCs/>
          <w:sz w:val="22"/>
          <w:szCs w:val="22"/>
        </w:rPr>
        <w:t xml:space="preserve">model </w:t>
      </w:r>
      <w:r w:rsidR="007A3F60">
        <w:rPr>
          <w:rFonts w:asciiTheme="minorHAnsi" w:hAnsiTheme="minorHAnsi" w:cstheme="minorHAnsi"/>
          <w:bCs/>
          <w:iCs/>
          <w:sz w:val="22"/>
          <w:szCs w:val="22"/>
        </w:rPr>
        <w:t>includes</w:t>
      </w:r>
      <w:r w:rsidR="00032643">
        <w:rPr>
          <w:rFonts w:asciiTheme="minorHAnsi" w:hAnsiTheme="minorHAnsi" w:cstheme="minorHAnsi"/>
          <w:bCs/>
          <w:iCs/>
          <w:sz w:val="22"/>
          <w:szCs w:val="22"/>
        </w:rPr>
        <w:t xml:space="preserve"> </w:t>
      </w:r>
      <w:r w:rsidR="009020F6" w:rsidRPr="00DA6808">
        <w:rPr>
          <w:rFonts w:asciiTheme="minorHAnsi" w:hAnsiTheme="minorHAnsi" w:cstheme="minorHAnsi"/>
          <w:bCs/>
          <w:iCs/>
          <w:sz w:val="22"/>
          <w:szCs w:val="22"/>
        </w:rPr>
        <w:t xml:space="preserve">average </w:t>
      </w:r>
      <w:r w:rsidR="00B55795" w:rsidRPr="00DA6808">
        <w:rPr>
          <w:rFonts w:asciiTheme="minorHAnsi" w:hAnsiTheme="minorHAnsi" w:cstheme="minorHAnsi"/>
          <w:bCs/>
          <w:iCs/>
          <w:sz w:val="22"/>
          <w:szCs w:val="22"/>
        </w:rPr>
        <w:t xml:space="preserve">figures for </w:t>
      </w:r>
      <w:r w:rsidR="005F7286" w:rsidRPr="00DA6808">
        <w:rPr>
          <w:rFonts w:asciiTheme="minorHAnsi" w:hAnsiTheme="minorHAnsi" w:cstheme="minorHAnsi"/>
          <w:bCs/>
          <w:iCs/>
          <w:sz w:val="22"/>
          <w:szCs w:val="22"/>
        </w:rPr>
        <w:t xml:space="preserve">field </w:t>
      </w:r>
      <w:r w:rsidR="00B667C9" w:rsidRPr="00DA6808">
        <w:rPr>
          <w:rFonts w:asciiTheme="minorHAnsi" w:hAnsiTheme="minorHAnsi" w:cstheme="minorHAnsi"/>
          <w:bCs/>
          <w:iCs/>
          <w:sz w:val="22"/>
          <w:szCs w:val="22"/>
        </w:rPr>
        <w:t xml:space="preserve">crop </w:t>
      </w:r>
      <w:r w:rsidR="00B55795" w:rsidRPr="00DA6808">
        <w:rPr>
          <w:rFonts w:asciiTheme="minorHAnsi" w:hAnsiTheme="minorHAnsi" w:cstheme="minorHAnsi"/>
          <w:bCs/>
          <w:iCs/>
          <w:sz w:val="22"/>
          <w:szCs w:val="22"/>
        </w:rPr>
        <w:lastRenderedPageBreak/>
        <w:t>inputs and out</w:t>
      </w:r>
      <w:r w:rsidR="00112AAD" w:rsidRPr="00DA6808">
        <w:rPr>
          <w:rFonts w:asciiTheme="minorHAnsi" w:hAnsiTheme="minorHAnsi" w:cstheme="minorHAnsi"/>
          <w:bCs/>
          <w:iCs/>
          <w:sz w:val="22"/>
          <w:szCs w:val="22"/>
        </w:rPr>
        <w:t>put yields</w:t>
      </w:r>
      <w:r w:rsidR="00032643">
        <w:rPr>
          <w:rStyle w:val="FootnoteReference"/>
          <w:rFonts w:asciiTheme="minorHAnsi" w:hAnsiTheme="minorHAnsi" w:cstheme="minorHAnsi"/>
          <w:bCs/>
          <w:iCs/>
          <w:sz w:val="22"/>
          <w:szCs w:val="22"/>
        </w:rPr>
        <w:footnoteReference w:id="10"/>
      </w:r>
      <w:r w:rsidR="00C871BF">
        <w:rPr>
          <w:rFonts w:asciiTheme="minorHAnsi" w:hAnsiTheme="minorHAnsi" w:cstheme="minorHAnsi"/>
          <w:bCs/>
          <w:iCs/>
          <w:sz w:val="22"/>
          <w:szCs w:val="22"/>
        </w:rPr>
        <w:t>,</w:t>
      </w:r>
      <w:r w:rsidR="00257EDD" w:rsidRPr="00DA6808">
        <w:rPr>
          <w:rFonts w:asciiTheme="minorHAnsi" w:hAnsiTheme="minorHAnsi" w:cstheme="minorHAnsi"/>
          <w:bCs/>
          <w:iCs/>
          <w:sz w:val="22"/>
          <w:szCs w:val="22"/>
        </w:rPr>
        <w:t xml:space="preserve"> across </w:t>
      </w:r>
      <w:r w:rsidR="008A6873">
        <w:rPr>
          <w:rFonts w:asciiTheme="minorHAnsi" w:hAnsiTheme="minorHAnsi" w:cstheme="minorHAnsi"/>
          <w:bCs/>
          <w:iCs/>
          <w:sz w:val="22"/>
          <w:szCs w:val="22"/>
        </w:rPr>
        <w:t xml:space="preserve">North and West Kordofan </w:t>
      </w:r>
      <w:r w:rsidR="00257EDD" w:rsidRPr="00DA6808">
        <w:rPr>
          <w:rFonts w:asciiTheme="minorHAnsi" w:hAnsiTheme="minorHAnsi" w:cstheme="minorHAnsi"/>
          <w:bCs/>
          <w:iCs/>
          <w:sz w:val="22"/>
          <w:szCs w:val="22"/>
        </w:rPr>
        <w:t>state</w:t>
      </w:r>
      <w:r w:rsidR="007A3F60">
        <w:rPr>
          <w:rFonts w:asciiTheme="minorHAnsi" w:hAnsiTheme="minorHAnsi" w:cstheme="minorHAnsi"/>
          <w:bCs/>
          <w:iCs/>
          <w:sz w:val="22"/>
          <w:szCs w:val="22"/>
        </w:rPr>
        <w:t>s</w:t>
      </w:r>
      <w:r>
        <w:rPr>
          <w:rFonts w:asciiTheme="minorHAnsi" w:hAnsiTheme="minorHAnsi" w:cstheme="minorHAnsi"/>
          <w:bCs/>
          <w:iCs/>
          <w:sz w:val="22"/>
          <w:szCs w:val="22"/>
        </w:rPr>
        <w:t xml:space="preserve">, </w:t>
      </w:r>
      <w:r w:rsidR="00C871BF">
        <w:rPr>
          <w:rFonts w:asciiTheme="minorHAnsi" w:hAnsiTheme="minorHAnsi" w:cstheme="minorHAnsi"/>
          <w:bCs/>
          <w:iCs/>
          <w:sz w:val="22"/>
          <w:szCs w:val="22"/>
        </w:rPr>
        <w:t xml:space="preserve">while the reforestation model </w:t>
      </w:r>
      <w:r w:rsidR="00EB37F7">
        <w:rPr>
          <w:rFonts w:asciiTheme="minorHAnsi" w:hAnsiTheme="minorHAnsi" w:cstheme="minorHAnsi"/>
          <w:bCs/>
          <w:iCs/>
          <w:sz w:val="22"/>
          <w:szCs w:val="22"/>
        </w:rPr>
        <w:t xml:space="preserve">also </w:t>
      </w:r>
      <w:r w:rsidR="00C871BF">
        <w:rPr>
          <w:rFonts w:asciiTheme="minorHAnsi" w:hAnsiTheme="minorHAnsi" w:cstheme="minorHAnsi"/>
          <w:bCs/>
          <w:iCs/>
          <w:sz w:val="22"/>
          <w:szCs w:val="22"/>
        </w:rPr>
        <w:t xml:space="preserve">includes </w:t>
      </w:r>
      <w:r w:rsidR="00EB37F7">
        <w:rPr>
          <w:rFonts w:asciiTheme="minorHAnsi" w:hAnsiTheme="minorHAnsi" w:cstheme="minorHAnsi"/>
          <w:bCs/>
          <w:iCs/>
          <w:sz w:val="22"/>
          <w:szCs w:val="22"/>
        </w:rPr>
        <w:t>the state of South Kordofan</w:t>
      </w:r>
      <w:r w:rsidR="00112AAD" w:rsidRPr="00DA6808">
        <w:rPr>
          <w:rFonts w:asciiTheme="minorHAnsi" w:hAnsiTheme="minorHAnsi" w:cstheme="minorHAnsi"/>
          <w:bCs/>
          <w:iCs/>
          <w:sz w:val="22"/>
          <w:szCs w:val="22"/>
        </w:rPr>
        <w:t>.</w:t>
      </w:r>
      <w:r w:rsidR="009248B2">
        <w:rPr>
          <w:rStyle w:val="FootnoteReference"/>
          <w:rFonts w:asciiTheme="minorHAnsi" w:hAnsiTheme="minorHAnsi" w:cstheme="minorHAnsi"/>
          <w:bCs/>
          <w:iCs/>
          <w:sz w:val="22"/>
          <w:szCs w:val="22"/>
        </w:rPr>
        <w:footnoteReference w:id="11"/>
      </w:r>
      <w:r w:rsidR="00112AAD" w:rsidRPr="00DA6808">
        <w:rPr>
          <w:rFonts w:asciiTheme="minorHAnsi" w:hAnsiTheme="minorHAnsi" w:cstheme="minorHAnsi"/>
          <w:bCs/>
          <w:iCs/>
          <w:sz w:val="22"/>
          <w:szCs w:val="22"/>
        </w:rPr>
        <w:t xml:space="preserve"> </w:t>
      </w:r>
    </w:p>
    <w:p w14:paraId="5F2F8ABB" w14:textId="77777777" w:rsidR="00A53EAA" w:rsidRPr="009B4997" w:rsidRDefault="00A53EAA" w:rsidP="009B4997">
      <w:pPr>
        <w:pStyle w:val="ListParagraph"/>
        <w:widowControl/>
        <w:autoSpaceDE/>
        <w:autoSpaceDN/>
        <w:adjustRightInd/>
        <w:ind w:left="0"/>
        <w:contextualSpacing w:val="0"/>
        <w:jc w:val="both"/>
        <w:rPr>
          <w:rFonts w:asciiTheme="minorHAnsi" w:hAnsiTheme="minorHAnsi" w:cstheme="minorHAnsi"/>
          <w:b/>
          <w:bCs/>
          <w:iCs/>
          <w:sz w:val="22"/>
          <w:szCs w:val="22"/>
        </w:rPr>
      </w:pPr>
    </w:p>
    <w:p w14:paraId="3DEA1135" w14:textId="05F90075" w:rsidR="00A53EAA" w:rsidRPr="00281552" w:rsidRDefault="00067607" w:rsidP="009B4997">
      <w:pPr>
        <w:pStyle w:val="ListParagraph"/>
        <w:widowControl/>
        <w:numPr>
          <w:ilvl w:val="0"/>
          <w:numId w:val="1"/>
        </w:numPr>
        <w:autoSpaceDE/>
        <w:autoSpaceDN/>
        <w:adjustRightInd/>
        <w:ind w:left="0" w:firstLine="0"/>
        <w:contextualSpacing w:val="0"/>
        <w:jc w:val="both"/>
        <w:rPr>
          <w:rFonts w:asciiTheme="minorHAnsi" w:hAnsiTheme="minorHAnsi" w:cstheme="minorHAnsi"/>
          <w:b/>
          <w:bCs/>
          <w:iCs/>
          <w:sz w:val="22"/>
          <w:szCs w:val="22"/>
        </w:rPr>
      </w:pPr>
      <w:r w:rsidRPr="00DA6808">
        <w:rPr>
          <w:rFonts w:asciiTheme="minorHAnsi" w:hAnsiTheme="minorHAnsi" w:cstheme="minorHAnsi"/>
          <w:bCs/>
          <w:iCs/>
          <w:sz w:val="22"/>
          <w:szCs w:val="22"/>
        </w:rPr>
        <w:t>The</w:t>
      </w:r>
      <w:r w:rsidR="000007B2" w:rsidRPr="00DA6808">
        <w:rPr>
          <w:rFonts w:asciiTheme="minorHAnsi" w:hAnsiTheme="minorHAnsi" w:cstheme="minorHAnsi"/>
          <w:bCs/>
          <w:iCs/>
          <w:sz w:val="22"/>
          <w:szCs w:val="22"/>
        </w:rPr>
        <w:t xml:space="preserve"> </w:t>
      </w:r>
      <w:r w:rsidR="000007B2" w:rsidRPr="009B4997">
        <w:rPr>
          <w:rFonts w:asciiTheme="minorHAnsi" w:hAnsiTheme="minorHAnsi" w:cstheme="minorHAnsi"/>
          <w:b/>
          <w:bCs/>
          <w:i/>
          <w:iCs/>
          <w:sz w:val="22"/>
          <w:szCs w:val="22"/>
        </w:rPr>
        <w:t xml:space="preserve">agroforestry </w:t>
      </w:r>
      <w:r w:rsidRPr="009B4997">
        <w:rPr>
          <w:rFonts w:asciiTheme="minorHAnsi" w:hAnsiTheme="minorHAnsi" w:cstheme="minorHAnsi"/>
          <w:b/>
          <w:bCs/>
          <w:i/>
          <w:iCs/>
          <w:sz w:val="22"/>
          <w:szCs w:val="22"/>
        </w:rPr>
        <w:t>models</w:t>
      </w:r>
      <w:r w:rsidRPr="00DA6808">
        <w:rPr>
          <w:rFonts w:asciiTheme="minorHAnsi" w:hAnsiTheme="minorHAnsi" w:cstheme="minorHAnsi"/>
          <w:bCs/>
          <w:iCs/>
          <w:sz w:val="22"/>
          <w:szCs w:val="22"/>
        </w:rPr>
        <w:t xml:space="preserve"> </w:t>
      </w:r>
      <w:r w:rsidR="005678C5">
        <w:rPr>
          <w:rFonts w:asciiTheme="minorHAnsi" w:hAnsiTheme="minorHAnsi" w:cstheme="minorHAnsi"/>
          <w:bCs/>
          <w:iCs/>
          <w:sz w:val="22"/>
          <w:szCs w:val="22"/>
        </w:rPr>
        <w:t xml:space="preserve">(of 2 ha) </w:t>
      </w:r>
      <w:r w:rsidR="0088193B" w:rsidRPr="00DA6808">
        <w:rPr>
          <w:rFonts w:asciiTheme="minorHAnsi" w:hAnsiTheme="minorHAnsi" w:cstheme="minorHAnsi"/>
          <w:bCs/>
          <w:iCs/>
          <w:sz w:val="22"/>
          <w:szCs w:val="22"/>
        </w:rPr>
        <w:t>comprise</w:t>
      </w:r>
      <w:r w:rsidR="0088193B">
        <w:rPr>
          <w:rFonts w:asciiTheme="minorHAnsi" w:hAnsiTheme="minorHAnsi" w:cstheme="minorHAnsi"/>
          <w:bCs/>
          <w:iCs/>
          <w:sz w:val="22"/>
          <w:szCs w:val="22"/>
        </w:rPr>
        <w:t xml:space="preserve"> of</w:t>
      </w:r>
      <w:r w:rsidRPr="00DA6808">
        <w:rPr>
          <w:rFonts w:asciiTheme="minorHAnsi" w:hAnsiTheme="minorHAnsi" w:cstheme="minorHAnsi"/>
          <w:bCs/>
          <w:iCs/>
          <w:sz w:val="22"/>
          <w:szCs w:val="22"/>
        </w:rPr>
        <w:t xml:space="preserve"> millet and groundnuts field crops</w:t>
      </w:r>
      <w:r w:rsidR="0088193B">
        <w:rPr>
          <w:rFonts w:asciiTheme="minorHAnsi" w:hAnsiTheme="minorHAnsi" w:cstheme="minorHAnsi"/>
          <w:bCs/>
          <w:iCs/>
          <w:sz w:val="22"/>
          <w:szCs w:val="22"/>
        </w:rPr>
        <w:t xml:space="preserve"> for the first </w:t>
      </w:r>
      <w:r w:rsidR="00A53EAA">
        <w:rPr>
          <w:rFonts w:asciiTheme="minorHAnsi" w:hAnsiTheme="minorHAnsi" w:cstheme="minorHAnsi"/>
          <w:bCs/>
          <w:iCs/>
          <w:sz w:val="22"/>
          <w:szCs w:val="22"/>
        </w:rPr>
        <w:t>fi</w:t>
      </w:r>
      <w:r w:rsidR="0088193B">
        <w:rPr>
          <w:rFonts w:asciiTheme="minorHAnsi" w:hAnsiTheme="minorHAnsi" w:cstheme="minorHAnsi"/>
          <w:bCs/>
          <w:iCs/>
          <w:sz w:val="22"/>
          <w:szCs w:val="22"/>
        </w:rPr>
        <w:t>fteen-</w:t>
      </w:r>
      <w:r w:rsidR="00A53EAA">
        <w:rPr>
          <w:rFonts w:asciiTheme="minorHAnsi" w:hAnsiTheme="minorHAnsi" w:cstheme="minorHAnsi"/>
          <w:bCs/>
          <w:iCs/>
          <w:sz w:val="22"/>
          <w:szCs w:val="22"/>
        </w:rPr>
        <w:t>year</w:t>
      </w:r>
      <w:r w:rsidR="0088193B">
        <w:rPr>
          <w:rFonts w:asciiTheme="minorHAnsi" w:hAnsiTheme="minorHAnsi" w:cstheme="minorHAnsi"/>
          <w:bCs/>
          <w:iCs/>
          <w:sz w:val="22"/>
          <w:szCs w:val="22"/>
        </w:rPr>
        <w:t xml:space="preserve"> period</w:t>
      </w:r>
      <w:r w:rsidR="00840D0B">
        <w:rPr>
          <w:rFonts w:asciiTheme="minorHAnsi" w:hAnsiTheme="minorHAnsi" w:cstheme="minorHAnsi"/>
          <w:bCs/>
          <w:iCs/>
          <w:sz w:val="22"/>
          <w:szCs w:val="22"/>
        </w:rPr>
        <w:t>,</w:t>
      </w:r>
      <w:r w:rsidR="0088193B">
        <w:rPr>
          <w:rFonts w:asciiTheme="minorHAnsi" w:hAnsiTheme="minorHAnsi" w:cstheme="minorHAnsi"/>
          <w:bCs/>
          <w:iCs/>
          <w:sz w:val="22"/>
          <w:szCs w:val="22"/>
        </w:rPr>
        <w:t xml:space="preserve"> followed by five-years of fallow land, covering a total of 20 years. </w:t>
      </w:r>
      <w:r w:rsidR="001B28DD">
        <w:rPr>
          <w:rFonts w:asciiTheme="minorHAnsi" w:hAnsiTheme="minorHAnsi" w:cstheme="minorHAnsi"/>
          <w:bCs/>
          <w:iCs/>
          <w:sz w:val="22"/>
          <w:szCs w:val="22"/>
        </w:rPr>
        <w:t>An increasing tree crown, with a starting size of 400 cm2 (20x20cm), determines land use</w:t>
      </w:r>
      <w:r w:rsidR="0088193B">
        <w:rPr>
          <w:rFonts w:asciiTheme="minorHAnsi" w:hAnsiTheme="minorHAnsi" w:cstheme="minorHAnsi"/>
          <w:bCs/>
          <w:iCs/>
          <w:sz w:val="22"/>
          <w:szCs w:val="22"/>
        </w:rPr>
        <w:t xml:space="preserve">, which eventually increases </w:t>
      </w:r>
      <w:r w:rsidR="00FD2C7C">
        <w:rPr>
          <w:rFonts w:asciiTheme="minorHAnsi" w:hAnsiTheme="minorHAnsi" w:cstheme="minorHAnsi"/>
          <w:bCs/>
          <w:iCs/>
          <w:sz w:val="22"/>
          <w:szCs w:val="22"/>
        </w:rPr>
        <w:t>to 22</w:t>
      </w:r>
      <w:r w:rsidR="0001040F">
        <w:rPr>
          <w:rFonts w:asciiTheme="minorHAnsi" w:hAnsiTheme="minorHAnsi" w:cstheme="minorHAnsi"/>
          <w:bCs/>
          <w:iCs/>
          <w:sz w:val="22"/>
          <w:szCs w:val="22"/>
        </w:rPr>
        <w:t xml:space="preserve"> square meters</w:t>
      </w:r>
      <w:r w:rsidR="00FD2C7C">
        <w:rPr>
          <w:rFonts w:asciiTheme="minorHAnsi" w:hAnsiTheme="minorHAnsi" w:cstheme="minorHAnsi"/>
          <w:bCs/>
          <w:iCs/>
          <w:sz w:val="22"/>
          <w:szCs w:val="22"/>
        </w:rPr>
        <w:t xml:space="preserve"> in a 6mx6m format</w:t>
      </w:r>
      <w:r w:rsidR="001B28DD" w:rsidRPr="001B28DD">
        <w:rPr>
          <w:rFonts w:asciiTheme="minorHAnsi" w:hAnsiTheme="minorHAnsi" w:cstheme="minorHAnsi"/>
          <w:bCs/>
          <w:iCs/>
          <w:sz w:val="22"/>
          <w:szCs w:val="22"/>
        </w:rPr>
        <w:t xml:space="preserve"> </w:t>
      </w:r>
      <w:r w:rsidR="001B28DD">
        <w:rPr>
          <w:rFonts w:asciiTheme="minorHAnsi" w:hAnsiTheme="minorHAnsi" w:cstheme="minorHAnsi"/>
          <w:bCs/>
          <w:iCs/>
          <w:sz w:val="22"/>
          <w:szCs w:val="22"/>
        </w:rPr>
        <w:t>over 20 years</w:t>
      </w:r>
      <w:r w:rsidR="00FD2C7C">
        <w:rPr>
          <w:rFonts w:asciiTheme="minorHAnsi" w:hAnsiTheme="minorHAnsi" w:cstheme="minorHAnsi"/>
          <w:bCs/>
          <w:iCs/>
          <w:sz w:val="22"/>
          <w:szCs w:val="22"/>
        </w:rPr>
        <w:t>.</w:t>
      </w:r>
      <w:r w:rsidR="0088193B">
        <w:rPr>
          <w:rFonts w:asciiTheme="minorHAnsi" w:hAnsiTheme="minorHAnsi" w:cstheme="minorHAnsi"/>
          <w:bCs/>
          <w:iCs/>
          <w:sz w:val="22"/>
          <w:szCs w:val="22"/>
        </w:rPr>
        <w:t xml:space="preserve"> </w:t>
      </w:r>
      <w:r w:rsidR="00F66AA3">
        <w:rPr>
          <w:rFonts w:asciiTheme="minorHAnsi" w:hAnsiTheme="minorHAnsi" w:cstheme="minorHAnsi"/>
          <w:bCs/>
          <w:iCs/>
          <w:sz w:val="22"/>
          <w:szCs w:val="22"/>
        </w:rPr>
        <w:t>Tree p</w:t>
      </w:r>
      <w:r w:rsidR="0088193B">
        <w:rPr>
          <w:rFonts w:asciiTheme="minorHAnsi" w:hAnsiTheme="minorHAnsi" w:cstheme="minorHAnsi"/>
          <w:bCs/>
          <w:iCs/>
          <w:sz w:val="22"/>
          <w:szCs w:val="22"/>
        </w:rPr>
        <w:t xml:space="preserve">lantings in the second year of the project begin to feed into the </w:t>
      </w:r>
      <w:r w:rsidR="00FD2C7C">
        <w:rPr>
          <w:rFonts w:asciiTheme="minorHAnsi" w:hAnsiTheme="minorHAnsi" w:cstheme="minorHAnsi"/>
          <w:bCs/>
          <w:iCs/>
          <w:sz w:val="22"/>
          <w:szCs w:val="22"/>
        </w:rPr>
        <w:t xml:space="preserve">model with harvesting beginning in year 8. The average rate of harvest increases </w:t>
      </w:r>
      <w:r w:rsidR="001B28DD">
        <w:rPr>
          <w:rFonts w:asciiTheme="minorHAnsi" w:hAnsiTheme="minorHAnsi" w:cstheme="minorHAnsi"/>
          <w:bCs/>
          <w:iCs/>
          <w:sz w:val="22"/>
          <w:szCs w:val="22"/>
        </w:rPr>
        <w:t>incrementally each year until maturity</w:t>
      </w:r>
      <w:r w:rsidRPr="00DA6808">
        <w:rPr>
          <w:rFonts w:asciiTheme="minorHAnsi" w:hAnsiTheme="minorHAnsi" w:cstheme="minorHAnsi"/>
          <w:bCs/>
          <w:iCs/>
          <w:sz w:val="22"/>
          <w:szCs w:val="22"/>
        </w:rPr>
        <w:t>.</w:t>
      </w:r>
      <w:r w:rsidR="00FD2C7C">
        <w:rPr>
          <w:rFonts w:asciiTheme="minorHAnsi" w:hAnsiTheme="minorHAnsi" w:cstheme="minorHAnsi"/>
          <w:bCs/>
          <w:iCs/>
          <w:sz w:val="22"/>
          <w:szCs w:val="22"/>
        </w:rPr>
        <w:t xml:space="preserve"> While </w:t>
      </w:r>
      <w:r w:rsidR="00FD2C7C" w:rsidRPr="009B4997">
        <w:rPr>
          <w:rFonts w:asciiTheme="minorHAnsi" w:hAnsiTheme="minorHAnsi" w:cstheme="minorHAnsi"/>
          <w:bCs/>
          <w:i/>
          <w:iCs/>
          <w:sz w:val="22"/>
          <w:szCs w:val="22"/>
        </w:rPr>
        <w:t>Acacia senegal</w:t>
      </w:r>
      <w:r w:rsidR="00FD2C7C" w:rsidRPr="00FD2C7C">
        <w:rPr>
          <w:rFonts w:asciiTheme="minorHAnsi" w:hAnsiTheme="minorHAnsi" w:cstheme="minorHAnsi"/>
          <w:bCs/>
          <w:iCs/>
          <w:sz w:val="22"/>
          <w:szCs w:val="22"/>
        </w:rPr>
        <w:t xml:space="preserve"> </w:t>
      </w:r>
      <w:r w:rsidR="00FD2C7C">
        <w:rPr>
          <w:rFonts w:asciiTheme="minorHAnsi" w:hAnsiTheme="minorHAnsi" w:cstheme="minorHAnsi"/>
          <w:bCs/>
          <w:iCs/>
          <w:sz w:val="22"/>
          <w:szCs w:val="22"/>
        </w:rPr>
        <w:t xml:space="preserve">gum </w:t>
      </w:r>
      <w:r w:rsidR="00FD2C7C" w:rsidRPr="00FD2C7C">
        <w:rPr>
          <w:rFonts w:asciiTheme="minorHAnsi" w:hAnsiTheme="minorHAnsi" w:cstheme="minorHAnsi"/>
          <w:bCs/>
          <w:iCs/>
          <w:sz w:val="22"/>
          <w:szCs w:val="22"/>
        </w:rPr>
        <w:t>trees typically provide 2</w:t>
      </w:r>
      <w:r w:rsidR="0025494A">
        <w:rPr>
          <w:rFonts w:asciiTheme="minorHAnsi" w:hAnsiTheme="minorHAnsi" w:cstheme="minorHAnsi"/>
          <w:bCs/>
          <w:iCs/>
          <w:sz w:val="22"/>
          <w:szCs w:val="22"/>
        </w:rPr>
        <w:t>.</w:t>
      </w:r>
      <w:r w:rsidR="00FD2C7C" w:rsidRPr="00FD2C7C">
        <w:rPr>
          <w:rFonts w:asciiTheme="minorHAnsi" w:hAnsiTheme="minorHAnsi" w:cstheme="minorHAnsi"/>
          <w:bCs/>
          <w:iCs/>
          <w:sz w:val="22"/>
          <w:szCs w:val="22"/>
        </w:rPr>
        <w:t>5-3 kg of gum sap a year at full maturity,</w:t>
      </w:r>
      <w:r w:rsidR="00FD2C7C">
        <w:rPr>
          <w:rFonts w:asciiTheme="minorHAnsi" w:hAnsiTheme="minorHAnsi" w:cstheme="minorHAnsi"/>
          <w:bCs/>
          <w:iCs/>
          <w:sz w:val="22"/>
          <w:szCs w:val="22"/>
        </w:rPr>
        <w:t xml:space="preserve"> the model uses </w:t>
      </w:r>
      <w:r w:rsidR="0061463B">
        <w:rPr>
          <w:rFonts w:asciiTheme="minorHAnsi" w:hAnsiTheme="minorHAnsi" w:cstheme="minorHAnsi"/>
          <w:bCs/>
          <w:iCs/>
          <w:sz w:val="22"/>
          <w:szCs w:val="22"/>
        </w:rPr>
        <w:t>0.</w:t>
      </w:r>
      <w:r w:rsidR="00FD2C7C">
        <w:rPr>
          <w:rFonts w:asciiTheme="minorHAnsi" w:hAnsiTheme="minorHAnsi" w:cstheme="minorHAnsi"/>
          <w:bCs/>
          <w:iCs/>
          <w:sz w:val="22"/>
          <w:szCs w:val="22"/>
        </w:rPr>
        <w:t xml:space="preserve">25 kg per </w:t>
      </w:r>
      <w:r w:rsidR="0061463B">
        <w:rPr>
          <w:rFonts w:asciiTheme="minorHAnsi" w:hAnsiTheme="minorHAnsi" w:cstheme="minorHAnsi"/>
          <w:bCs/>
          <w:iCs/>
          <w:sz w:val="22"/>
          <w:szCs w:val="22"/>
        </w:rPr>
        <w:t>tree/year without the project, with a 30 percent increase with-project</w:t>
      </w:r>
      <w:r w:rsidR="00FD2C7C">
        <w:rPr>
          <w:rFonts w:asciiTheme="minorHAnsi" w:hAnsiTheme="minorHAnsi" w:cstheme="minorHAnsi"/>
          <w:bCs/>
          <w:iCs/>
          <w:sz w:val="22"/>
          <w:szCs w:val="22"/>
        </w:rPr>
        <w:t>.</w:t>
      </w:r>
      <w:r w:rsidR="00351417" w:rsidRPr="00FD2C7C">
        <w:rPr>
          <w:rFonts w:asciiTheme="minorHAnsi" w:hAnsiTheme="minorHAnsi" w:cstheme="minorHAnsi"/>
          <w:bCs/>
          <w:iCs/>
          <w:sz w:val="22"/>
          <w:szCs w:val="22"/>
        </w:rPr>
        <w:t xml:space="preserve"> </w:t>
      </w:r>
      <w:r w:rsidR="00A53EAA" w:rsidRPr="00FD2C7C">
        <w:rPr>
          <w:rFonts w:asciiTheme="minorHAnsi" w:hAnsiTheme="minorHAnsi" w:cstheme="minorHAnsi"/>
          <w:bCs/>
          <w:iCs/>
          <w:sz w:val="22"/>
          <w:szCs w:val="22"/>
        </w:rPr>
        <w:t xml:space="preserve">The </w:t>
      </w:r>
      <w:r w:rsidR="00F66AA3">
        <w:rPr>
          <w:rFonts w:asciiTheme="minorHAnsi" w:hAnsiTheme="minorHAnsi" w:cstheme="minorHAnsi"/>
          <w:bCs/>
          <w:iCs/>
          <w:sz w:val="22"/>
          <w:szCs w:val="22"/>
        </w:rPr>
        <w:t xml:space="preserve">plans to </w:t>
      </w:r>
      <w:r w:rsidR="00A53EAA" w:rsidRPr="00FD2C7C">
        <w:rPr>
          <w:rFonts w:asciiTheme="minorHAnsi" w:hAnsiTheme="minorHAnsi" w:cstheme="minorHAnsi"/>
          <w:bCs/>
          <w:iCs/>
          <w:sz w:val="22"/>
          <w:szCs w:val="22"/>
        </w:rPr>
        <w:t>densify areas</w:t>
      </w:r>
      <w:r w:rsidR="00F66AA3">
        <w:rPr>
          <w:rFonts w:asciiTheme="minorHAnsi" w:hAnsiTheme="minorHAnsi" w:cstheme="minorHAnsi"/>
          <w:bCs/>
          <w:iCs/>
          <w:sz w:val="22"/>
          <w:szCs w:val="22"/>
        </w:rPr>
        <w:t xml:space="preserve"> involves </w:t>
      </w:r>
      <w:r w:rsidR="00A53EAA" w:rsidRPr="00FD2C7C">
        <w:rPr>
          <w:rFonts w:asciiTheme="minorHAnsi" w:hAnsiTheme="minorHAnsi" w:cstheme="minorHAnsi"/>
          <w:bCs/>
          <w:iCs/>
          <w:sz w:val="22"/>
          <w:szCs w:val="22"/>
        </w:rPr>
        <w:t xml:space="preserve">moving from an 8x8m </w:t>
      </w:r>
      <w:r w:rsidR="001B28DD">
        <w:rPr>
          <w:rFonts w:asciiTheme="minorHAnsi" w:hAnsiTheme="minorHAnsi" w:cstheme="minorHAnsi"/>
          <w:bCs/>
          <w:iCs/>
          <w:sz w:val="22"/>
          <w:szCs w:val="22"/>
        </w:rPr>
        <w:t>layout</w:t>
      </w:r>
      <w:r w:rsidR="00A53EAA" w:rsidRPr="00FD2C7C">
        <w:rPr>
          <w:rFonts w:asciiTheme="minorHAnsi" w:hAnsiTheme="minorHAnsi" w:cstheme="minorHAnsi"/>
          <w:bCs/>
          <w:iCs/>
          <w:sz w:val="22"/>
          <w:szCs w:val="22"/>
        </w:rPr>
        <w:t xml:space="preserve"> to a 6mx6m </w:t>
      </w:r>
      <w:r w:rsidR="001B28DD">
        <w:rPr>
          <w:rFonts w:asciiTheme="minorHAnsi" w:hAnsiTheme="minorHAnsi" w:cstheme="minorHAnsi"/>
          <w:bCs/>
          <w:iCs/>
          <w:sz w:val="22"/>
          <w:szCs w:val="22"/>
        </w:rPr>
        <w:t>layout</w:t>
      </w:r>
      <w:r w:rsidR="00A53EAA" w:rsidRPr="00FD2C7C">
        <w:rPr>
          <w:rFonts w:asciiTheme="minorHAnsi" w:hAnsiTheme="minorHAnsi" w:cstheme="minorHAnsi"/>
          <w:bCs/>
          <w:iCs/>
          <w:sz w:val="22"/>
          <w:szCs w:val="22"/>
        </w:rPr>
        <w:t>. As a result, an additional 122 trees are seeded or planted per hectare in the second year of the project. The project expects a 70 percent survival rate and a replanting ratio of 30 percent in</w:t>
      </w:r>
      <w:r w:rsidR="00516BA4">
        <w:rPr>
          <w:rFonts w:asciiTheme="minorHAnsi" w:hAnsiTheme="minorHAnsi" w:cstheme="minorHAnsi"/>
          <w:bCs/>
          <w:iCs/>
          <w:sz w:val="22"/>
          <w:szCs w:val="22"/>
        </w:rPr>
        <w:t xml:space="preserve"> the</w:t>
      </w:r>
      <w:r w:rsidR="00A53EAA" w:rsidRPr="00FD2C7C">
        <w:rPr>
          <w:rFonts w:asciiTheme="minorHAnsi" w:hAnsiTheme="minorHAnsi" w:cstheme="minorHAnsi"/>
          <w:bCs/>
          <w:iCs/>
          <w:sz w:val="22"/>
          <w:szCs w:val="22"/>
        </w:rPr>
        <w:t xml:space="preserve"> fourth year of the project. </w:t>
      </w:r>
      <w:r w:rsidR="0016636D">
        <w:rPr>
          <w:rFonts w:asciiTheme="minorHAnsi" w:hAnsiTheme="minorHAnsi" w:cstheme="minorHAnsi"/>
          <w:bCs/>
          <w:iCs/>
          <w:sz w:val="22"/>
          <w:szCs w:val="22"/>
        </w:rPr>
        <w:t xml:space="preserve">The </w:t>
      </w:r>
      <w:r w:rsidR="00866BB4">
        <w:rPr>
          <w:rFonts w:asciiTheme="minorHAnsi" w:hAnsiTheme="minorHAnsi" w:cstheme="minorHAnsi"/>
          <w:bCs/>
          <w:iCs/>
          <w:sz w:val="22"/>
          <w:szCs w:val="22"/>
        </w:rPr>
        <w:t xml:space="preserve">net </w:t>
      </w:r>
      <w:r w:rsidR="0016636D">
        <w:rPr>
          <w:rFonts w:asciiTheme="minorHAnsi" w:hAnsiTheme="minorHAnsi" w:cstheme="minorHAnsi"/>
          <w:bCs/>
          <w:iCs/>
          <w:sz w:val="22"/>
          <w:szCs w:val="22"/>
        </w:rPr>
        <w:t xml:space="preserve">incremental benefit </w:t>
      </w:r>
      <w:r w:rsidR="001B28DD">
        <w:rPr>
          <w:rFonts w:asciiTheme="minorHAnsi" w:hAnsiTheme="minorHAnsi" w:cstheme="minorHAnsi"/>
          <w:bCs/>
          <w:iCs/>
          <w:sz w:val="22"/>
          <w:szCs w:val="22"/>
        </w:rPr>
        <w:t xml:space="preserve">of </w:t>
      </w:r>
      <w:r w:rsidR="0016636D">
        <w:rPr>
          <w:rFonts w:asciiTheme="minorHAnsi" w:hAnsiTheme="minorHAnsi" w:cstheme="minorHAnsi"/>
          <w:bCs/>
          <w:iCs/>
          <w:sz w:val="22"/>
          <w:szCs w:val="22"/>
        </w:rPr>
        <w:t>project intervention</w:t>
      </w:r>
      <w:r w:rsidR="001B28DD">
        <w:rPr>
          <w:rFonts w:asciiTheme="minorHAnsi" w:hAnsiTheme="minorHAnsi" w:cstheme="minorHAnsi"/>
          <w:bCs/>
          <w:iCs/>
          <w:sz w:val="22"/>
          <w:szCs w:val="22"/>
        </w:rPr>
        <w:t>s</w:t>
      </w:r>
      <w:r w:rsidR="0016636D">
        <w:rPr>
          <w:rFonts w:asciiTheme="minorHAnsi" w:hAnsiTheme="minorHAnsi" w:cstheme="minorHAnsi"/>
          <w:bCs/>
          <w:iCs/>
          <w:sz w:val="22"/>
          <w:szCs w:val="22"/>
        </w:rPr>
        <w:t xml:space="preserve"> </w:t>
      </w:r>
      <w:r w:rsidR="00FB2781">
        <w:rPr>
          <w:rFonts w:asciiTheme="minorHAnsi" w:hAnsiTheme="minorHAnsi" w:cstheme="minorHAnsi"/>
          <w:bCs/>
          <w:iCs/>
          <w:sz w:val="22"/>
          <w:szCs w:val="22"/>
        </w:rPr>
        <w:t xml:space="preserve">in the agroforestry models at household level (two hectares) </w:t>
      </w:r>
      <w:r w:rsidR="0016636D">
        <w:rPr>
          <w:rFonts w:asciiTheme="minorHAnsi" w:hAnsiTheme="minorHAnsi" w:cstheme="minorHAnsi"/>
          <w:bCs/>
          <w:iCs/>
          <w:sz w:val="22"/>
          <w:szCs w:val="22"/>
        </w:rPr>
        <w:t xml:space="preserve">equates to </w:t>
      </w:r>
      <w:r w:rsidR="001B28DD">
        <w:rPr>
          <w:rFonts w:asciiTheme="minorHAnsi" w:hAnsiTheme="minorHAnsi" w:cstheme="minorHAnsi"/>
          <w:bCs/>
          <w:iCs/>
          <w:sz w:val="22"/>
          <w:szCs w:val="22"/>
        </w:rPr>
        <w:t>USD 1</w:t>
      </w:r>
      <w:r w:rsidR="00487AD6">
        <w:rPr>
          <w:rFonts w:asciiTheme="minorHAnsi" w:hAnsiTheme="minorHAnsi" w:cstheme="minorHAnsi"/>
          <w:bCs/>
          <w:iCs/>
          <w:sz w:val="22"/>
          <w:szCs w:val="22"/>
        </w:rPr>
        <w:t>75</w:t>
      </w:r>
      <w:r w:rsidR="001B28DD">
        <w:rPr>
          <w:rFonts w:asciiTheme="minorHAnsi" w:hAnsiTheme="minorHAnsi" w:cstheme="minorHAnsi"/>
          <w:bCs/>
          <w:iCs/>
          <w:sz w:val="22"/>
          <w:szCs w:val="22"/>
        </w:rPr>
        <w:t>-17</w:t>
      </w:r>
      <w:r w:rsidR="00443313">
        <w:rPr>
          <w:rFonts w:asciiTheme="minorHAnsi" w:hAnsiTheme="minorHAnsi" w:cstheme="minorHAnsi"/>
          <w:bCs/>
          <w:iCs/>
          <w:sz w:val="22"/>
          <w:szCs w:val="22"/>
        </w:rPr>
        <w:t>9</w:t>
      </w:r>
      <w:r w:rsidR="001B28DD">
        <w:rPr>
          <w:rFonts w:asciiTheme="minorHAnsi" w:hAnsiTheme="minorHAnsi" w:cstheme="minorHAnsi"/>
          <w:bCs/>
          <w:iCs/>
          <w:sz w:val="22"/>
          <w:szCs w:val="22"/>
        </w:rPr>
        <w:t xml:space="preserve">, before financing, for North and West Kordofan, respectively. </w:t>
      </w:r>
      <w:r w:rsidR="00487AD6">
        <w:rPr>
          <w:rFonts w:asciiTheme="minorHAnsi" w:hAnsiTheme="minorHAnsi" w:cstheme="minorHAnsi"/>
          <w:bCs/>
          <w:iCs/>
          <w:sz w:val="22"/>
          <w:szCs w:val="22"/>
        </w:rPr>
        <w:t>After financing</w:t>
      </w:r>
      <w:r w:rsidR="00443313">
        <w:rPr>
          <w:rFonts w:asciiTheme="minorHAnsi" w:hAnsiTheme="minorHAnsi" w:cstheme="minorHAnsi"/>
          <w:bCs/>
          <w:iCs/>
          <w:sz w:val="22"/>
          <w:szCs w:val="22"/>
        </w:rPr>
        <w:t>,</w:t>
      </w:r>
      <w:r w:rsidR="00487AD6">
        <w:rPr>
          <w:rFonts w:asciiTheme="minorHAnsi" w:hAnsiTheme="minorHAnsi" w:cstheme="minorHAnsi"/>
          <w:bCs/>
          <w:iCs/>
          <w:sz w:val="22"/>
          <w:szCs w:val="22"/>
        </w:rPr>
        <w:t xml:space="preserve"> the net incremental benefit increases to USD 337 and USD 18</w:t>
      </w:r>
      <w:r w:rsidR="004118F1">
        <w:rPr>
          <w:rFonts w:asciiTheme="minorHAnsi" w:hAnsiTheme="minorHAnsi" w:cstheme="minorHAnsi"/>
          <w:bCs/>
          <w:iCs/>
          <w:sz w:val="22"/>
          <w:szCs w:val="22"/>
        </w:rPr>
        <w:t>6</w:t>
      </w:r>
      <w:r w:rsidR="00487AD6">
        <w:rPr>
          <w:rFonts w:asciiTheme="minorHAnsi" w:hAnsiTheme="minorHAnsi" w:cstheme="minorHAnsi"/>
          <w:bCs/>
          <w:iCs/>
          <w:sz w:val="22"/>
          <w:szCs w:val="22"/>
        </w:rPr>
        <w:t xml:space="preserve"> for North and West Kordofan.  </w:t>
      </w:r>
      <w:r w:rsidR="001B28DD" w:rsidRPr="00946BB0">
        <w:rPr>
          <w:rFonts w:asciiTheme="minorHAnsi" w:hAnsiTheme="minorHAnsi" w:cstheme="minorHAnsi"/>
          <w:bCs/>
          <w:iCs/>
          <w:sz w:val="22"/>
          <w:szCs w:val="22"/>
        </w:rPr>
        <w:t xml:space="preserve">While </w:t>
      </w:r>
      <w:r w:rsidR="007B1A1D" w:rsidRPr="009B4997">
        <w:rPr>
          <w:rFonts w:asciiTheme="minorHAnsi" w:hAnsiTheme="minorHAnsi" w:cstheme="minorHAnsi"/>
          <w:bCs/>
          <w:iCs/>
          <w:sz w:val="22"/>
          <w:szCs w:val="22"/>
        </w:rPr>
        <w:t xml:space="preserve">the </w:t>
      </w:r>
      <w:r w:rsidR="001B28DD" w:rsidRPr="00946BB0">
        <w:rPr>
          <w:rFonts w:asciiTheme="minorHAnsi" w:hAnsiTheme="minorHAnsi" w:cstheme="minorHAnsi"/>
          <w:bCs/>
          <w:iCs/>
          <w:sz w:val="22"/>
          <w:szCs w:val="22"/>
        </w:rPr>
        <w:t>revenue increase</w:t>
      </w:r>
      <w:r w:rsidR="007B1A1D" w:rsidRPr="009B4997">
        <w:rPr>
          <w:rFonts w:asciiTheme="minorHAnsi" w:hAnsiTheme="minorHAnsi" w:cstheme="minorHAnsi"/>
          <w:bCs/>
          <w:iCs/>
          <w:sz w:val="22"/>
          <w:szCs w:val="22"/>
        </w:rPr>
        <w:t xml:space="preserve"> </w:t>
      </w:r>
      <w:r w:rsidR="001B28DD" w:rsidRPr="00946BB0">
        <w:rPr>
          <w:rFonts w:asciiTheme="minorHAnsi" w:hAnsiTheme="minorHAnsi" w:cstheme="minorHAnsi"/>
          <w:bCs/>
          <w:iCs/>
          <w:sz w:val="22"/>
          <w:szCs w:val="22"/>
        </w:rPr>
        <w:t xml:space="preserve">in the final year </w:t>
      </w:r>
      <w:r w:rsidR="007B1A1D">
        <w:rPr>
          <w:rFonts w:asciiTheme="minorHAnsi" w:hAnsiTheme="minorHAnsi" w:cstheme="minorHAnsi"/>
          <w:bCs/>
          <w:iCs/>
          <w:sz w:val="22"/>
          <w:szCs w:val="22"/>
        </w:rPr>
        <w:t>of the project is minor when compared with the first year of the project</w:t>
      </w:r>
      <w:r w:rsidR="007B1A1D" w:rsidRPr="009B4997">
        <w:rPr>
          <w:rFonts w:asciiTheme="minorHAnsi" w:hAnsiTheme="minorHAnsi" w:cstheme="minorHAnsi"/>
          <w:bCs/>
          <w:iCs/>
          <w:sz w:val="22"/>
          <w:szCs w:val="22"/>
        </w:rPr>
        <w:t>,</w:t>
      </w:r>
      <w:r w:rsidR="001B28DD" w:rsidRPr="00946BB0">
        <w:rPr>
          <w:rFonts w:asciiTheme="minorHAnsi" w:hAnsiTheme="minorHAnsi" w:cstheme="minorHAnsi"/>
          <w:bCs/>
          <w:iCs/>
          <w:sz w:val="22"/>
          <w:szCs w:val="22"/>
        </w:rPr>
        <w:t xml:space="preserve"> </w:t>
      </w:r>
      <w:r w:rsidR="003551AC" w:rsidRPr="00946BB0">
        <w:rPr>
          <w:rFonts w:asciiTheme="minorHAnsi" w:hAnsiTheme="minorHAnsi" w:cstheme="minorHAnsi"/>
          <w:bCs/>
          <w:iCs/>
          <w:sz w:val="22"/>
          <w:szCs w:val="22"/>
        </w:rPr>
        <w:t xml:space="preserve">when </w:t>
      </w:r>
      <w:r w:rsidR="001B28DD" w:rsidRPr="00946BB0">
        <w:rPr>
          <w:rFonts w:asciiTheme="minorHAnsi" w:hAnsiTheme="minorHAnsi" w:cstheme="minorHAnsi"/>
          <w:bCs/>
          <w:iCs/>
          <w:sz w:val="22"/>
          <w:szCs w:val="22"/>
        </w:rPr>
        <w:t xml:space="preserve">the comparison </w:t>
      </w:r>
      <w:r w:rsidR="003551AC" w:rsidRPr="00666CF9">
        <w:rPr>
          <w:rFonts w:asciiTheme="minorHAnsi" w:hAnsiTheme="minorHAnsi" w:cstheme="minorHAnsi"/>
          <w:bCs/>
          <w:iCs/>
          <w:sz w:val="22"/>
          <w:szCs w:val="22"/>
        </w:rPr>
        <w:t>is</w:t>
      </w:r>
      <w:r w:rsidR="001B28DD" w:rsidRPr="00666CF9">
        <w:rPr>
          <w:rFonts w:asciiTheme="minorHAnsi" w:hAnsiTheme="minorHAnsi" w:cstheme="minorHAnsi"/>
          <w:bCs/>
          <w:iCs/>
          <w:sz w:val="22"/>
          <w:szCs w:val="22"/>
        </w:rPr>
        <w:t xml:space="preserve"> made with </w:t>
      </w:r>
      <w:r w:rsidR="003551AC" w:rsidRPr="00666CF9">
        <w:rPr>
          <w:rFonts w:asciiTheme="minorHAnsi" w:hAnsiTheme="minorHAnsi" w:cstheme="minorHAnsi"/>
          <w:bCs/>
          <w:iCs/>
          <w:sz w:val="22"/>
          <w:szCs w:val="22"/>
        </w:rPr>
        <w:t>both</w:t>
      </w:r>
      <w:r w:rsidR="001B28DD" w:rsidRPr="00666CF9">
        <w:rPr>
          <w:rFonts w:asciiTheme="minorHAnsi" w:hAnsiTheme="minorHAnsi" w:cstheme="minorHAnsi"/>
          <w:bCs/>
          <w:iCs/>
          <w:sz w:val="22"/>
          <w:szCs w:val="22"/>
        </w:rPr>
        <w:t xml:space="preserve"> final year</w:t>
      </w:r>
      <w:r w:rsidR="00EA3100" w:rsidRPr="007B1A1D">
        <w:rPr>
          <w:rFonts w:asciiTheme="minorHAnsi" w:hAnsiTheme="minorHAnsi" w:cstheme="minorHAnsi"/>
          <w:bCs/>
          <w:iCs/>
          <w:sz w:val="22"/>
          <w:szCs w:val="22"/>
        </w:rPr>
        <w:t>s</w:t>
      </w:r>
      <w:r w:rsidR="001B28DD" w:rsidRPr="007B1A1D">
        <w:rPr>
          <w:rFonts w:asciiTheme="minorHAnsi" w:hAnsiTheme="minorHAnsi" w:cstheme="minorHAnsi"/>
          <w:bCs/>
          <w:iCs/>
          <w:sz w:val="22"/>
          <w:szCs w:val="22"/>
        </w:rPr>
        <w:t xml:space="preserve"> </w:t>
      </w:r>
      <w:r w:rsidR="003551AC" w:rsidRPr="007B1A1D">
        <w:rPr>
          <w:rFonts w:asciiTheme="minorHAnsi" w:hAnsiTheme="minorHAnsi" w:cstheme="minorHAnsi"/>
          <w:bCs/>
          <w:iCs/>
          <w:sz w:val="22"/>
          <w:szCs w:val="22"/>
        </w:rPr>
        <w:t xml:space="preserve">of the </w:t>
      </w:r>
      <w:r w:rsidR="00840F79" w:rsidRPr="007B1A1D">
        <w:rPr>
          <w:rFonts w:asciiTheme="minorHAnsi" w:hAnsiTheme="minorHAnsi" w:cstheme="minorHAnsi"/>
          <w:bCs/>
          <w:iCs/>
          <w:sz w:val="22"/>
          <w:szCs w:val="22"/>
        </w:rPr>
        <w:t>with-project and without-project</w:t>
      </w:r>
      <w:r w:rsidR="003551AC" w:rsidRPr="007B1A1D">
        <w:rPr>
          <w:rFonts w:asciiTheme="minorHAnsi" w:hAnsiTheme="minorHAnsi" w:cstheme="minorHAnsi"/>
          <w:bCs/>
          <w:iCs/>
          <w:sz w:val="22"/>
          <w:szCs w:val="22"/>
        </w:rPr>
        <w:t xml:space="preserve"> scenarios</w:t>
      </w:r>
      <w:r w:rsidR="00EA3100" w:rsidRPr="007B1A1D">
        <w:rPr>
          <w:rFonts w:asciiTheme="minorHAnsi" w:hAnsiTheme="minorHAnsi" w:cstheme="minorHAnsi"/>
          <w:bCs/>
          <w:iCs/>
          <w:sz w:val="22"/>
          <w:szCs w:val="22"/>
        </w:rPr>
        <w:t xml:space="preserve">, </w:t>
      </w:r>
      <w:r w:rsidR="003551AC" w:rsidRPr="007B1A1D">
        <w:rPr>
          <w:rFonts w:asciiTheme="minorHAnsi" w:hAnsiTheme="minorHAnsi" w:cstheme="minorHAnsi"/>
          <w:bCs/>
          <w:iCs/>
          <w:sz w:val="22"/>
          <w:szCs w:val="22"/>
        </w:rPr>
        <w:t xml:space="preserve">the with-project scenario is </w:t>
      </w:r>
      <w:r w:rsidR="00AB3268">
        <w:rPr>
          <w:rFonts w:asciiTheme="minorHAnsi" w:hAnsiTheme="minorHAnsi" w:cstheme="minorHAnsi"/>
          <w:bCs/>
          <w:iCs/>
          <w:sz w:val="22"/>
          <w:szCs w:val="22"/>
        </w:rPr>
        <w:t>around</w:t>
      </w:r>
      <w:r w:rsidR="00EA3100" w:rsidRPr="007B1A1D">
        <w:rPr>
          <w:rFonts w:asciiTheme="minorHAnsi" w:hAnsiTheme="minorHAnsi" w:cstheme="minorHAnsi"/>
          <w:bCs/>
          <w:iCs/>
          <w:sz w:val="22"/>
          <w:szCs w:val="22"/>
        </w:rPr>
        <w:t xml:space="preserve"> </w:t>
      </w:r>
      <w:r w:rsidR="00AB3268">
        <w:rPr>
          <w:rFonts w:asciiTheme="minorHAnsi" w:hAnsiTheme="minorHAnsi" w:cstheme="minorHAnsi"/>
          <w:bCs/>
          <w:iCs/>
          <w:sz w:val="22"/>
          <w:szCs w:val="22"/>
        </w:rPr>
        <w:t>four</w:t>
      </w:r>
      <w:r w:rsidR="00EA3100" w:rsidRPr="007B1A1D">
        <w:rPr>
          <w:rFonts w:asciiTheme="minorHAnsi" w:hAnsiTheme="minorHAnsi" w:cstheme="minorHAnsi"/>
          <w:bCs/>
          <w:iCs/>
          <w:sz w:val="22"/>
          <w:szCs w:val="22"/>
        </w:rPr>
        <w:t xml:space="preserve"> times</w:t>
      </w:r>
      <w:r w:rsidR="003551AC" w:rsidRPr="007B1A1D">
        <w:rPr>
          <w:rFonts w:asciiTheme="minorHAnsi" w:hAnsiTheme="minorHAnsi" w:cstheme="minorHAnsi"/>
          <w:bCs/>
          <w:iCs/>
          <w:sz w:val="22"/>
          <w:szCs w:val="22"/>
        </w:rPr>
        <w:t xml:space="preserve"> greater </w:t>
      </w:r>
      <w:r w:rsidR="00840F79" w:rsidRPr="007B1A1D">
        <w:rPr>
          <w:rFonts w:asciiTheme="minorHAnsi" w:hAnsiTheme="minorHAnsi" w:cstheme="minorHAnsi"/>
          <w:bCs/>
          <w:iCs/>
          <w:sz w:val="22"/>
          <w:szCs w:val="22"/>
        </w:rPr>
        <w:t>for a</w:t>
      </w:r>
      <w:r w:rsidR="007B1A1D">
        <w:rPr>
          <w:rFonts w:asciiTheme="minorHAnsi" w:hAnsiTheme="minorHAnsi" w:cstheme="minorHAnsi"/>
          <w:bCs/>
          <w:iCs/>
          <w:sz w:val="22"/>
          <w:szCs w:val="22"/>
        </w:rPr>
        <w:t>ny</w:t>
      </w:r>
      <w:r w:rsidR="00840F79" w:rsidRPr="00946BB0">
        <w:rPr>
          <w:rFonts w:asciiTheme="minorHAnsi" w:hAnsiTheme="minorHAnsi" w:cstheme="minorHAnsi"/>
          <w:bCs/>
          <w:iCs/>
          <w:sz w:val="22"/>
          <w:szCs w:val="22"/>
        </w:rPr>
        <w:t xml:space="preserve"> number of financial performance indicators</w:t>
      </w:r>
      <w:r w:rsidR="00EA3100" w:rsidRPr="00946BB0">
        <w:rPr>
          <w:rFonts w:asciiTheme="minorHAnsi" w:hAnsiTheme="minorHAnsi" w:cstheme="minorHAnsi"/>
          <w:bCs/>
          <w:iCs/>
          <w:sz w:val="22"/>
          <w:szCs w:val="22"/>
        </w:rPr>
        <w:t>.</w:t>
      </w:r>
      <w:r w:rsidR="008D31C3">
        <w:rPr>
          <w:rFonts w:asciiTheme="minorHAnsi" w:hAnsiTheme="minorHAnsi" w:cstheme="minorHAnsi"/>
          <w:bCs/>
          <w:iCs/>
          <w:sz w:val="22"/>
          <w:szCs w:val="22"/>
        </w:rPr>
        <w:t xml:space="preserve"> </w:t>
      </w:r>
      <w:r w:rsidR="00516BA4">
        <w:rPr>
          <w:rFonts w:asciiTheme="minorHAnsi" w:hAnsiTheme="minorHAnsi" w:cstheme="minorHAnsi"/>
          <w:bCs/>
          <w:iCs/>
          <w:sz w:val="22"/>
          <w:szCs w:val="22"/>
        </w:rPr>
        <w:t>For example, i</w:t>
      </w:r>
      <w:r w:rsidR="00A41CD0">
        <w:rPr>
          <w:rFonts w:asciiTheme="minorHAnsi" w:hAnsiTheme="minorHAnsi" w:cstheme="minorHAnsi"/>
          <w:bCs/>
          <w:iCs/>
          <w:sz w:val="22"/>
          <w:szCs w:val="22"/>
        </w:rPr>
        <w:t>n the case of household agroforestry model for West Kordofan, revenues for both WOP/WP</w:t>
      </w:r>
      <w:r w:rsidR="00616AD8">
        <w:rPr>
          <w:rFonts w:asciiTheme="minorHAnsi" w:hAnsiTheme="minorHAnsi" w:cstheme="minorHAnsi"/>
          <w:bCs/>
          <w:iCs/>
          <w:sz w:val="22"/>
          <w:szCs w:val="22"/>
        </w:rPr>
        <w:t xml:space="preserve"> (without-project/with-project)</w:t>
      </w:r>
      <w:r w:rsidR="00A41CD0">
        <w:rPr>
          <w:rFonts w:asciiTheme="minorHAnsi" w:hAnsiTheme="minorHAnsi" w:cstheme="minorHAnsi"/>
          <w:bCs/>
          <w:iCs/>
          <w:sz w:val="22"/>
          <w:szCs w:val="22"/>
        </w:rPr>
        <w:t xml:space="preserve"> are </w:t>
      </w:r>
      <w:r w:rsidR="00A41CD0" w:rsidRPr="00281552">
        <w:rPr>
          <w:rFonts w:asciiTheme="minorHAnsi" w:hAnsiTheme="minorHAnsi" w:cstheme="minorHAnsi"/>
          <w:bCs/>
          <w:i/>
          <w:iCs/>
          <w:sz w:val="22"/>
          <w:szCs w:val="22"/>
        </w:rPr>
        <w:t>circa</w:t>
      </w:r>
      <w:r w:rsidR="00A41CD0">
        <w:rPr>
          <w:rFonts w:asciiTheme="minorHAnsi" w:hAnsiTheme="minorHAnsi" w:cstheme="minorHAnsi"/>
          <w:bCs/>
          <w:iCs/>
          <w:sz w:val="22"/>
          <w:szCs w:val="22"/>
        </w:rPr>
        <w:t xml:space="preserve"> USD 200 in year 1, while in the final year of the </w:t>
      </w:r>
      <w:r w:rsidR="00300AA0">
        <w:rPr>
          <w:rFonts w:asciiTheme="minorHAnsi" w:hAnsiTheme="minorHAnsi" w:cstheme="minorHAnsi"/>
          <w:bCs/>
          <w:iCs/>
          <w:sz w:val="22"/>
          <w:szCs w:val="22"/>
        </w:rPr>
        <w:t>analysis,</w:t>
      </w:r>
      <w:r w:rsidR="00A41CD0">
        <w:rPr>
          <w:rFonts w:asciiTheme="minorHAnsi" w:hAnsiTheme="minorHAnsi" w:cstheme="minorHAnsi"/>
          <w:bCs/>
          <w:iCs/>
          <w:sz w:val="22"/>
          <w:szCs w:val="22"/>
        </w:rPr>
        <w:t xml:space="preserve"> they drop to USD 90 in the WOP scenario and in the WP </w:t>
      </w:r>
      <w:r w:rsidR="00300AA0">
        <w:rPr>
          <w:rFonts w:asciiTheme="minorHAnsi" w:hAnsiTheme="minorHAnsi" w:cstheme="minorHAnsi"/>
          <w:bCs/>
          <w:iCs/>
          <w:sz w:val="22"/>
          <w:szCs w:val="22"/>
        </w:rPr>
        <w:t>scenario,</w:t>
      </w:r>
      <w:r w:rsidR="00A41CD0">
        <w:rPr>
          <w:rFonts w:asciiTheme="minorHAnsi" w:hAnsiTheme="minorHAnsi" w:cstheme="minorHAnsi"/>
          <w:bCs/>
          <w:iCs/>
          <w:sz w:val="22"/>
          <w:szCs w:val="22"/>
        </w:rPr>
        <w:t xml:space="preserve"> they maintain and increase to US 279 per annum. </w:t>
      </w:r>
      <w:r w:rsidR="008A1E61">
        <w:rPr>
          <w:rFonts w:asciiTheme="minorHAnsi" w:hAnsiTheme="minorHAnsi" w:cstheme="minorHAnsi"/>
          <w:bCs/>
          <w:iCs/>
          <w:sz w:val="22"/>
          <w:szCs w:val="22"/>
        </w:rPr>
        <w:t xml:space="preserve"> </w:t>
      </w:r>
      <w:r w:rsidR="004907F4">
        <w:rPr>
          <w:rFonts w:asciiTheme="minorHAnsi" w:hAnsiTheme="minorHAnsi" w:cstheme="minorHAnsi"/>
          <w:bCs/>
          <w:iCs/>
          <w:sz w:val="22"/>
          <w:szCs w:val="22"/>
        </w:rPr>
        <w:t xml:space="preserve">We can conclude that </w:t>
      </w:r>
      <w:bookmarkStart w:id="20" w:name="_Hlk37110867"/>
      <w:r w:rsidR="008A1E61">
        <w:rPr>
          <w:rFonts w:asciiTheme="minorHAnsi" w:hAnsiTheme="minorHAnsi" w:cstheme="minorHAnsi"/>
          <w:bCs/>
          <w:iCs/>
          <w:sz w:val="22"/>
          <w:szCs w:val="22"/>
        </w:rPr>
        <w:t xml:space="preserve">revenues and income after </w:t>
      </w:r>
      <w:proofErr w:type="spellStart"/>
      <w:r w:rsidR="008A1E61">
        <w:rPr>
          <w:rFonts w:asciiTheme="minorHAnsi" w:hAnsiTheme="minorHAnsi" w:cstheme="minorHAnsi"/>
          <w:bCs/>
          <w:iCs/>
          <w:sz w:val="22"/>
          <w:szCs w:val="22"/>
        </w:rPr>
        <w:t>labour</w:t>
      </w:r>
      <w:proofErr w:type="spellEnd"/>
      <w:r w:rsidR="008A1E61">
        <w:rPr>
          <w:rFonts w:asciiTheme="minorHAnsi" w:hAnsiTheme="minorHAnsi" w:cstheme="minorHAnsi"/>
          <w:bCs/>
          <w:iCs/>
          <w:sz w:val="22"/>
          <w:szCs w:val="22"/>
        </w:rPr>
        <w:t xml:space="preserve"> appear steady</w:t>
      </w:r>
      <w:r w:rsidR="00766548">
        <w:rPr>
          <w:rFonts w:asciiTheme="minorHAnsi" w:hAnsiTheme="minorHAnsi" w:cstheme="minorHAnsi"/>
          <w:bCs/>
          <w:iCs/>
          <w:sz w:val="22"/>
          <w:szCs w:val="22"/>
        </w:rPr>
        <w:t xml:space="preserve"> after 20 years</w:t>
      </w:r>
      <w:r w:rsidR="008A1E61">
        <w:rPr>
          <w:rFonts w:asciiTheme="minorHAnsi" w:hAnsiTheme="minorHAnsi" w:cstheme="minorHAnsi"/>
          <w:bCs/>
          <w:iCs/>
          <w:sz w:val="22"/>
          <w:szCs w:val="22"/>
        </w:rPr>
        <w:t xml:space="preserve">, even after applying </w:t>
      </w:r>
      <w:r w:rsidR="006A42E4">
        <w:rPr>
          <w:rFonts w:asciiTheme="minorHAnsi" w:hAnsiTheme="minorHAnsi" w:cstheme="minorHAnsi"/>
          <w:bCs/>
          <w:iCs/>
          <w:sz w:val="22"/>
          <w:szCs w:val="22"/>
        </w:rPr>
        <w:t xml:space="preserve">the negative impact of climate change, </w:t>
      </w:r>
      <w:r w:rsidR="006A42E4" w:rsidRPr="009B4997">
        <w:rPr>
          <w:rFonts w:asciiTheme="minorHAnsi" w:hAnsiTheme="minorHAnsi" w:cstheme="minorHAnsi"/>
          <w:bCs/>
          <w:i/>
          <w:iCs/>
          <w:sz w:val="22"/>
          <w:szCs w:val="22"/>
        </w:rPr>
        <w:t>i.e.</w:t>
      </w:r>
      <w:r w:rsidR="006A42E4">
        <w:rPr>
          <w:rFonts w:asciiTheme="minorHAnsi" w:hAnsiTheme="minorHAnsi" w:cstheme="minorHAnsi"/>
          <w:bCs/>
          <w:iCs/>
          <w:sz w:val="22"/>
          <w:szCs w:val="22"/>
        </w:rPr>
        <w:t xml:space="preserve"> </w:t>
      </w:r>
      <w:r w:rsidR="008A1E61">
        <w:rPr>
          <w:rFonts w:asciiTheme="minorHAnsi" w:hAnsiTheme="minorHAnsi" w:cstheme="minorHAnsi"/>
          <w:bCs/>
          <w:iCs/>
          <w:sz w:val="22"/>
          <w:szCs w:val="22"/>
        </w:rPr>
        <w:t>declining crop yields using the CARD tool</w:t>
      </w:r>
      <w:r w:rsidR="006A42E4">
        <w:rPr>
          <w:rFonts w:asciiTheme="minorHAnsi" w:hAnsiTheme="minorHAnsi" w:cstheme="minorHAnsi"/>
          <w:bCs/>
          <w:iCs/>
          <w:sz w:val="22"/>
          <w:szCs w:val="22"/>
        </w:rPr>
        <w:t>, and the occurrence of extreme weather events</w:t>
      </w:r>
      <w:r w:rsidR="000D1879">
        <w:rPr>
          <w:rFonts w:asciiTheme="minorHAnsi" w:hAnsiTheme="minorHAnsi" w:cstheme="minorHAnsi"/>
          <w:bCs/>
          <w:iCs/>
          <w:sz w:val="22"/>
          <w:szCs w:val="22"/>
        </w:rPr>
        <w:t xml:space="preserve"> (with </w:t>
      </w:r>
      <w:r w:rsidR="00AC3789">
        <w:rPr>
          <w:rFonts w:asciiTheme="minorHAnsi" w:hAnsiTheme="minorHAnsi" w:cstheme="minorHAnsi"/>
          <w:bCs/>
          <w:iCs/>
          <w:sz w:val="22"/>
          <w:szCs w:val="22"/>
        </w:rPr>
        <w:t>good, moderate and bad years)</w:t>
      </w:r>
      <w:r w:rsidR="008A1E61">
        <w:rPr>
          <w:rFonts w:asciiTheme="minorHAnsi" w:hAnsiTheme="minorHAnsi" w:cstheme="minorHAnsi"/>
          <w:bCs/>
          <w:iCs/>
          <w:sz w:val="22"/>
          <w:szCs w:val="22"/>
        </w:rPr>
        <w:t>.</w:t>
      </w:r>
      <w:r w:rsidR="00EA3100" w:rsidRPr="00666CF9">
        <w:rPr>
          <w:rFonts w:asciiTheme="minorHAnsi" w:hAnsiTheme="minorHAnsi" w:cstheme="minorHAnsi"/>
          <w:bCs/>
          <w:iCs/>
          <w:sz w:val="22"/>
          <w:szCs w:val="22"/>
        </w:rPr>
        <w:t xml:space="preserve"> </w:t>
      </w:r>
      <w:r w:rsidR="00FF50C7" w:rsidRPr="00666CF9">
        <w:rPr>
          <w:rFonts w:asciiTheme="minorHAnsi" w:hAnsiTheme="minorHAnsi" w:cstheme="minorHAnsi"/>
          <w:bCs/>
          <w:iCs/>
          <w:sz w:val="22"/>
          <w:szCs w:val="22"/>
        </w:rPr>
        <w:t>This sug</w:t>
      </w:r>
      <w:r w:rsidR="003551AC" w:rsidRPr="00666CF9">
        <w:rPr>
          <w:rFonts w:asciiTheme="minorHAnsi" w:hAnsiTheme="minorHAnsi" w:cstheme="minorHAnsi"/>
          <w:bCs/>
          <w:iCs/>
          <w:sz w:val="22"/>
          <w:szCs w:val="22"/>
        </w:rPr>
        <w:t>gests that</w:t>
      </w:r>
      <w:r w:rsidR="00C07787" w:rsidRPr="007B1A1D">
        <w:rPr>
          <w:rFonts w:asciiTheme="minorHAnsi" w:hAnsiTheme="minorHAnsi" w:cstheme="minorHAnsi"/>
          <w:bCs/>
          <w:iCs/>
          <w:sz w:val="22"/>
          <w:szCs w:val="22"/>
        </w:rPr>
        <w:t xml:space="preserve"> </w:t>
      </w:r>
      <w:r w:rsidR="00C07787" w:rsidRPr="009B4997">
        <w:rPr>
          <w:rFonts w:asciiTheme="minorHAnsi" w:hAnsiTheme="minorHAnsi" w:cstheme="minorHAnsi"/>
          <w:b/>
          <w:bCs/>
          <w:i/>
          <w:iCs/>
          <w:sz w:val="22"/>
          <w:szCs w:val="22"/>
        </w:rPr>
        <w:t>the</w:t>
      </w:r>
      <w:r w:rsidR="00C07787" w:rsidRPr="00946BB0">
        <w:rPr>
          <w:rFonts w:asciiTheme="minorHAnsi" w:hAnsiTheme="minorHAnsi" w:cstheme="minorHAnsi"/>
          <w:bCs/>
          <w:iCs/>
          <w:sz w:val="22"/>
          <w:szCs w:val="22"/>
        </w:rPr>
        <w:t xml:space="preserve"> </w:t>
      </w:r>
      <w:r w:rsidR="00FF50C7" w:rsidRPr="009B4997">
        <w:rPr>
          <w:rFonts w:asciiTheme="minorHAnsi" w:hAnsiTheme="minorHAnsi" w:cstheme="minorHAnsi"/>
          <w:b/>
          <w:bCs/>
          <w:i/>
          <w:iCs/>
          <w:sz w:val="22"/>
          <w:szCs w:val="22"/>
        </w:rPr>
        <w:t>project</w:t>
      </w:r>
      <w:r w:rsidR="00C07787" w:rsidRPr="009B4997">
        <w:rPr>
          <w:rFonts w:asciiTheme="minorHAnsi" w:hAnsiTheme="minorHAnsi" w:cstheme="minorHAnsi"/>
          <w:b/>
          <w:bCs/>
          <w:i/>
          <w:iCs/>
          <w:sz w:val="22"/>
          <w:szCs w:val="22"/>
        </w:rPr>
        <w:t xml:space="preserve"> is able to counter declines in yields, as forecast in the IFAD CARD tool</w:t>
      </w:r>
      <w:r w:rsidR="00DB15D1" w:rsidRPr="009B4997">
        <w:rPr>
          <w:rFonts w:asciiTheme="minorHAnsi" w:hAnsiTheme="minorHAnsi" w:cstheme="minorHAnsi"/>
          <w:b/>
          <w:bCs/>
          <w:i/>
          <w:iCs/>
          <w:sz w:val="22"/>
          <w:szCs w:val="22"/>
        </w:rPr>
        <w:t>, or revenues</w:t>
      </w:r>
      <w:r w:rsidR="00C07787" w:rsidRPr="009B4997">
        <w:rPr>
          <w:rFonts w:asciiTheme="minorHAnsi" w:hAnsiTheme="minorHAnsi" w:cstheme="minorHAnsi"/>
          <w:b/>
          <w:bCs/>
          <w:i/>
          <w:iCs/>
          <w:sz w:val="22"/>
          <w:szCs w:val="22"/>
        </w:rPr>
        <w:t xml:space="preserve"> </w:t>
      </w:r>
      <w:r w:rsidR="007B1A1D" w:rsidRPr="009B4997">
        <w:rPr>
          <w:rFonts w:asciiTheme="minorHAnsi" w:hAnsiTheme="minorHAnsi" w:cstheme="minorHAnsi"/>
          <w:b/>
          <w:bCs/>
          <w:i/>
          <w:iCs/>
          <w:sz w:val="22"/>
          <w:szCs w:val="22"/>
        </w:rPr>
        <w:t xml:space="preserve">and earnings </w:t>
      </w:r>
      <w:r w:rsidR="00C07787" w:rsidRPr="009B4997">
        <w:rPr>
          <w:rFonts w:asciiTheme="minorHAnsi" w:hAnsiTheme="minorHAnsi" w:cstheme="minorHAnsi"/>
          <w:b/>
          <w:bCs/>
          <w:i/>
          <w:iCs/>
          <w:sz w:val="22"/>
          <w:szCs w:val="22"/>
        </w:rPr>
        <w:t>as a result of climatic change</w:t>
      </w:r>
      <w:r w:rsidR="00DE2EDB">
        <w:rPr>
          <w:rFonts w:asciiTheme="minorHAnsi" w:hAnsiTheme="minorHAnsi" w:cstheme="minorHAnsi"/>
          <w:b/>
          <w:bCs/>
          <w:i/>
          <w:iCs/>
          <w:sz w:val="22"/>
          <w:szCs w:val="22"/>
        </w:rPr>
        <w:t xml:space="preserve"> and extreme weather events</w:t>
      </w:r>
      <w:r w:rsidR="00C07787" w:rsidRPr="009B4997">
        <w:rPr>
          <w:rFonts w:asciiTheme="minorHAnsi" w:hAnsiTheme="minorHAnsi" w:cstheme="minorHAnsi"/>
          <w:b/>
          <w:bCs/>
          <w:i/>
          <w:iCs/>
          <w:sz w:val="22"/>
          <w:szCs w:val="22"/>
        </w:rPr>
        <w:t>.</w:t>
      </w:r>
      <w:r w:rsidR="00C07787" w:rsidRPr="00946BB0">
        <w:rPr>
          <w:rFonts w:asciiTheme="minorHAnsi" w:hAnsiTheme="minorHAnsi" w:cstheme="minorHAnsi"/>
          <w:bCs/>
          <w:iCs/>
          <w:sz w:val="22"/>
          <w:szCs w:val="22"/>
        </w:rPr>
        <w:t xml:space="preserve"> </w:t>
      </w:r>
      <w:r w:rsidR="00DB15D1" w:rsidRPr="00946BB0">
        <w:rPr>
          <w:rFonts w:asciiTheme="minorHAnsi" w:hAnsiTheme="minorHAnsi" w:cstheme="minorHAnsi"/>
          <w:bCs/>
          <w:iCs/>
          <w:sz w:val="22"/>
          <w:szCs w:val="22"/>
        </w:rPr>
        <w:t xml:space="preserve">The preliminary results suggest </w:t>
      </w:r>
      <w:r w:rsidR="003551AC" w:rsidRPr="00666CF9">
        <w:rPr>
          <w:rFonts w:asciiTheme="minorHAnsi" w:hAnsiTheme="minorHAnsi" w:cstheme="minorHAnsi"/>
          <w:bCs/>
          <w:iCs/>
          <w:sz w:val="22"/>
          <w:szCs w:val="22"/>
        </w:rPr>
        <w:t xml:space="preserve">greater </w:t>
      </w:r>
      <w:r w:rsidR="00FF50C7" w:rsidRPr="00666CF9">
        <w:rPr>
          <w:rFonts w:asciiTheme="minorHAnsi" w:hAnsiTheme="minorHAnsi" w:cstheme="minorHAnsi"/>
          <w:bCs/>
          <w:iCs/>
          <w:sz w:val="22"/>
          <w:szCs w:val="22"/>
        </w:rPr>
        <w:t>resi</w:t>
      </w:r>
      <w:r w:rsidR="003551AC" w:rsidRPr="00666CF9">
        <w:rPr>
          <w:rFonts w:asciiTheme="minorHAnsi" w:hAnsiTheme="minorHAnsi" w:cstheme="minorHAnsi"/>
          <w:bCs/>
          <w:iCs/>
          <w:sz w:val="22"/>
          <w:szCs w:val="22"/>
        </w:rPr>
        <w:t xml:space="preserve">lience of </w:t>
      </w:r>
      <w:r w:rsidR="00DB15D1" w:rsidRPr="00666CF9">
        <w:rPr>
          <w:rFonts w:asciiTheme="minorHAnsi" w:hAnsiTheme="minorHAnsi" w:cstheme="minorHAnsi"/>
          <w:bCs/>
          <w:iCs/>
          <w:sz w:val="22"/>
          <w:szCs w:val="22"/>
        </w:rPr>
        <w:t xml:space="preserve">the </w:t>
      </w:r>
      <w:r w:rsidR="00DB15D1" w:rsidRPr="007B1A1D">
        <w:rPr>
          <w:rFonts w:asciiTheme="minorHAnsi" w:hAnsiTheme="minorHAnsi" w:cstheme="minorHAnsi"/>
          <w:bCs/>
          <w:iCs/>
          <w:sz w:val="22"/>
          <w:szCs w:val="22"/>
        </w:rPr>
        <w:t>farming system</w:t>
      </w:r>
      <w:r w:rsidR="00261524" w:rsidRPr="007B1A1D">
        <w:rPr>
          <w:rFonts w:asciiTheme="minorHAnsi" w:hAnsiTheme="minorHAnsi" w:cstheme="minorHAnsi"/>
          <w:bCs/>
          <w:iCs/>
          <w:sz w:val="22"/>
          <w:szCs w:val="22"/>
        </w:rPr>
        <w:t>s</w:t>
      </w:r>
      <w:r w:rsidR="003551AC" w:rsidRPr="007B1A1D">
        <w:rPr>
          <w:rFonts w:asciiTheme="minorHAnsi" w:hAnsiTheme="minorHAnsi" w:cstheme="minorHAnsi"/>
          <w:bCs/>
          <w:iCs/>
          <w:sz w:val="22"/>
          <w:szCs w:val="22"/>
        </w:rPr>
        <w:t xml:space="preserve"> </w:t>
      </w:r>
      <w:r w:rsidR="00840F79" w:rsidRPr="007B1A1D">
        <w:rPr>
          <w:rFonts w:asciiTheme="minorHAnsi" w:hAnsiTheme="minorHAnsi" w:cstheme="minorHAnsi"/>
          <w:bCs/>
          <w:iCs/>
          <w:sz w:val="22"/>
          <w:szCs w:val="22"/>
        </w:rPr>
        <w:t xml:space="preserve">to </w:t>
      </w:r>
      <w:r w:rsidR="003551AC" w:rsidRPr="007B1A1D">
        <w:rPr>
          <w:rFonts w:asciiTheme="minorHAnsi" w:hAnsiTheme="minorHAnsi" w:cstheme="minorHAnsi"/>
          <w:bCs/>
          <w:iCs/>
          <w:sz w:val="22"/>
          <w:szCs w:val="22"/>
        </w:rPr>
        <w:t>climate change challenges.</w:t>
      </w:r>
      <w:r w:rsidR="00FF50C7" w:rsidRPr="007B1A1D">
        <w:rPr>
          <w:rFonts w:asciiTheme="minorHAnsi" w:hAnsiTheme="minorHAnsi" w:cstheme="minorHAnsi"/>
          <w:bCs/>
          <w:iCs/>
          <w:sz w:val="22"/>
          <w:szCs w:val="22"/>
        </w:rPr>
        <w:t xml:space="preserve"> </w:t>
      </w:r>
    </w:p>
    <w:p w14:paraId="57A2FFF6" w14:textId="77777777" w:rsidR="00045AAC" w:rsidRDefault="00045AAC" w:rsidP="00281552">
      <w:pPr>
        <w:pStyle w:val="ListParagraph"/>
        <w:widowControl/>
        <w:autoSpaceDE/>
        <w:autoSpaceDN/>
        <w:adjustRightInd/>
        <w:ind w:left="0"/>
        <w:contextualSpacing w:val="0"/>
        <w:jc w:val="both"/>
        <w:rPr>
          <w:rFonts w:asciiTheme="minorHAnsi" w:hAnsiTheme="minorHAnsi" w:cstheme="minorHAnsi"/>
          <w:b/>
          <w:bCs/>
          <w:iCs/>
          <w:sz w:val="22"/>
          <w:szCs w:val="22"/>
        </w:rPr>
      </w:pPr>
    </w:p>
    <w:p w14:paraId="42BC7E3D" w14:textId="67295C2A" w:rsidR="004A3472" w:rsidRPr="00281552" w:rsidRDefault="00045AAC" w:rsidP="00281552">
      <w:pPr>
        <w:pStyle w:val="ListParagraph"/>
        <w:widowControl/>
        <w:numPr>
          <w:ilvl w:val="0"/>
          <w:numId w:val="1"/>
        </w:numPr>
        <w:autoSpaceDE/>
        <w:autoSpaceDN/>
        <w:adjustRightInd/>
        <w:ind w:left="0" w:firstLine="0"/>
        <w:contextualSpacing w:val="0"/>
        <w:jc w:val="both"/>
        <w:rPr>
          <w:rFonts w:asciiTheme="minorHAnsi" w:hAnsiTheme="minorHAnsi" w:cstheme="minorHAnsi"/>
          <w:b/>
          <w:bCs/>
          <w:iCs/>
          <w:sz w:val="22"/>
          <w:szCs w:val="22"/>
        </w:rPr>
      </w:pPr>
      <w:r w:rsidRPr="00281552">
        <w:rPr>
          <w:rFonts w:asciiTheme="minorHAnsi" w:hAnsiTheme="minorHAnsi" w:cstheme="minorHAnsi"/>
          <w:bCs/>
          <w:iCs/>
          <w:sz w:val="22"/>
          <w:szCs w:val="22"/>
        </w:rPr>
        <w:t xml:space="preserve">An additional </w:t>
      </w:r>
      <w:r w:rsidR="000C1A1C">
        <w:rPr>
          <w:rFonts w:asciiTheme="minorHAnsi" w:hAnsiTheme="minorHAnsi" w:cstheme="minorHAnsi"/>
          <w:bCs/>
          <w:iCs/>
          <w:sz w:val="22"/>
          <w:szCs w:val="22"/>
        </w:rPr>
        <w:t xml:space="preserve">with-project </w:t>
      </w:r>
      <w:r w:rsidRPr="00281552">
        <w:rPr>
          <w:rFonts w:asciiTheme="minorHAnsi" w:hAnsiTheme="minorHAnsi" w:cstheme="minorHAnsi"/>
          <w:bCs/>
          <w:iCs/>
          <w:sz w:val="22"/>
          <w:szCs w:val="22"/>
        </w:rPr>
        <w:t xml:space="preserve">scenario was developed to analyze the </w:t>
      </w:r>
      <w:r w:rsidR="00003D7C">
        <w:rPr>
          <w:rFonts w:asciiTheme="minorHAnsi" w:hAnsiTheme="minorHAnsi" w:cstheme="minorHAnsi"/>
          <w:bCs/>
          <w:iCs/>
          <w:sz w:val="22"/>
          <w:szCs w:val="22"/>
        </w:rPr>
        <w:t>impact of</w:t>
      </w:r>
      <w:r w:rsidR="00FD46F4">
        <w:rPr>
          <w:rFonts w:asciiTheme="minorHAnsi" w:hAnsiTheme="minorHAnsi" w:cstheme="minorHAnsi"/>
          <w:bCs/>
          <w:iCs/>
          <w:sz w:val="22"/>
          <w:szCs w:val="22"/>
        </w:rPr>
        <w:t xml:space="preserve"> </w:t>
      </w:r>
      <w:r w:rsidR="00E350CE">
        <w:rPr>
          <w:rFonts w:asciiTheme="minorHAnsi" w:hAnsiTheme="minorHAnsi" w:cstheme="minorHAnsi"/>
          <w:bCs/>
          <w:iCs/>
          <w:sz w:val="22"/>
          <w:szCs w:val="22"/>
        </w:rPr>
        <w:t>‘</w:t>
      </w:r>
      <w:r w:rsidRPr="00281552">
        <w:rPr>
          <w:rFonts w:asciiTheme="minorHAnsi" w:hAnsiTheme="minorHAnsi" w:cstheme="minorHAnsi"/>
          <w:bCs/>
          <w:iCs/>
          <w:sz w:val="22"/>
          <w:szCs w:val="22"/>
        </w:rPr>
        <w:t>without private sector</w:t>
      </w:r>
      <w:r w:rsidR="000C1A1C">
        <w:rPr>
          <w:rFonts w:asciiTheme="minorHAnsi" w:hAnsiTheme="minorHAnsi" w:cstheme="minorHAnsi"/>
          <w:bCs/>
          <w:iCs/>
          <w:sz w:val="22"/>
          <w:szCs w:val="22"/>
        </w:rPr>
        <w:t>’</w:t>
      </w:r>
      <w:r w:rsidRPr="00281552">
        <w:rPr>
          <w:rFonts w:asciiTheme="minorHAnsi" w:hAnsiTheme="minorHAnsi" w:cstheme="minorHAnsi"/>
          <w:bCs/>
          <w:iCs/>
          <w:sz w:val="22"/>
          <w:szCs w:val="22"/>
        </w:rPr>
        <w:t xml:space="preserve"> </w:t>
      </w:r>
      <w:r w:rsidR="00E350CE">
        <w:rPr>
          <w:rFonts w:asciiTheme="minorHAnsi" w:hAnsiTheme="minorHAnsi" w:cstheme="minorHAnsi"/>
          <w:bCs/>
          <w:iCs/>
          <w:sz w:val="22"/>
          <w:szCs w:val="22"/>
        </w:rPr>
        <w:t>(WOPS)</w:t>
      </w:r>
      <w:r w:rsidR="000C1A1C">
        <w:rPr>
          <w:rFonts w:asciiTheme="minorHAnsi" w:hAnsiTheme="minorHAnsi" w:cstheme="minorHAnsi"/>
          <w:bCs/>
          <w:iCs/>
          <w:sz w:val="22"/>
          <w:szCs w:val="22"/>
        </w:rPr>
        <w:t xml:space="preserve"> </w:t>
      </w:r>
      <w:r w:rsidR="000C1A1C" w:rsidRPr="00D0585C">
        <w:rPr>
          <w:rFonts w:asciiTheme="minorHAnsi" w:hAnsiTheme="minorHAnsi" w:cstheme="minorHAnsi"/>
          <w:bCs/>
          <w:iCs/>
          <w:sz w:val="22"/>
          <w:szCs w:val="22"/>
        </w:rPr>
        <w:t>financing</w:t>
      </w:r>
      <w:r w:rsidR="00E350CE">
        <w:rPr>
          <w:rFonts w:asciiTheme="minorHAnsi" w:hAnsiTheme="minorHAnsi" w:cstheme="minorHAnsi"/>
          <w:bCs/>
          <w:iCs/>
          <w:sz w:val="22"/>
          <w:szCs w:val="22"/>
        </w:rPr>
        <w:t xml:space="preserve"> </w:t>
      </w:r>
      <w:r w:rsidR="00003D7C">
        <w:rPr>
          <w:rFonts w:asciiTheme="minorHAnsi" w:hAnsiTheme="minorHAnsi" w:cstheme="minorHAnsi"/>
          <w:bCs/>
          <w:iCs/>
          <w:sz w:val="22"/>
          <w:szCs w:val="22"/>
        </w:rPr>
        <w:t>on the cash flow of</w:t>
      </w:r>
      <w:r w:rsidR="00122D8F">
        <w:rPr>
          <w:rFonts w:asciiTheme="minorHAnsi" w:hAnsiTheme="minorHAnsi" w:cstheme="minorHAnsi"/>
          <w:bCs/>
          <w:iCs/>
          <w:sz w:val="22"/>
          <w:szCs w:val="22"/>
        </w:rPr>
        <w:t xml:space="preserve"> agroforestry and reforestation activities</w:t>
      </w:r>
      <w:r w:rsidR="00003D7C">
        <w:rPr>
          <w:rFonts w:asciiTheme="minorHAnsi" w:hAnsiTheme="minorHAnsi" w:cstheme="minorHAnsi"/>
          <w:bCs/>
          <w:iCs/>
          <w:sz w:val="22"/>
          <w:szCs w:val="22"/>
        </w:rPr>
        <w:t xml:space="preserve">, in addition to the </w:t>
      </w:r>
      <w:r w:rsidR="004F340A">
        <w:rPr>
          <w:rFonts w:asciiTheme="minorHAnsi" w:hAnsiTheme="minorHAnsi" w:cstheme="minorHAnsi"/>
          <w:bCs/>
          <w:iCs/>
          <w:sz w:val="22"/>
          <w:szCs w:val="22"/>
        </w:rPr>
        <w:t>‘</w:t>
      </w:r>
      <w:r w:rsidR="00003D7C">
        <w:rPr>
          <w:rFonts w:asciiTheme="minorHAnsi" w:hAnsiTheme="minorHAnsi" w:cstheme="minorHAnsi"/>
          <w:bCs/>
          <w:iCs/>
          <w:sz w:val="22"/>
          <w:szCs w:val="22"/>
        </w:rPr>
        <w:t>before</w:t>
      </w:r>
      <w:r w:rsidR="004F340A">
        <w:rPr>
          <w:rFonts w:asciiTheme="minorHAnsi" w:hAnsiTheme="minorHAnsi" w:cstheme="minorHAnsi"/>
          <w:bCs/>
          <w:iCs/>
          <w:sz w:val="22"/>
          <w:szCs w:val="22"/>
        </w:rPr>
        <w:t>’</w:t>
      </w:r>
      <w:r w:rsidR="00003D7C">
        <w:rPr>
          <w:rFonts w:asciiTheme="minorHAnsi" w:hAnsiTheme="minorHAnsi" w:cstheme="minorHAnsi"/>
          <w:bCs/>
          <w:iCs/>
          <w:sz w:val="22"/>
          <w:szCs w:val="22"/>
        </w:rPr>
        <w:t xml:space="preserve"> </w:t>
      </w:r>
      <w:r w:rsidR="004F340A">
        <w:rPr>
          <w:rFonts w:asciiTheme="minorHAnsi" w:hAnsiTheme="minorHAnsi" w:cstheme="minorHAnsi"/>
          <w:bCs/>
          <w:iCs/>
          <w:sz w:val="22"/>
          <w:szCs w:val="22"/>
        </w:rPr>
        <w:t xml:space="preserve">and ‘after’ </w:t>
      </w:r>
      <w:r w:rsidR="00003D7C">
        <w:rPr>
          <w:rFonts w:asciiTheme="minorHAnsi" w:hAnsiTheme="minorHAnsi" w:cstheme="minorHAnsi"/>
          <w:bCs/>
          <w:iCs/>
          <w:sz w:val="22"/>
          <w:szCs w:val="22"/>
        </w:rPr>
        <w:t>(blended) financing scenario</w:t>
      </w:r>
      <w:r w:rsidR="0065290F">
        <w:rPr>
          <w:rFonts w:asciiTheme="minorHAnsi" w:hAnsiTheme="minorHAnsi" w:cstheme="minorHAnsi"/>
          <w:bCs/>
          <w:iCs/>
          <w:sz w:val="22"/>
          <w:szCs w:val="22"/>
        </w:rPr>
        <w:t>s</w:t>
      </w:r>
      <w:r w:rsidRPr="00281552">
        <w:rPr>
          <w:rFonts w:asciiTheme="minorHAnsi" w:hAnsiTheme="minorHAnsi" w:cstheme="minorHAnsi"/>
          <w:bCs/>
          <w:iCs/>
          <w:sz w:val="22"/>
          <w:szCs w:val="22"/>
        </w:rPr>
        <w:t xml:space="preserve">. </w:t>
      </w:r>
      <w:r w:rsidR="00122D8F">
        <w:rPr>
          <w:rFonts w:asciiTheme="minorHAnsi" w:hAnsiTheme="minorHAnsi" w:cstheme="minorHAnsi"/>
          <w:bCs/>
          <w:iCs/>
          <w:sz w:val="22"/>
          <w:szCs w:val="22"/>
        </w:rPr>
        <w:t>T</w:t>
      </w:r>
      <w:r w:rsidRPr="00281552">
        <w:rPr>
          <w:rFonts w:asciiTheme="minorHAnsi" w:hAnsiTheme="minorHAnsi" w:cstheme="minorHAnsi"/>
          <w:bCs/>
          <w:iCs/>
          <w:sz w:val="22"/>
          <w:szCs w:val="22"/>
        </w:rPr>
        <w:t xml:space="preserve">he variation </w:t>
      </w:r>
      <w:r w:rsidR="00122D8F">
        <w:rPr>
          <w:rFonts w:asciiTheme="minorHAnsi" w:hAnsiTheme="minorHAnsi" w:cstheme="minorHAnsi"/>
          <w:bCs/>
          <w:iCs/>
          <w:sz w:val="22"/>
          <w:szCs w:val="22"/>
        </w:rPr>
        <w:t xml:space="preserve">in </w:t>
      </w:r>
      <w:r w:rsidRPr="00281552">
        <w:rPr>
          <w:rFonts w:asciiTheme="minorHAnsi" w:hAnsiTheme="minorHAnsi" w:cstheme="minorHAnsi"/>
          <w:bCs/>
          <w:iCs/>
          <w:sz w:val="22"/>
          <w:szCs w:val="22"/>
        </w:rPr>
        <w:t xml:space="preserve">performance indicators </w:t>
      </w:r>
      <w:r w:rsidR="00122D8F">
        <w:rPr>
          <w:rFonts w:asciiTheme="minorHAnsi" w:hAnsiTheme="minorHAnsi" w:cstheme="minorHAnsi"/>
          <w:bCs/>
          <w:iCs/>
          <w:sz w:val="22"/>
          <w:szCs w:val="22"/>
        </w:rPr>
        <w:t xml:space="preserve">between after </w:t>
      </w:r>
      <w:r w:rsidR="004F340A">
        <w:rPr>
          <w:rFonts w:asciiTheme="minorHAnsi" w:hAnsiTheme="minorHAnsi" w:cstheme="minorHAnsi"/>
          <w:bCs/>
          <w:iCs/>
          <w:sz w:val="22"/>
          <w:szCs w:val="22"/>
        </w:rPr>
        <w:t>(</w:t>
      </w:r>
      <w:r w:rsidR="00122D8F">
        <w:rPr>
          <w:rFonts w:asciiTheme="minorHAnsi" w:hAnsiTheme="minorHAnsi" w:cstheme="minorHAnsi"/>
          <w:bCs/>
          <w:iCs/>
          <w:sz w:val="22"/>
          <w:szCs w:val="22"/>
        </w:rPr>
        <w:t>blended</w:t>
      </w:r>
      <w:r w:rsidR="004F340A">
        <w:rPr>
          <w:rFonts w:asciiTheme="minorHAnsi" w:hAnsiTheme="minorHAnsi" w:cstheme="minorHAnsi"/>
          <w:bCs/>
          <w:iCs/>
          <w:sz w:val="22"/>
          <w:szCs w:val="22"/>
        </w:rPr>
        <w:t>)</w:t>
      </w:r>
      <w:r w:rsidR="00122D8F">
        <w:rPr>
          <w:rFonts w:asciiTheme="minorHAnsi" w:hAnsiTheme="minorHAnsi" w:cstheme="minorHAnsi"/>
          <w:bCs/>
          <w:iCs/>
          <w:sz w:val="22"/>
          <w:szCs w:val="22"/>
        </w:rPr>
        <w:t xml:space="preserve"> financing and </w:t>
      </w:r>
      <w:r w:rsidRPr="00281552">
        <w:rPr>
          <w:rFonts w:asciiTheme="minorHAnsi" w:hAnsiTheme="minorHAnsi" w:cstheme="minorHAnsi"/>
          <w:bCs/>
          <w:iCs/>
          <w:sz w:val="22"/>
          <w:szCs w:val="22"/>
        </w:rPr>
        <w:t xml:space="preserve">after </w:t>
      </w:r>
      <w:r w:rsidR="00E350CE">
        <w:rPr>
          <w:rFonts w:asciiTheme="minorHAnsi" w:hAnsiTheme="minorHAnsi" w:cstheme="minorHAnsi"/>
          <w:bCs/>
          <w:iCs/>
          <w:sz w:val="22"/>
          <w:szCs w:val="22"/>
        </w:rPr>
        <w:t>WOPS</w:t>
      </w:r>
      <w:r w:rsidR="004F340A">
        <w:rPr>
          <w:rFonts w:asciiTheme="minorHAnsi" w:hAnsiTheme="minorHAnsi" w:cstheme="minorHAnsi"/>
          <w:bCs/>
          <w:iCs/>
          <w:sz w:val="22"/>
          <w:szCs w:val="22"/>
        </w:rPr>
        <w:t xml:space="preserve"> </w:t>
      </w:r>
      <w:r w:rsidRPr="00281552">
        <w:rPr>
          <w:rFonts w:asciiTheme="minorHAnsi" w:hAnsiTheme="minorHAnsi" w:cstheme="minorHAnsi"/>
          <w:bCs/>
          <w:iCs/>
          <w:sz w:val="22"/>
          <w:szCs w:val="22"/>
        </w:rPr>
        <w:t xml:space="preserve">financing </w:t>
      </w:r>
      <w:r w:rsidR="00003D7C">
        <w:rPr>
          <w:rFonts w:asciiTheme="minorHAnsi" w:hAnsiTheme="minorHAnsi" w:cstheme="minorHAnsi"/>
          <w:bCs/>
          <w:iCs/>
          <w:sz w:val="22"/>
          <w:szCs w:val="22"/>
        </w:rPr>
        <w:t>shows</w:t>
      </w:r>
      <w:r w:rsidR="000626FF">
        <w:rPr>
          <w:rFonts w:asciiTheme="minorHAnsi" w:hAnsiTheme="minorHAnsi" w:cstheme="minorHAnsi"/>
          <w:bCs/>
          <w:iCs/>
          <w:sz w:val="22"/>
          <w:szCs w:val="22"/>
        </w:rPr>
        <w:t>, for example,</w:t>
      </w:r>
      <w:r w:rsidR="00003D7C">
        <w:rPr>
          <w:rFonts w:asciiTheme="minorHAnsi" w:hAnsiTheme="minorHAnsi" w:cstheme="minorHAnsi"/>
          <w:bCs/>
          <w:iCs/>
          <w:sz w:val="22"/>
          <w:szCs w:val="22"/>
        </w:rPr>
        <w:t xml:space="preserve"> a</w:t>
      </w:r>
      <w:r w:rsidR="00E350CE">
        <w:rPr>
          <w:rFonts w:asciiTheme="minorHAnsi" w:hAnsiTheme="minorHAnsi" w:cstheme="minorHAnsi"/>
          <w:bCs/>
          <w:iCs/>
          <w:sz w:val="22"/>
          <w:szCs w:val="22"/>
        </w:rPr>
        <w:t xml:space="preserve"> slight</w:t>
      </w:r>
      <w:r w:rsidR="00003D7C">
        <w:rPr>
          <w:rFonts w:asciiTheme="minorHAnsi" w:hAnsiTheme="minorHAnsi" w:cstheme="minorHAnsi"/>
          <w:bCs/>
          <w:iCs/>
          <w:sz w:val="22"/>
          <w:szCs w:val="22"/>
        </w:rPr>
        <w:t xml:space="preserve"> </w:t>
      </w:r>
      <w:r w:rsidR="000C1A1C">
        <w:rPr>
          <w:rFonts w:asciiTheme="minorHAnsi" w:hAnsiTheme="minorHAnsi" w:cstheme="minorHAnsi"/>
          <w:bCs/>
          <w:iCs/>
          <w:sz w:val="22"/>
          <w:szCs w:val="22"/>
        </w:rPr>
        <w:t>decline</w:t>
      </w:r>
      <w:r w:rsidR="00003D7C">
        <w:rPr>
          <w:rFonts w:asciiTheme="minorHAnsi" w:hAnsiTheme="minorHAnsi" w:cstheme="minorHAnsi"/>
          <w:bCs/>
          <w:iCs/>
          <w:sz w:val="22"/>
          <w:szCs w:val="22"/>
        </w:rPr>
        <w:t xml:space="preserve"> in the incremental difference between the two scenarios.</w:t>
      </w:r>
      <w:r w:rsidR="000C1A1C">
        <w:rPr>
          <w:rFonts w:asciiTheme="minorHAnsi" w:hAnsiTheme="minorHAnsi" w:cstheme="minorHAnsi"/>
          <w:bCs/>
          <w:iCs/>
          <w:sz w:val="22"/>
          <w:szCs w:val="22"/>
        </w:rPr>
        <w:t xml:space="preserve"> </w:t>
      </w:r>
      <w:r w:rsidR="00AA68B2">
        <w:rPr>
          <w:rFonts w:asciiTheme="minorHAnsi" w:hAnsiTheme="minorHAnsi" w:cstheme="minorHAnsi"/>
          <w:bCs/>
          <w:iCs/>
          <w:sz w:val="22"/>
          <w:szCs w:val="22"/>
        </w:rPr>
        <w:t>Tak</w:t>
      </w:r>
      <w:r w:rsidR="0065290F">
        <w:rPr>
          <w:rFonts w:asciiTheme="minorHAnsi" w:hAnsiTheme="minorHAnsi" w:cstheme="minorHAnsi"/>
          <w:bCs/>
          <w:iCs/>
          <w:sz w:val="22"/>
          <w:szCs w:val="22"/>
        </w:rPr>
        <w:t>ing</w:t>
      </w:r>
      <w:r w:rsidR="00AA68B2">
        <w:rPr>
          <w:rFonts w:asciiTheme="minorHAnsi" w:hAnsiTheme="minorHAnsi" w:cstheme="minorHAnsi"/>
          <w:bCs/>
          <w:iCs/>
          <w:sz w:val="22"/>
          <w:szCs w:val="22"/>
        </w:rPr>
        <w:t xml:space="preserve"> the North Kordofan case as an example, we see that the incremental difference ‘before’ financing is USD -205, after the second year of intervention, however in the after financing scenario (with blended financing) the incremental difference is improved up to USD -1. In the WOPS financing scenario this figure declines </w:t>
      </w:r>
      <w:r w:rsidR="0065290F">
        <w:rPr>
          <w:rFonts w:asciiTheme="minorHAnsi" w:hAnsiTheme="minorHAnsi" w:cstheme="minorHAnsi"/>
          <w:bCs/>
          <w:iCs/>
          <w:sz w:val="22"/>
          <w:szCs w:val="22"/>
        </w:rPr>
        <w:t xml:space="preserve">slightly </w:t>
      </w:r>
      <w:r w:rsidR="00AA68B2">
        <w:rPr>
          <w:rFonts w:asciiTheme="minorHAnsi" w:hAnsiTheme="minorHAnsi" w:cstheme="minorHAnsi"/>
          <w:bCs/>
          <w:iCs/>
          <w:sz w:val="22"/>
          <w:szCs w:val="22"/>
        </w:rPr>
        <w:t xml:space="preserve">to USD -16. </w:t>
      </w:r>
      <w:r w:rsidR="000C1A1C">
        <w:rPr>
          <w:rFonts w:asciiTheme="minorHAnsi" w:hAnsiTheme="minorHAnsi" w:cstheme="minorHAnsi"/>
          <w:bCs/>
          <w:iCs/>
          <w:sz w:val="22"/>
          <w:szCs w:val="22"/>
        </w:rPr>
        <w:t>Either way, the WOPS and blended financing scenarios show that the contribution of the project, without which the private sector would not contribute, makes a substantial contribution to the incremental difference per hectar</w:t>
      </w:r>
      <w:r w:rsidR="00AA68B2">
        <w:rPr>
          <w:rFonts w:asciiTheme="minorHAnsi" w:hAnsiTheme="minorHAnsi" w:cstheme="minorHAnsi"/>
          <w:bCs/>
          <w:iCs/>
          <w:sz w:val="22"/>
          <w:szCs w:val="22"/>
        </w:rPr>
        <w:t xml:space="preserve">e of intervention, and </w:t>
      </w:r>
      <w:r w:rsidR="000C1A1C">
        <w:rPr>
          <w:rFonts w:asciiTheme="minorHAnsi" w:hAnsiTheme="minorHAnsi" w:cstheme="minorHAnsi"/>
          <w:bCs/>
          <w:iCs/>
          <w:sz w:val="22"/>
          <w:szCs w:val="22"/>
        </w:rPr>
        <w:t>strongly sugges</w:t>
      </w:r>
      <w:r w:rsidR="00AA68B2">
        <w:rPr>
          <w:rFonts w:asciiTheme="minorHAnsi" w:hAnsiTheme="minorHAnsi" w:cstheme="minorHAnsi"/>
          <w:bCs/>
          <w:iCs/>
          <w:sz w:val="22"/>
          <w:szCs w:val="22"/>
        </w:rPr>
        <w:t>ts</w:t>
      </w:r>
      <w:r w:rsidR="000C1A1C">
        <w:rPr>
          <w:rFonts w:asciiTheme="minorHAnsi" w:hAnsiTheme="minorHAnsi" w:cstheme="minorHAnsi"/>
          <w:bCs/>
          <w:iCs/>
          <w:sz w:val="22"/>
          <w:szCs w:val="22"/>
        </w:rPr>
        <w:t xml:space="preserve"> that the project </w:t>
      </w:r>
      <w:r w:rsidR="00AA68B2">
        <w:rPr>
          <w:rFonts w:asciiTheme="minorHAnsi" w:hAnsiTheme="minorHAnsi" w:cstheme="minorHAnsi"/>
          <w:bCs/>
          <w:iCs/>
          <w:sz w:val="22"/>
          <w:szCs w:val="22"/>
        </w:rPr>
        <w:t xml:space="preserve">provides sufficient </w:t>
      </w:r>
      <w:r w:rsidR="000C1A1C">
        <w:rPr>
          <w:rFonts w:asciiTheme="minorHAnsi" w:hAnsiTheme="minorHAnsi" w:cstheme="minorHAnsi"/>
          <w:bCs/>
          <w:iCs/>
          <w:sz w:val="22"/>
          <w:szCs w:val="22"/>
        </w:rPr>
        <w:t>incentive</w:t>
      </w:r>
      <w:r w:rsidR="00AA68B2">
        <w:rPr>
          <w:rFonts w:asciiTheme="minorHAnsi" w:hAnsiTheme="minorHAnsi" w:cstheme="minorHAnsi"/>
          <w:bCs/>
          <w:iCs/>
          <w:sz w:val="22"/>
          <w:szCs w:val="22"/>
        </w:rPr>
        <w:t>s</w:t>
      </w:r>
      <w:r w:rsidR="000C1A1C">
        <w:rPr>
          <w:rFonts w:asciiTheme="minorHAnsi" w:hAnsiTheme="minorHAnsi" w:cstheme="minorHAnsi"/>
          <w:bCs/>
          <w:iCs/>
          <w:sz w:val="22"/>
          <w:szCs w:val="22"/>
        </w:rPr>
        <w:t xml:space="preserve"> for farmers to improve and continue in sustainable practices.   </w:t>
      </w:r>
      <w:r w:rsidRPr="00FD46F4">
        <w:rPr>
          <w:rFonts w:cstheme="minorHAnsi"/>
          <w:bCs/>
          <w:iCs/>
        </w:rPr>
        <w:t xml:space="preserve"> </w:t>
      </w:r>
    </w:p>
    <w:p w14:paraId="5443B95C" w14:textId="77777777" w:rsidR="004A3472" w:rsidRPr="00281552" w:rsidRDefault="004A3472" w:rsidP="00281552">
      <w:pPr>
        <w:pStyle w:val="ListParagraph"/>
        <w:rPr>
          <w:rFonts w:asciiTheme="minorHAnsi" w:hAnsiTheme="minorHAnsi" w:cstheme="minorHAnsi"/>
          <w:b/>
          <w:bCs/>
          <w:iCs/>
          <w:sz w:val="22"/>
          <w:szCs w:val="22"/>
        </w:rPr>
      </w:pPr>
    </w:p>
    <w:p w14:paraId="452AD809" w14:textId="77777777" w:rsidR="004A3472" w:rsidRPr="009B4997" w:rsidRDefault="004A3472" w:rsidP="00281552">
      <w:pPr>
        <w:pStyle w:val="ListParagraph"/>
        <w:widowControl/>
        <w:autoSpaceDE/>
        <w:autoSpaceDN/>
        <w:adjustRightInd/>
        <w:ind w:left="0"/>
        <w:contextualSpacing w:val="0"/>
        <w:jc w:val="both"/>
        <w:rPr>
          <w:rFonts w:asciiTheme="minorHAnsi" w:hAnsiTheme="minorHAnsi" w:cstheme="minorHAnsi"/>
          <w:b/>
          <w:bCs/>
          <w:iCs/>
          <w:sz w:val="22"/>
          <w:szCs w:val="22"/>
        </w:rPr>
      </w:pPr>
    </w:p>
    <w:p w14:paraId="17AEB467" w14:textId="1DF22C4A" w:rsidR="0016636D" w:rsidRPr="009B4997" w:rsidRDefault="00731F0F" w:rsidP="009B4997">
      <w:pPr>
        <w:pStyle w:val="Heading3"/>
        <w:jc w:val="center"/>
      </w:pPr>
      <w:bookmarkStart w:id="21" w:name="_Toc38031614"/>
      <w:bookmarkEnd w:id="20"/>
      <w:r w:rsidRPr="0023582D">
        <w:lastRenderedPageBreak/>
        <w:t xml:space="preserve">Table </w:t>
      </w:r>
      <w:r w:rsidR="002A2F54">
        <w:t>5</w:t>
      </w:r>
      <w:r w:rsidRPr="0023582D">
        <w:t xml:space="preserve">: </w:t>
      </w:r>
      <w:r>
        <w:t xml:space="preserve">Financial performance indicators </w:t>
      </w:r>
      <w:r w:rsidR="000C77A5">
        <w:t>for agroforestry activities</w:t>
      </w:r>
      <w:r w:rsidR="004A3472">
        <w:t xml:space="preserve">, </w:t>
      </w:r>
      <w:r>
        <w:br/>
        <w:t>before and after financing</w:t>
      </w:r>
      <w:r w:rsidR="00347CE0">
        <w:t xml:space="preserve">, </w:t>
      </w:r>
      <w:r w:rsidR="007053CF">
        <w:t>with project</w:t>
      </w:r>
      <w:r w:rsidR="00D240D5">
        <w:t xml:space="preserve">, </w:t>
      </w:r>
      <w:r w:rsidR="002D26BE">
        <w:t>per household</w:t>
      </w:r>
      <w:r w:rsidR="00D240D5">
        <w:t xml:space="preserve"> (</w:t>
      </w:r>
      <w:r w:rsidR="000A748A">
        <w:t>2ha</w:t>
      </w:r>
      <w:r w:rsidR="007053CF">
        <w:t>)</w:t>
      </w:r>
      <w:bookmarkEnd w:id="21"/>
    </w:p>
    <w:p w14:paraId="244B92CF" w14:textId="3C93311E" w:rsidR="0016636D" w:rsidRPr="009B4997" w:rsidRDefault="000965B7" w:rsidP="009B4997">
      <w:pPr>
        <w:pStyle w:val="ListParagraph"/>
        <w:widowControl/>
        <w:autoSpaceDE/>
        <w:autoSpaceDN/>
        <w:adjustRightInd/>
        <w:ind w:left="0"/>
        <w:contextualSpacing w:val="0"/>
        <w:jc w:val="center"/>
        <w:rPr>
          <w:rFonts w:asciiTheme="minorHAnsi" w:hAnsiTheme="minorHAnsi" w:cstheme="minorHAnsi"/>
          <w:b/>
          <w:bCs/>
          <w:iCs/>
          <w:sz w:val="22"/>
          <w:szCs w:val="22"/>
        </w:rPr>
      </w:pPr>
      <w:r w:rsidRPr="000965B7">
        <w:rPr>
          <w:noProof/>
          <w:lang w:val="en-GB" w:eastAsia="en-GB"/>
        </w:rPr>
        <w:drawing>
          <wp:inline distT="0" distB="0" distL="0" distR="0" wp14:anchorId="7A3A8DB6" wp14:editId="3EE020EC">
            <wp:extent cx="3105785" cy="42957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05785" cy="4295775"/>
                    </a:xfrm>
                    <a:prstGeom prst="rect">
                      <a:avLst/>
                    </a:prstGeom>
                    <a:noFill/>
                    <a:ln>
                      <a:noFill/>
                    </a:ln>
                  </pic:spPr>
                </pic:pic>
              </a:graphicData>
            </a:graphic>
          </wp:inline>
        </w:drawing>
      </w:r>
    </w:p>
    <w:p w14:paraId="024BDC4E" w14:textId="77777777" w:rsidR="00270A05" w:rsidRPr="009B4997" w:rsidRDefault="00270A05" w:rsidP="009B4997">
      <w:pPr>
        <w:pStyle w:val="ListParagraph"/>
        <w:widowControl/>
        <w:autoSpaceDE/>
        <w:autoSpaceDN/>
        <w:adjustRightInd/>
        <w:ind w:left="0"/>
        <w:contextualSpacing w:val="0"/>
        <w:jc w:val="both"/>
        <w:rPr>
          <w:rFonts w:asciiTheme="minorHAnsi" w:hAnsiTheme="minorHAnsi" w:cstheme="minorHAnsi"/>
          <w:b/>
          <w:bCs/>
          <w:iCs/>
          <w:sz w:val="22"/>
          <w:szCs w:val="22"/>
        </w:rPr>
      </w:pPr>
    </w:p>
    <w:p w14:paraId="334F4C4B" w14:textId="77777777" w:rsidR="009979AF" w:rsidRPr="009B4997" w:rsidRDefault="0037441F" w:rsidP="009B4997">
      <w:pPr>
        <w:pStyle w:val="ListParagraph"/>
        <w:widowControl/>
        <w:numPr>
          <w:ilvl w:val="0"/>
          <w:numId w:val="1"/>
        </w:numPr>
        <w:autoSpaceDE/>
        <w:autoSpaceDN/>
        <w:adjustRightInd/>
        <w:ind w:left="0" w:firstLine="0"/>
        <w:contextualSpacing w:val="0"/>
        <w:jc w:val="both"/>
        <w:rPr>
          <w:rFonts w:asciiTheme="minorHAnsi" w:hAnsiTheme="minorHAnsi" w:cstheme="minorHAnsi"/>
          <w:b/>
          <w:bCs/>
          <w:iCs/>
          <w:sz w:val="22"/>
          <w:szCs w:val="22"/>
        </w:rPr>
      </w:pPr>
      <w:r>
        <w:rPr>
          <w:rFonts w:asciiTheme="minorHAnsi" w:hAnsiTheme="minorHAnsi" w:cstheme="minorHAnsi"/>
          <w:bCs/>
          <w:iCs/>
          <w:sz w:val="22"/>
          <w:szCs w:val="22"/>
        </w:rPr>
        <w:t xml:space="preserve">Two types of </w:t>
      </w:r>
      <w:r w:rsidRPr="009B4997">
        <w:rPr>
          <w:rFonts w:asciiTheme="minorHAnsi" w:hAnsiTheme="minorHAnsi" w:cstheme="minorHAnsi"/>
          <w:b/>
          <w:bCs/>
          <w:i/>
          <w:iCs/>
          <w:sz w:val="22"/>
          <w:szCs w:val="22"/>
        </w:rPr>
        <w:t xml:space="preserve">reforestation </w:t>
      </w:r>
      <w:r w:rsidR="00B923F3" w:rsidRPr="009B4997">
        <w:rPr>
          <w:rFonts w:asciiTheme="minorHAnsi" w:hAnsiTheme="minorHAnsi" w:cstheme="minorHAnsi"/>
          <w:b/>
          <w:bCs/>
          <w:i/>
          <w:iCs/>
          <w:sz w:val="22"/>
          <w:szCs w:val="22"/>
        </w:rPr>
        <w:t>models</w:t>
      </w:r>
      <w:r>
        <w:rPr>
          <w:rFonts w:asciiTheme="minorHAnsi" w:hAnsiTheme="minorHAnsi" w:cstheme="minorHAnsi"/>
          <w:bCs/>
          <w:iCs/>
          <w:sz w:val="22"/>
          <w:szCs w:val="22"/>
        </w:rPr>
        <w:t xml:space="preserve"> exist, with </w:t>
      </w:r>
      <w:r w:rsidR="00A96E3E">
        <w:rPr>
          <w:rFonts w:asciiTheme="minorHAnsi" w:hAnsiTheme="minorHAnsi" w:cstheme="minorHAnsi"/>
          <w:bCs/>
          <w:iCs/>
          <w:sz w:val="22"/>
          <w:szCs w:val="22"/>
        </w:rPr>
        <w:t xml:space="preserve">densification of </w:t>
      </w:r>
      <w:r w:rsidR="00C4113C">
        <w:rPr>
          <w:rFonts w:asciiTheme="minorHAnsi" w:hAnsiTheme="minorHAnsi" w:cstheme="minorHAnsi"/>
          <w:bCs/>
          <w:iCs/>
          <w:sz w:val="22"/>
          <w:szCs w:val="22"/>
        </w:rPr>
        <w:t>10</w:t>
      </w:r>
      <w:r w:rsidR="00A96E3E">
        <w:rPr>
          <w:rFonts w:asciiTheme="minorHAnsi" w:hAnsiTheme="minorHAnsi" w:cstheme="minorHAnsi"/>
          <w:bCs/>
          <w:iCs/>
          <w:sz w:val="22"/>
          <w:szCs w:val="22"/>
        </w:rPr>
        <w:t xml:space="preserve">x10m lands changing to </w:t>
      </w:r>
      <w:r>
        <w:rPr>
          <w:rFonts w:asciiTheme="minorHAnsi" w:hAnsiTheme="minorHAnsi" w:cstheme="minorHAnsi"/>
          <w:bCs/>
          <w:iCs/>
          <w:sz w:val="22"/>
          <w:szCs w:val="22"/>
        </w:rPr>
        <w:t xml:space="preserve">4x5m and 6x3m </w:t>
      </w:r>
      <w:r w:rsidR="00A854FA">
        <w:rPr>
          <w:rFonts w:asciiTheme="minorHAnsi" w:hAnsiTheme="minorHAnsi" w:cstheme="minorHAnsi"/>
          <w:bCs/>
          <w:iCs/>
          <w:sz w:val="22"/>
          <w:szCs w:val="22"/>
        </w:rPr>
        <w:t>layouts</w:t>
      </w:r>
      <w:r w:rsidR="00B923F3">
        <w:rPr>
          <w:rFonts w:asciiTheme="minorHAnsi" w:hAnsiTheme="minorHAnsi" w:cstheme="minorHAnsi"/>
          <w:bCs/>
          <w:iCs/>
          <w:sz w:val="22"/>
          <w:szCs w:val="22"/>
        </w:rPr>
        <w:t xml:space="preserve"> for both </w:t>
      </w:r>
      <w:r w:rsidR="00B923F3">
        <w:rPr>
          <w:rFonts w:asciiTheme="minorHAnsi" w:hAnsiTheme="minorHAnsi" w:cstheme="minorHAnsi"/>
          <w:bCs/>
          <w:i/>
          <w:iCs/>
          <w:sz w:val="22"/>
          <w:szCs w:val="22"/>
        </w:rPr>
        <w:t>Acacia senegal</w:t>
      </w:r>
      <w:r w:rsidR="00B923F3">
        <w:rPr>
          <w:rFonts w:asciiTheme="minorHAnsi" w:hAnsiTheme="minorHAnsi" w:cstheme="minorHAnsi"/>
          <w:bCs/>
          <w:iCs/>
          <w:sz w:val="22"/>
          <w:szCs w:val="22"/>
        </w:rPr>
        <w:t xml:space="preserve"> and </w:t>
      </w:r>
      <w:r w:rsidR="00B923F3">
        <w:rPr>
          <w:rFonts w:asciiTheme="minorHAnsi" w:hAnsiTheme="minorHAnsi" w:cstheme="minorHAnsi"/>
          <w:bCs/>
          <w:i/>
          <w:iCs/>
          <w:sz w:val="22"/>
          <w:szCs w:val="22"/>
        </w:rPr>
        <w:t>Acacia seyal</w:t>
      </w:r>
      <w:r w:rsidR="00A96E3E">
        <w:rPr>
          <w:rFonts w:asciiTheme="minorHAnsi" w:hAnsiTheme="minorHAnsi" w:cstheme="minorHAnsi"/>
          <w:bCs/>
          <w:iCs/>
          <w:sz w:val="22"/>
          <w:szCs w:val="22"/>
        </w:rPr>
        <w:t xml:space="preserve">. </w:t>
      </w:r>
      <w:r w:rsidR="00B923F3" w:rsidRPr="009B4997">
        <w:rPr>
          <w:rFonts w:asciiTheme="minorHAnsi" w:hAnsiTheme="minorHAnsi" w:cstheme="minorHAnsi"/>
          <w:bCs/>
          <w:i/>
          <w:iCs/>
          <w:sz w:val="22"/>
          <w:szCs w:val="22"/>
        </w:rPr>
        <w:t>Acacia senegal</w:t>
      </w:r>
      <w:r w:rsidR="00B923F3">
        <w:rPr>
          <w:rFonts w:asciiTheme="minorHAnsi" w:hAnsiTheme="minorHAnsi" w:cstheme="minorHAnsi"/>
          <w:bCs/>
          <w:iCs/>
          <w:sz w:val="22"/>
          <w:szCs w:val="22"/>
        </w:rPr>
        <w:t xml:space="preserve"> (hashab) trees represent around 8</w:t>
      </w:r>
      <w:r w:rsidR="00A854FA">
        <w:rPr>
          <w:rFonts w:asciiTheme="minorHAnsi" w:hAnsiTheme="minorHAnsi" w:cstheme="minorHAnsi"/>
          <w:bCs/>
          <w:iCs/>
          <w:sz w:val="22"/>
          <w:szCs w:val="22"/>
        </w:rPr>
        <w:t>0 percent of gum trees in Sudan, and so</w:t>
      </w:r>
      <w:r w:rsidR="00B923F3">
        <w:rPr>
          <w:rFonts w:asciiTheme="minorHAnsi" w:hAnsiTheme="minorHAnsi" w:cstheme="minorHAnsi"/>
          <w:bCs/>
          <w:iCs/>
          <w:sz w:val="22"/>
          <w:szCs w:val="22"/>
        </w:rPr>
        <w:t xml:space="preserve"> the models reflect this</w:t>
      </w:r>
      <w:r w:rsidR="00A96E3E">
        <w:rPr>
          <w:rFonts w:asciiTheme="minorHAnsi" w:hAnsiTheme="minorHAnsi" w:cstheme="minorHAnsi"/>
          <w:bCs/>
          <w:iCs/>
          <w:sz w:val="22"/>
          <w:szCs w:val="22"/>
        </w:rPr>
        <w:t xml:space="preserve"> with 83 percent of the land in South Kordofan taken as </w:t>
      </w:r>
      <w:r w:rsidR="00A96E3E" w:rsidRPr="009B4997">
        <w:rPr>
          <w:rFonts w:asciiTheme="minorHAnsi" w:hAnsiTheme="minorHAnsi" w:cstheme="minorHAnsi"/>
          <w:bCs/>
          <w:i/>
          <w:iCs/>
          <w:sz w:val="22"/>
          <w:szCs w:val="22"/>
        </w:rPr>
        <w:t>senegal</w:t>
      </w:r>
      <w:r w:rsidR="00A96E3E">
        <w:rPr>
          <w:rFonts w:asciiTheme="minorHAnsi" w:hAnsiTheme="minorHAnsi" w:cstheme="minorHAnsi"/>
          <w:bCs/>
          <w:iCs/>
          <w:sz w:val="22"/>
          <w:szCs w:val="22"/>
        </w:rPr>
        <w:t xml:space="preserve"> and the remainder as </w:t>
      </w:r>
      <w:r w:rsidR="00A96E3E" w:rsidRPr="009B4997">
        <w:rPr>
          <w:rFonts w:asciiTheme="minorHAnsi" w:hAnsiTheme="minorHAnsi" w:cstheme="minorHAnsi"/>
          <w:bCs/>
          <w:i/>
          <w:iCs/>
          <w:sz w:val="22"/>
          <w:szCs w:val="22"/>
        </w:rPr>
        <w:t>seyal</w:t>
      </w:r>
      <w:r w:rsidR="00B923F3">
        <w:rPr>
          <w:rFonts w:asciiTheme="minorHAnsi" w:hAnsiTheme="minorHAnsi" w:cstheme="minorHAnsi"/>
          <w:bCs/>
          <w:iCs/>
          <w:sz w:val="22"/>
          <w:szCs w:val="22"/>
        </w:rPr>
        <w:t xml:space="preserve">. The more sandy soils in the north are typically more suitable to </w:t>
      </w:r>
      <w:r w:rsidR="00B923F3" w:rsidRPr="009B4997">
        <w:rPr>
          <w:rFonts w:asciiTheme="minorHAnsi" w:hAnsiTheme="minorHAnsi" w:cstheme="minorHAnsi"/>
          <w:bCs/>
          <w:i/>
          <w:iCs/>
          <w:sz w:val="22"/>
          <w:szCs w:val="22"/>
        </w:rPr>
        <w:t>hashab</w:t>
      </w:r>
      <w:r w:rsidR="00C7016C">
        <w:rPr>
          <w:rFonts w:asciiTheme="minorHAnsi" w:hAnsiTheme="minorHAnsi" w:cstheme="minorHAnsi"/>
          <w:bCs/>
          <w:iCs/>
          <w:sz w:val="22"/>
          <w:szCs w:val="22"/>
        </w:rPr>
        <w:t>, so the modelling for North and West Kordofan use only hashab trees,</w:t>
      </w:r>
      <w:r w:rsidR="009979AF">
        <w:rPr>
          <w:rFonts w:asciiTheme="minorHAnsi" w:hAnsiTheme="minorHAnsi" w:cstheme="minorHAnsi"/>
          <w:bCs/>
          <w:iCs/>
          <w:sz w:val="22"/>
          <w:szCs w:val="22"/>
        </w:rPr>
        <w:t xml:space="preserve"> while the more claye</w:t>
      </w:r>
      <w:r w:rsidR="00B923F3">
        <w:rPr>
          <w:rFonts w:asciiTheme="minorHAnsi" w:hAnsiTheme="minorHAnsi" w:cstheme="minorHAnsi"/>
          <w:bCs/>
          <w:iCs/>
          <w:sz w:val="22"/>
          <w:szCs w:val="22"/>
        </w:rPr>
        <w:t xml:space="preserve">y soils in the south are suited also </w:t>
      </w:r>
      <w:r w:rsidR="00C7016C">
        <w:rPr>
          <w:rFonts w:asciiTheme="minorHAnsi" w:hAnsiTheme="minorHAnsi" w:cstheme="minorHAnsi"/>
          <w:bCs/>
          <w:iCs/>
          <w:sz w:val="22"/>
          <w:szCs w:val="22"/>
        </w:rPr>
        <w:t>to the</w:t>
      </w:r>
      <w:r w:rsidR="00B923F3">
        <w:rPr>
          <w:rFonts w:asciiTheme="minorHAnsi" w:hAnsiTheme="minorHAnsi" w:cstheme="minorHAnsi"/>
          <w:bCs/>
          <w:iCs/>
          <w:sz w:val="22"/>
          <w:szCs w:val="22"/>
        </w:rPr>
        <w:t xml:space="preserve"> </w:t>
      </w:r>
      <w:r w:rsidR="00B923F3" w:rsidRPr="009B4997">
        <w:rPr>
          <w:rFonts w:asciiTheme="minorHAnsi" w:hAnsiTheme="minorHAnsi" w:cstheme="minorHAnsi"/>
          <w:bCs/>
          <w:i/>
          <w:iCs/>
          <w:sz w:val="22"/>
          <w:szCs w:val="22"/>
        </w:rPr>
        <w:t>talha</w:t>
      </w:r>
      <w:r w:rsidR="00C7016C">
        <w:rPr>
          <w:rFonts w:asciiTheme="minorHAnsi" w:hAnsiTheme="minorHAnsi" w:cstheme="minorHAnsi"/>
          <w:bCs/>
          <w:iCs/>
          <w:sz w:val="22"/>
          <w:szCs w:val="22"/>
        </w:rPr>
        <w:t xml:space="preserve">, with a </w:t>
      </w:r>
      <w:r w:rsidR="009979AF">
        <w:rPr>
          <w:rFonts w:asciiTheme="minorHAnsi" w:hAnsiTheme="minorHAnsi" w:cstheme="minorHAnsi"/>
          <w:bCs/>
          <w:iCs/>
          <w:sz w:val="22"/>
          <w:szCs w:val="22"/>
        </w:rPr>
        <w:t xml:space="preserve">said </w:t>
      </w:r>
      <w:r w:rsidR="00C7016C">
        <w:rPr>
          <w:rFonts w:asciiTheme="minorHAnsi" w:hAnsiTheme="minorHAnsi" w:cstheme="minorHAnsi"/>
          <w:bCs/>
          <w:iCs/>
          <w:sz w:val="22"/>
          <w:szCs w:val="22"/>
        </w:rPr>
        <w:t xml:space="preserve">65 percent sandy and 35 percent clay soil composition. </w:t>
      </w:r>
      <w:r w:rsidR="00B923F3">
        <w:rPr>
          <w:rFonts w:asciiTheme="minorHAnsi" w:hAnsiTheme="minorHAnsi" w:cstheme="minorHAnsi"/>
          <w:bCs/>
          <w:iCs/>
          <w:sz w:val="22"/>
          <w:szCs w:val="22"/>
        </w:rPr>
        <w:t xml:space="preserve"> </w:t>
      </w:r>
      <w:r w:rsidR="00A96E3E">
        <w:rPr>
          <w:rFonts w:asciiTheme="minorHAnsi" w:hAnsiTheme="minorHAnsi" w:cstheme="minorHAnsi"/>
          <w:bCs/>
          <w:iCs/>
          <w:sz w:val="22"/>
          <w:szCs w:val="22"/>
        </w:rPr>
        <w:t>Half of the clay soil is also hashab, so only 18 percent</w:t>
      </w:r>
      <w:r w:rsidR="0027137A">
        <w:rPr>
          <w:rFonts w:asciiTheme="minorHAnsi" w:hAnsiTheme="minorHAnsi" w:cstheme="minorHAnsi"/>
          <w:bCs/>
          <w:iCs/>
          <w:sz w:val="22"/>
          <w:szCs w:val="22"/>
        </w:rPr>
        <w:t>, or 7 000 ha,</w:t>
      </w:r>
      <w:r w:rsidR="00A96E3E">
        <w:rPr>
          <w:rFonts w:asciiTheme="minorHAnsi" w:hAnsiTheme="minorHAnsi" w:cstheme="minorHAnsi"/>
          <w:bCs/>
          <w:iCs/>
          <w:sz w:val="22"/>
          <w:szCs w:val="22"/>
        </w:rPr>
        <w:t xml:space="preserve"> is </w:t>
      </w:r>
      <w:r w:rsidR="00A96E3E" w:rsidRPr="009B4997">
        <w:rPr>
          <w:rFonts w:asciiTheme="minorHAnsi" w:hAnsiTheme="minorHAnsi" w:cstheme="minorHAnsi"/>
          <w:bCs/>
          <w:i/>
          <w:iCs/>
          <w:sz w:val="22"/>
          <w:szCs w:val="22"/>
        </w:rPr>
        <w:t>talha</w:t>
      </w:r>
      <w:r w:rsidR="00A96E3E">
        <w:rPr>
          <w:rFonts w:asciiTheme="minorHAnsi" w:hAnsiTheme="minorHAnsi" w:cstheme="minorHAnsi"/>
          <w:bCs/>
          <w:iCs/>
          <w:sz w:val="22"/>
          <w:szCs w:val="22"/>
        </w:rPr>
        <w:t xml:space="preserve"> in the modelling</w:t>
      </w:r>
      <w:r w:rsidR="009979AF">
        <w:rPr>
          <w:rFonts w:asciiTheme="minorHAnsi" w:hAnsiTheme="minorHAnsi" w:cstheme="minorHAnsi"/>
          <w:bCs/>
          <w:iCs/>
          <w:sz w:val="22"/>
          <w:szCs w:val="22"/>
        </w:rPr>
        <w:t xml:space="preserve"> for the southern state</w:t>
      </w:r>
      <w:r w:rsidR="00A96E3E">
        <w:rPr>
          <w:rFonts w:asciiTheme="minorHAnsi" w:hAnsiTheme="minorHAnsi" w:cstheme="minorHAnsi"/>
          <w:bCs/>
          <w:iCs/>
          <w:sz w:val="22"/>
          <w:szCs w:val="22"/>
        </w:rPr>
        <w:t>.</w:t>
      </w:r>
      <w:r w:rsidR="009979AF">
        <w:rPr>
          <w:rFonts w:asciiTheme="minorHAnsi" w:hAnsiTheme="minorHAnsi" w:cstheme="minorHAnsi"/>
          <w:bCs/>
          <w:iCs/>
          <w:sz w:val="22"/>
          <w:szCs w:val="22"/>
        </w:rPr>
        <w:t xml:space="preserve"> </w:t>
      </w:r>
    </w:p>
    <w:p w14:paraId="042E9652" w14:textId="77777777" w:rsidR="009979AF" w:rsidRPr="009B4997" w:rsidRDefault="009979AF" w:rsidP="009B4997">
      <w:pPr>
        <w:pStyle w:val="ListParagraph"/>
        <w:rPr>
          <w:rFonts w:asciiTheme="minorHAnsi" w:hAnsiTheme="minorHAnsi" w:cstheme="minorHAnsi"/>
          <w:b/>
          <w:bCs/>
          <w:iCs/>
          <w:sz w:val="22"/>
          <w:szCs w:val="22"/>
        </w:rPr>
      </w:pPr>
    </w:p>
    <w:p w14:paraId="0A496D55" w14:textId="0BCFF054" w:rsidR="009979AF" w:rsidRPr="009B4997" w:rsidRDefault="009979AF" w:rsidP="009B4997">
      <w:pPr>
        <w:pStyle w:val="ListParagraph"/>
        <w:widowControl/>
        <w:numPr>
          <w:ilvl w:val="0"/>
          <w:numId w:val="1"/>
        </w:numPr>
        <w:autoSpaceDE/>
        <w:autoSpaceDN/>
        <w:adjustRightInd/>
        <w:ind w:left="0" w:firstLine="0"/>
        <w:contextualSpacing w:val="0"/>
        <w:jc w:val="both"/>
        <w:rPr>
          <w:rFonts w:asciiTheme="minorHAnsi" w:hAnsiTheme="minorHAnsi" w:cstheme="minorHAnsi"/>
          <w:b/>
          <w:bCs/>
          <w:iCs/>
          <w:sz w:val="22"/>
          <w:szCs w:val="22"/>
        </w:rPr>
      </w:pPr>
      <w:r>
        <w:rPr>
          <w:rFonts w:asciiTheme="minorHAnsi" w:hAnsiTheme="minorHAnsi" w:cstheme="minorHAnsi"/>
          <w:bCs/>
          <w:iCs/>
          <w:sz w:val="22"/>
          <w:szCs w:val="22"/>
        </w:rPr>
        <w:t xml:space="preserve">The reforestation model assumes planting or seeding </w:t>
      </w:r>
      <w:r w:rsidR="005662D7">
        <w:rPr>
          <w:rFonts w:asciiTheme="minorHAnsi" w:hAnsiTheme="minorHAnsi" w:cstheme="minorHAnsi"/>
          <w:bCs/>
          <w:iCs/>
          <w:sz w:val="22"/>
          <w:szCs w:val="22"/>
        </w:rPr>
        <w:t xml:space="preserve">of gum trees </w:t>
      </w:r>
      <w:r>
        <w:rPr>
          <w:rFonts w:asciiTheme="minorHAnsi" w:hAnsiTheme="minorHAnsi" w:cstheme="minorHAnsi"/>
          <w:bCs/>
          <w:iCs/>
          <w:sz w:val="22"/>
          <w:szCs w:val="22"/>
        </w:rPr>
        <w:t>in the second year of the project</w:t>
      </w:r>
      <w:r w:rsidR="005662D7">
        <w:rPr>
          <w:rFonts w:asciiTheme="minorHAnsi" w:hAnsiTheme="minorHAnsi" w:cstheme="minorHAnsi"/>
          <w:bCs/>
          <w:iCs/>
          <w:sz w:val="22"/>
          <w:szCs w:val="22"/>
        </w:rPr>
        <w:t xml:space="preserve"> by gum producers,</w:t>
      </w:r>
      <w:r>
        <w:rPr>
          <w:rFonts w:asciiTheme="minorHAnsi" w:hAnsiTheme="minorHAnsi" w:cstheme="minorHAnsi"/>
          <w:bCs/>
          <w:iCs/>
          <w:sz w:val="22"/>
          <w:szCs w:val="22"/>
        </w:rPr>
        <w:t xml:space="preserve"> and</w:t>
      </w:r>
      <w:r w:rsidR="0018314C">
        <w:rPr>
          <w:rFonts w:asciiTheme="minorHAnsi" w:hAnsiTheme="minorHAnsi" w:cstheme="minorHAnsi"/>
          <w:bCs/>
          <w:iCs/>
          <w:sz w:val="22"/>
          <w:szCs w:val="22"/>
        </w:rPr>
        <w:t xml:space="preserve"> </w:t>
      </w:r>
      <w:r w:rsidR="005662D7">
        <w:rPr>
          <w:rFonts w:asciiTheme="minorHAnsi" w:hAnsiTheme="minorHAnsi" w:cstheme="minorHAnsi"/>
          <w:bCs/>
          <w:iCs/>
          <w:sz w:val="22"/>
          <w:szCs w:val="22"/>
        </w:rPr>
        <w:t xml:space="preserve">in </w:t>
      </w:r>
      <w:r w:rsidR="006D07C2">
        <w:rPr>
          <w:rFonts w:asciiTheme="minorHAnsi" w:hAnsiTheme="minorHAnsi" w:cstheme="minorHAnsi"/>
          <w:bCs/>
          <w:iCs/>
          <w:sz w:val="22"/>
          <w:szCs w:val="22"/>
        </w:rPr>
        <w:t>return,</w:t>
      </w:r>
      <w:r w:rsidR="005662D7">
        <w:rPr>
          <w:rFonts w:asciiTheme="minorHAnsi" w:hAnsiTheme="minorHAnsi" w:cstheme="minorHAnsi"/>
          <w:bCs/>
          <w:iCs/>
          <w:sz w:val="22"/>
          <w:szCs w:val="22"/>
        </w:rPr>
        <w:t xml:space="preserve"> the producers are permitted to cultivate the land with annual field crops such as sorghum and sesame, </w:t>
      </w:r>
      <w:r w:rsidR="0018314C">
        <w:rPr>
          <w:rFonts w:asciiTheme="minorHAnsi" w:hAnsiTheme="minorHAnsi" w:cstheme="minorHAnsi"/>
          <w:bCs/>
          <w:iCs/>
          <w:sz w:val="22"/>
          <w:szCs w:val="22"/>
        </w:rPr>
        <w:t>under the</w:t>
      </w:r>
      <w:r w:rsidR="000A2158">
        <w:rPr>
          <w:rFonts w:asciiTheme="minorHAnsi" w:hAnsiTheme="minorHAnsi" w:cstheme="minorHAnsi"/>
          <w:bCs/>
          <w:iCs/>
          <w:sz w:val="22"/>
          <w:szCs w:val="22"/>
        </w:rPr>
        <w:t xml:space="preserve"> so-called</w:t>
      </w:r>
      <w:r w:rsidR="00C65B4A">
        <w:rPr>
          <w:rFonts w:asciiTheme="minorHAnsi" w:hAnsiTheme="minorHAnsi" w:cstheme="minorHAnsi"/>
          <w:bCs/>
          <w:iCs/>
          <w:sz w:val="22"/>
          <w:szCs w:val="22"/>
        </w:rPr>
        <w:t xml:space="preserve"> modified</w:t>
      </w:r>
      <w:r w:rsidR="0018314C">
        <w:rPr>
          <w:rFonts w:asciiTheme="minorHAnsi" w:hAnsiTheme="minorHAnsi" w:cstheme="minorHAnsi"/>
          <w:bCs/>
          <w:iCs/>
          <w:sz w:val="22"/>
          <w:szCs w:val="22"/>
        </w:rPr>
        <w:t xml:space="preserve"> </w:t>
      </w:r>
      <w:r w:rsidR="000A2158" w:rsidRPr="009B4997">
        <w:rPr>
          <w:rFonts w:asciiTheme="minorHAnsi" w:hAnsiTheme="minorHAnsi" w:cstheme="minorHAnsi"/>
          <w:bCs/>
          <w:i/>
          <w:sz w:val="22"/>
          <w:szCs w:val="22"/>
        </w:rPr>
        <w:t>taungya</w:t>
      </w:r>
      <w:r w:rsidR="0018314C">
        <w:rPr>
          <w:rFonts w:asciiTheme="minorHAnsi" w:hAnsiTheme="minorHAnsi" w:cstheme="minorHAnsi"/>
          <w:bCs/>
          <w:iCs/>
          <w:sz w:val="22"/>
          <w:szCs w:val="22"/>
        </w:rPr>
        <w:t xml:space="preserve"> system</w:t>
      </w:r>
      <w:r w:rsidR="000A2158">
        <w:rPr>
          <w:rFonts w:asciiTheme="minorHAnsi" w:hAnsiTheme="minorHAnsi" w:cstheme="minorHAnsi"/>
          <w:bCs/>
          <w:iCs/>
          <w:sz w:val="22"/>
          <w:szCs w:val="22"/>
        </w:rPr>
        <w:t xml:space="preserve"> with which FNC has decades of experience</w:t>
      </w:r>
      <w:r w:rsidR="005662D7">
        <w:rPr>
          <w:rFonts w:asciiTheme="minorHAnsi" w:hAnsiTheme="minorHAnsi" w:cstheme="minorHAnsi"/>
          <w:bCs/>
          <w:iCs/>
          <w:sz w:val="22"/>
          <w:szCs w:val="22"/>
        </w:rPr>
        <w:t>.</w:t>
      </w:r>
      <w:r w:rsidR="000A2158">
        <w:rPr>
          <w:rStyle w:val="FootnoteReference"/>
          <w:rFonts w:asciiTheme="minorHAnsi" w:hAnsiTheme="minorHAnsi" w:cstheme="minorHAnsi"/>
          <w:bCs/>
          <w:iCs/>
          <w:sz w:val="22"/>
          <w:szCs w:val="22"/>
        </w:rPr>
        <w:footnoteReference w:id="12"/>
      </w:r>
      <w:r w:rsidR="005662D7">
        <w:rPr>
          <w:rFonts w:asciiTheme="minorHAnsi" w:hAnsiTheme="minorHAnsi" w:cstheme="minorHAnsi"/>
          <w:bCs/>
          <w:iCs/>
          <w:sz w:val="22"/>
          <w:szCs w:val="22"/>
        </w:rPr>
        <w:t xml:space="preserve"> F</w:t>
      </w:r>
      <w:r w:rsidR="00E1660A">
        <w:rPr>
          <w:rFonts w:asciiTheme="minorHAnsi" w:hAnsiTheme="minorHAnsi" w:cstheme="minorHAnsi"/>
          <w:bCs/>
          <w:iCs/>
          <w:sz w:val="22"/>
          <w:szCs w:val="22"/>
        </w:rPr>
        <w:t>ield crops begin</w:t>
      </w:r>
      <w:r w:rsidR="005662D7">
        <w:rPr>
          <w:rFonts w:asciiTheme="minorHAnsi" w:hAnsiTheme="minorHAnsi" w:cstheme="minorHAnsi"/>
          <w:bCs/>
          <w:iCs/>
          <w:sz w:val="22"/>
          <w:szCs w:val="22"/>
        </w:rPr>
        <w:t xml:space="preserve"> in the third year of the project and continue for five years. Gum is </w:t>
      </w:r>
      <w:r w:rsidR="001C0FBC">
        <w:rPr>
          <w:rFonts w:asciiTheme="minorHAnsi" w:hAnsiTheme="minorHAnsi" w:cstheme="minorHAnsi"/>
          <w:bCs/>
          <w:iCs/>
          <w:sz w:val="22"/>
          <w:szCs w:val="22"/>
        </w:rPr>
        <w:t xml:space="preserve">first </w:t>
      </w:r>
      <w:r w:rsidR="005662D7">
        <w:rPr>
          <w:rFonts w:asciiTheme="minorHAnsi" w:hAnsiTheme="minorHAnsi" w:cstheme="minorHAnsi"/>
          <w:bCs/>
          <w:iCs/>
          <w:sz w:val="22"/>
          <w:szCs w:val="22"/>
        </w:rPr>
        <w:t>harvested in year 8</w:t>
      </w:r>
      <w:r w:rsidR="006D07C2">
        <w:rPr>
          <w:rFonts w:asciiTheme="minorHAnsi" w:hAnsiTheme="minorHAnsi" w:cstheme="minorHAnsi"/>
          <w:bCs/>
          <w:iCs/>
          <w:sz w:val="22"/>
          <w:szCs w:val="22"/>
        </w:rPr>
        <w:t>, and w</w:t>
      </w:r>
      <w:r w:rsidR="00E1660A">
        <w:rPr>
          <w:rFonts w:asciiTheme="minorHAnsi" w:hAnsiTheme="minorHAnsi" w:cstheme="minorHAnsi"/>
          <w:bCs/>
          <w:iCs/>
          <w:sz w:val="22"/>
          <w:szCs w:val="22"/>
        </w:rPr>
        <w:t xml:space="preserve">hen harvesting of gum begins the cultivation of field crops stops.  </w:t>
      </w:r>
      <w:r w:rsidR="006D07C2">
        <w:rPr>
          <w:rFonts w:asciiTheme="minorHAnsi" w:hAnsiTheme="minorHAnsi" w:cstheme="minorHAnsi"/>
          <w:bCs/>
          <w:iCs/>
          <w:sz w:val="22"/>
          <w:szCs w:val="22"/>
        </w:rPr>
        <w:t>Under this scheme a strong incentive is put in place for the planting of trees</w:t>
      </w:r>
      <w:r w:rsidR="00C4113C">
        <w:rPr>
          <w:rFonts w:asciiTheme="minorHAnsi" w:hAnsiTheme="minorHAnsi" w:cstheme="minorHAnsi"/>
          <w:bCs/>
          <w:iCs/>
          <w:sz w:val="22"/>
          <w:szCs w:val="22"/>
        </w:rPr>
        <w:t>-</w:t>
      </w:r>
      <w:r w:rsidR="006D07C2">
        <w:rPr>
          <w:rFonts w:asciiTheme="minorHAnsi" w:hAnsiTheme="minorHAnsi" w:cstheme="minorHAnsi"/>
          <w:bCs/>
          <w:iCs/>
          <w:sz w:val="22"/>
          <w:szCs w:val="22"/>
        </w:rPr>
        <w:t xml:space="preserve"> </w:t>
      </w:r>
      <w:r w:rsidR="00C4113C">
        <w:rPr>
          <w:rFonts w:asciiTheme="minorHAnsi" w:hAnsiTheme="minorHAnsi" w:cstheme="minorHAnsi"/>
          <w:bCs/>
          <w:iCs/>
          <w:sz w:val="22"/>
          <w:szCs w:val="22"/>
        </w:rPr>
        <w:t xml:space="preserve">by gum producers - </w:t>
      </w:r>
      <w:r w:rsidR="006D07C2">
        <w:rPr>
          <w:rFonts w:asciiTheme="minorHAnsi" w:hAnsiTheme="minorHAnsi" w:cstheme="minorHAnsi"/>
          <w:bCs/>
          <w:iCs/>
          <w:sz w:val="22"/>
          <w:szCs w:val="22"/>
        </w:rPr>
        <w:t xml:space="preserve">with the reward of additional land for food and cash field crops. </w:t>
      </w:r>
      <w:r w:rsidR="0005287B">
        <w:rPr>
          <w:rFonts w:asciiTheme="minorHAnsi" w:hAnsiTheme="minorHAnsi" w:cstheme="minorHAnsi"/>
          <w:bCs/>
          <w:iCs/>
          <w:sz w:val="22"/>
          <w:szCs w:val="22"/>
        </w:rPr>
        <w:t>Before financing, t</w:t>
      </w:r>
      <w:r w:rsidR="005900AD">
        <w:rPr>
          <w:rFonts w:asciiTheme="minorHAnsi" w:hAnsiTheme="minorHAnsi" w:cstheme="minorHAnsi"/>
          <w:bCs/>
          <w:iCs/>
          <w:sz w:val="22"/>
          <w:szCs w:val="22"/>
        </w:rPr>
        <w:t xml:space="preserve">he </w:t>
      </w:r>
      <w:r w:rsidR="00FE4F22" w:rsidRPr="00510EE3">
        <w:rPr>
          <w:rFonts w:asciiTheme="minorHAnsi" w:hAnsiTheme="minorHAnsi" w:cstheme="minorHAnsi"/>
          <w:bCs/>
          <w:iCs/>
          <w:sz w:val="22"/>
          <w:szCs w:val="22"/>
        </w:rPr>
        <w:t xml:space="preserve">net </w:t>
      </w:r>
      <w:r w:rsidR="005C773A" w:rsidRPr="00946BB0">
        <w:rPr>
          <w:rFonts w:asciiTheme="minorHAnsi" w:hAnsiTheme="minorHAnsi" w:cstheme="minorHAnsi"/>
          <w:bCs/>
          <w:iCs/>
          <w:sz w:val="22"/>
          <w:szCs w:val="22"/>
        </w:rPr>
        <w:t xml:space="preserve">incremental benefit </w:t>
      </w:r>
      <w:r w:rsidR="00A95304" w:rsidRPr="009B4997">
        <w:rPr>
          <w:rFonts w:asciiTheme="minorHAnsi" w:hAnsiTheme="minorHAnsi" w:cstheme="minorHAnsi"/>
          <w:bCs/>
          <w:iCs/>
          <w:sz w:val="22"/>
          <w:szCs w:val="22"/>
        </w:rPr>
        <w:t>of</w:t>
      </w:r>
      <w:r w:rsidR="005C773A" w:rsidRPr="00946BB0">
        <w:rPr>
          <w:rFonts w:asciiTheme="minorHAnsi" w:hAnsiTheme="minorHAnsi" w:cstheme="minorHAnsi"/>
          <w:bCs/>
          <w:iCs/>
          <w:sz w:val="22"/>
          <w:szCs w:val="22"/>
        </w:rPr>
        <w:t xml:space="preserve"> project</w:t>
      </w:r>
      <w:r w:rsidR="00A95304" w:rsidRPr="009B4997">
        <w:rPr>
          <w:rFonts w:asciiTheme="minorHAnsi" w:hAnsiTheme="minorHAnsi" w:cstheme="minorHAnsi"/>
          <w:bCs/>
          <w:iCs/>
          <w:sz w:val="22"/>
          <w:szCs w:val="22"/>
        </w:rPr>
        <w:t xml:space="preserve"> intervention</w:t>
      </w:r>
      <w:r w:rsidR="00A95304">
        <w:rPr>
          <w:rFonts w:asciiTheme="minorHAnsi" w:hAnsiTheme="minorHAnsi" w:cstheme="minorHAnsi"/>
          <w:bCs/>
          <w:iCs/>
          <w:sz w:val="22"/>
          <w:szCs w:val="22"/>
        </w:rPr>
        <w:t xml:space="preserve"> ranges between USD </w:t>
      </w:r>
      <w:r w:rsidR="006E478B">
        <w:rPr>
          <w:rFonts w:asciiTheme="minorHAnsi" w:hAnsiTheme="minorHAnsi" w:cstheme="minorHAnsi"/>
          <w:bCs/>
          <w:iCs/>
          <w:sz w:val="22"/>
          <w:szCs w:val="22"/>
        </w:rPr>
        <w:t>189</w:t>
      </w:r>
      <w:r w:rsidR="00A95304">
        <w:rPr>
          <w:rFonts w:asciiTheme="minorHAnsi" w:hAnsiTheme="minorHAnsi" w:cstheme="minorHAnsi"/>
          <w:bCs/>
          <w:iCs/>
          <w:sz w:val="22"/>
          <w:szCs w:val="22"/>
        </w:rPr>
        <w:t xml:space="preserve"> and USD 2</w:t>
      </w:r>
      <w:r w:rsidR="006E478B">
        <w:rPr>
          <w:rFonts w:asciiTheme="minorHAnsi" w:hAnsiTheme="minorHAnsi" w:cstheme="minorHAnsi"/>
          <w:bCs/>
          <w:iCs/>
          <w:sz w:val="22"/>
          <w:szCs w:val="22"/>
        </w:rPr>
        <w:t>68</w:t>
      </w:r>
      <w:r w:rsidR="00A95304">
        <w:rPr>
          <w:rFonts w:asciiTheme="minorHAnsi" w:hAnsiTheme="minorHAnsi" w:cstheme="minorHAnsi"/>
          <w:bCs/>
          <w:iCs/>
          <w:sz w:val="22"/>
          <w:szCs w:val="22"/>
        </w:rPr>
        <w:t xml:space="preserve"> per hectare. The financial internal rate of return ranges between </w:t>
      </w:r>
      <w:r w:rsidR="006E478B">
        <w:rPr>
          <w:rFonts w:asciiTheme="minorHAnsi" w:hAnsiTheme="minorHAnsi" w:cstheme="minorHAnsi"/>
          <w:bCs/>
          <w:iCs/>
          <w:sz w:val="22"/>
          <w:szCs w:val="22"/>
        </w:rPr>
        <w:t>19</w:t>
      </w:r>
      <w:r w:rsidR="00A95304">
        <w:rPr>
          <w:rFonts w:asciiTheme="minorHAnsi" w:hAnsiTheme="minorHAnsi" w:cstheme="minorHAnsi"/>
          <w:bCs/>
          <w:iCs/>
          <w:sz w:val="22"/>
          <w:szCs w:val="22"/>
        </w:rPr>
        <w:t xml:space="preserve"> and 4</w:t>
      </w:r>
      <w:r w:rsidR="000965B7">
        <w:rPr>
          <w:rFonts w:asciiTheme="minorHAnsi" w:hAnsiTheme="minorHAnsi" w:cstheme="minorHAnsi"/>
          <w:bCs/>
          <w:iCs/>
          <w:sz w:val="22"/>
          <w:szCs w:val="22"/>
        </w:rPr>
        <w:t>1</w:t>
      </w:r>
      <w:r w:rsidR="00A95304">
        <w:rPr>
          <w:rFonts w:asciiTheme="minorHAnsi" w:hAnsiTheme="minorHAnsi" w:cstheme="minorHAnsi"/>
          <w:bCs/>
          <w:iCs/>
          <w:sz w:val="22"/>
          <w:szCs w:val="22"/>
        </w:rPr>
        <w:t xml:space="preserve"> percent, while NPV ranges from USD </w:t>
      </w:r>
      <w:r w:rsidR="006E478B">
        <w:rPr>
          <w:rFonts w:asciiTheme="minorHAnsi" w:hAnsiTheme="minorHAnsi" w:cstheme="minorHAnsi"/>
          <w:bCs/>
          <w:iCs/>
          <w:sz w:val="22"/>
          <w:szCs w:val="22"/>
        </w:rPr>
        <w:t>1</w:t>
      </w:r>
      <w:r w:rsidR="000965B7">
        <w:rPr>
          <w:rFonts w:asciiTheme="minorHAnsi" w:hAnsiTheme="minorHAnsi" w:cstheme="minorHAnsi"/>
          <w:bCs/>
          <w:iCs/>
          <w:sz w:val="22"/>
          <w:szCs w:val="22"/>
        </w:rPr>
        <w:t>6</w:t>
      </w:r>
      <w:r w:rsidR="00A95304">
        <w:rPr>
          <w:rFonts w:asciiTheme="minorHAnsi" w:hAnsiTheme="minorHAnsi" w:cstheme="minorHAnsi"/>
          <w:bCs/>
          <w:iCs/>
          <w:sz w:val="22"/>
          <w:szCs w:val="22"/>
        </w:rPr>
        <w:t xml:space="preserve"> to USD 3</w:t>
      </w:r>
      <w:r w:rsidR="006E478B">
        <w:rPr>
          <w:rFonts w:asciiTheme="minorHAnsi" w:hAnsiTheme="minorHAnsi" w:cstheme="minorHAnsi"/>
          <w:bCs/>
          <w:iCs/>
          <w:sz w:val="22"/>
          <w:szCs w:val="22"/>
        </w:rPr>
        <w:t>5</w:t>
      </w:r>
      <w:r w:rsidR="000965B7">
        <w:rPr>
          <w:rFonts w:asciiTheme="minorHAnsi" w:hAnsiTheme="minorHAnsi" w:cstheme="minorHAnsi"/>
          <w:bCs/>
          <w:iCs/>
          <w:sz w:val="22"/>
          <w:szCs w:val="22"/>
        </w:rPr>
        <w:t>3</w:t>
      </w:r>
      <w:r w:rsidR="00A95304">
        <w:rPr>
          <w:rFonts w:asciiTheme="minorHAnsi" w:hAnsiTheme="minorHAnsi" w:cstheme="minorHAnsi"/>
          <w:bCs/>
          <w:iCs/>
          <w:sz w:val="22"/>
          <w:szCs w:val="22"/>
        </w:rPr>
        <w:t xml:space="preserve"> </w:t>
      </w:r>
      <w:r w:rsidR="00A95304">
        <w:rPr>
          <w:rFonts w:asciiTheme="minorHAnsi" w:hAnsiTheme="minorHAnsi" w:cstheme="minorHAnsi"/>
          <w:bCs/>
          <w:iCs/>
          <w:sz w:val="22"/>
          <w:szCs w:val="22"/>
        </w:rPr>
        <w:lastRenderedPageBreak/>
        <w:t xml:space="preserve">per hectare.  </w:t>
      </w:r>
      <w:r w:rsidR="00C65B4A">
        <w:rPr>
          <w:rFonts w:asciiTheme="minorHAnsi" w:hAnsiTheme="minorHAnsi" w:cstheme="minorHAnsi"/>
          <w:bCs/>
          <w:iCs/>
          <w:sz w:val="22"/>
          <w:szCs w:val="22"/>
        </w:rPr>
        <w:t xml:space="preserve">Using modest assumptions for the yield improvements </w:t>
      </w:r>
      <w:r w:rsidR="001C4DB3">
        <w:rPr>
          <w:rFonts w:asciiTheme="minorHAnsi" w:hAnsiTheme="minorHAnsi" w:cstheme="minorHAnsi"/>
          <w:bCs/>
          <w:iCs/>
          <w:sz w:val="22"/>
          <w:szCs w:val="22"/>
        </w:rPr>
        <w:t>un</w:t>
      </w:r>
      <w:r w:rsidR="003132F3">
        <w:rPr>
          <w:rFonts w:asciiTheme="minorHAnsi" w:hAnsiTheme="minorHAnsi" w:cstheme="minorHAnsi"/>
          <w:bCs/>
          <w:iCs/>
          <w:sz w:val="22"/>
          <w:szCs w:val="22"/>
        </w:rPr>
        <w:t xml:space="preserve">der </w:t>
      </w:r>
      <w:r w:rsidR="003132F3" w:rsidRPr="009B4997">
        <w:rPr>
          <w:rFonts w:asciiTheme="minorHAnsi" w:hAnsiTheme="minorHAnsi" w:cstheme="minorHAnsi"/>
          <w:bCs/>
          <w:i/>
          <w:iCs/>
          <w:sz w:val="22"/>
          <w:szCs w:val="22"/>
        </w:rPr>
        <w:t>taungya</w:t>
      </w:r>
      <w:r w:rsidR="003132F3">
        <w:rPr>
          <w:rFonts w:asciiTheme="minorHAnsi" w:hAnsiTheme="minorHAnsi" w:cstheme="minorHAnsi"/>
          <w:bCs/>
          <w:iCs/>
          <w:sz w:val="22"/>
          <w:szCs w:val="22"/>
        </w:rPr>
        <w:t xml:space="preserve"> system</w:t>
      </w:r>
      <w:r w:rsidR="00E47B86">
        <w:rPr>
          <w:rFonts w:asciiTheme="minorHAnsi" w:hAnsiTheme="minorHAnsi" w:cstheme="minorHAnsi"/>
          <w:bCs/>
          <w:iCs/>
          <w:sz w:val="22"/>
          <w:szCs w:val="22"/>
        </w:rPr>
        <w:t xml:space="preserve">, gross revenues and net income after </w:t>
      </w:r>
      <w:proofErr w:type="spellStart"/>
      <w:r w:rsidR="00E47B86">
        <w:rPr>
          <w:rFonts w:asciiTheme="minorHAnsi" w:hAnsiTheme="minorHAnsi" w:cstheme="minorHAnsi"/>
          <w:bCs/>
          <w:iCs/>
          <w:sz w:val="22"/>
          <w:szCs w:val="22"/>
        </w:rPr>
        <w:t>labour</w:t>
      </w:r>
      <w:proofErr w:type="spellEnd"/>
      <w:r w:rsidR="00E47B86">
        <w:rPr>
          <w:rFonts w:asciiTheme="minorHAnsi" w:hAnsiTheme="minorHAnsi" w:cstheme="minorHAnsi"/>
          <w:bCs/>
          <w:iCs/>
          <w:sz w:val="22"/>
          <w:szCs w:val="22"/>
        </w:rPr>
        <w:t xml:space="preserve"> costs increase substantially as a result of project interventions.</w:t>
      </w:r>
    </w:p>
    <w:p w14:paraId="3DF4096E" w14:textId="77777777" w:rsidR="00E20710" w:rsidRDefault="00E20710" w:rsidP="009B4997">
      <w:pPr>
        <w:pStyle w:val="ListParagraph"/>
        <w:rPr>
          <w:rFonts w:asciiTheme="minorHAnsi" w:hAnsiTheme="minorHAnsi" w:cstheme="minorHAnsi"/>
          <w:b/>
          <w:bCs/>
          <w:iCs/>
          <w:sz w:val="22"/>
          <w:szCs w:val="22"/>
        </w:rPr>
      </w:pPr>
    </w:p>
    <w:p w14:paraId="561A999A" w14:textId="77777777" w:rsidR="00E20710" w:rsidRPr="00946BB0" w:rsidRDefault="00E20710" w:rsidP="009B4997">
      <w:pPr>
        <w:pStyle w:val="Heading3"/>
        <w:jc w:val="center"/>
      </w:pPr>
      <w:bookmarkStart w:id="22" w:name="_Toc38031615"/>
      <w:r w:rsidRPr="0023582D">
        <w:t xml:space="preserve">Table </w:t>
      </w:r>
      <w:r w:rsidR="002A2F54">
        <w:t>6</w:t>
      </w:r>
      <w:r w:rsidRPr="0023582D">
        <w:t xml:space="preserve">: </w:t>
      </w:r>
      <w:r w:rsidR="002A2E51">
        <w:t>Financial performance indicators</w:t>
      </w:r>
      <w:r w:rsidR="002950D2">
        <w:t xml:space="preserve"> for reforestation activities</w:t>
      </w:r>
      <w:r w:rsidR="002A2E51">
        <w:t xml:space="preserve">, </w:t>
      </w:r>
      <w:r w:rsidR="002950D2">
        <w:br/>
      </w:r>
      <w:r w:rsidR="002A2E51">
        <w:t>before and after financing</w:t>
      </w:r>
      <w:r w:rsidR="00347CE0">
        <w:t>, with project (per household)</w:t>
      </w:r>
      <w:r w:rsidR="002A2E51">
        <w:t xml:space="preserve"> </w:t>
      </w:r>
      <w:bookmarkEnd w:id="22"/>
    </w:p>
    <w:p w14:paraId="55837E36" w14:textId="796562D1" w:rsidR="00E20710" w:rsidRDefault="000965B7" w:rsidP="009B4997">
      <w:pPr>
        <w:pStyle w:val="ListParagraph"/>
        <w:widowControl/>
        <w:autoSpaceDE/>
        <w:autoSpaceDN/>
        <w:adjustRightInd/>
        <w:ind w:left="0"/>
        <w:contextualSpacing w:val="0"/>
        <w:jc w:val="center"/>
        <w:rPr>
          <w:rFonts w:asciiTheme="minorHAnsi" w:hAnsiTheme="minorHAnsi" w:cstheme="minorHAnsi"/>
          <w:b/>
          <w:bCs/>
          <w:iCs/>
          <w:sz w:val="22"/>
          <w:szCs w:val="22"/>
        </w:rPr>
      </w:pPr>
      <w:r w:rsidRPr="000965B7">
        <w:rPr>
          <w:noProof/>
          <w:lang w:val="en-GB" w:eastAsia="en-GB"/>
        </w:rPr>
        <w:drawing>
          <wp:inline distT="0" distB="0" distL="0" distR="0" wp14:anchorId="40497C51" wp14:editId="2D86C113">
            <wp:extent cx="5469255" cy="47447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69255" cy="4744720"/>
                    </a:xfrm>
                    <a:prstGeom prst="rect">
                      <a:avLst/>
                    </a:prstGeom>
                    <a:noFill/>
                    <a:ln>
                      <a:noFill/>
                    </a:ln>
                  </pic:spPr>
                </pic:pic>
              </a:graphicData>
            </a:graphic>
          </wp:inline>
        </w:drawing>
      </w:r>
    </w:p>
    <w:p w14:paraId="308DD295" w14:textId="3FC78DD1" w:rsidR="003132F3" w:rsidRDefault="003132F3" w:rsidP="009B4997">
      <w:pPr>
        <w:pStyle w:val="ListParagraph"/>
        <w:rPr>
          <w:rFonts w:asciiTheme="minorHAnsi" w:hAnsiTheme="minorHAnsi" w:cstheme="minorHAnsi"/>
          <w:bCs/>
          <w:iCs/>
          <w:sz w:val="22"/>
          <w:szCs w:val="22"/>
        </w:rPr>
      </w:pPr>
      <w:r>
        <w:rPr>
          <w:rFonts w:asciiTheme="minorHAnsi" w:hAnsiTheme="minorHAnsi" w:cstheme="minorHAnsi"/>
          <w:bCs/>
          <w:iCs/>
          <w:sz w:val="22"/>
          <w:szCs w:val="22"/>
        </w:rPr>
        <w:t xml:space="preserve">NB: #NUM! occurs when a calculation does not return a </w:t>
      </w:r>
      <w:r w:rsidR="000C3311">
        <w:rPr>
          <w:rFonts w:asciiTheme="minorHAnsi" w:hAnsiTheme="minorHAnsi" w:cstheme="minorHAnsi"/>
          <w:bCs/>
          <w:iCs/>
          <w:sz w:val="22"/>
          <w:szCs w:val="22"/>
        </w:rPr>
        <w:t>number</w:t>
      </w:r>
      <w:r>
        <w:rPr>
          <w:rFonts w:asciiTheme="minorHAnsi" w:hAnsiTheme="minorHAnsi" w:cstheme="minorHAnsi"/>
          <w:bCs/>
          <w:iCs/>
          <w:sz w:val="22"/>
          <w:szCs w:val="22"/>
        </w:rPr>
        <w:t>.</w:t>
      </w:r>
    </w:p>
    <w:p w14:paraId="4BD4665C" w14:textId="77777777" w:rsidR="003132F3" w:rsidRPr="009B4997" w:rsidRDefault="003132F3" w:rsidP="009B4997">
      <w:pPr>
        <w:pStyle w:val="ListParagraph"/>
        <w:rPr>
          <w:rFonts w:asciiTheme="minorHAnsi" w:hAnsiTheme="minorHAnsi" w:cstheme="minorHAnsi"/>
          <w:bCs/>
          <w:iCs/>
          <w:sz w:val="22"/>
          <w:szCs w:val="22"/>
        </w:rPr>
      </w:pPr>
    </w:p>
    <w:p w14:paraId="2E67B529" w14:textId="77777777" w:rsidR="00E47B86" w:rsidRDefault="000346A5" w:rsidP="009B4997">
      <w:pPr>
        <w:pStyle w:val="ListParagraph"/>
        <w:widowControl/>
        <w:numPr>
          <w:ilvl w:val="0"/>
          <w:numId w:val="1"/>
        </w:numPr>
        <w:autoSpaceDE/>
        <w:autoSpaceDN/>
        <w:adjustRightInd/>
        <w:ind w:left="0" w:firstLine="0"/>
        <w:contextualSpacing w:val="0"/>
        <w:jc w:val="both"/>
        <w:rPr>
          <w:rFonts w:asciiTheme="minorHAnsi" w:hAnsiTheme="minorHAnsi" w:cstheme="minorHAnsi"/>
          <w:bCs/>
          <w:iCs/>
          <w:sz w:val="22"/>
          <w:szCs w:val="22"/>
        </w:rPr>
      </w:pPr>
      <w:r w:rsidRPr="009B4997">
        <w:rPr>
          <w:rFonts w:asciiTheme="minorHAnsi" w:hAnsiTheme="minorHAnsi" w:cstheme="minorHAnsi"/>
          <w:bCs/>
          <w:iCs/>
          <w:sz w:val="22"/>
          <w:szCs w:val="22"/>
        </w:rPr>
        <w:t xml:space="preserve">After financing, </w:t>
      </w:r>
      <w:r>
        <w:rPr>
          <w:rFonts w:asciiTheme="minorHAnsi" w:hAnsiTheme="minorHAnsi" w:cstheme="minorHAnsi"/>
          <w:bCs/>
          <w:iCs/>
          <w:sz w:val="22"/>
          <w:szCs w:val="22"/>
        </w:rPr>
        <w:t>a number of financial performance indicators increase</w:t>
      </w:r>
      <w:r w:rsidR="0016636D">
        <w:rPr>
          <w:rFonts w:asciiTheme="minorHAnsi" w:hAnsiTheme="minorHAnsi" w:cstheme="minorHAnsi"/>
          <w:bCs/>
          <w:iCs/>
          <w:sz w:val="22"/>
          <w:szCs w:val="22"/>
        </w:rPr>
        <w:t xml:space="preserve"> further</w:t>
      </w:r>
      <w:r>
        <w:rPr>
          <w:rFonts w:asciiTheme="minorHAnsi" w:hAnsiTheme="minorHAnsi" w:cstheme="minorHAnsi"/>
          <w:bCs/>
          <w:iCs/>
          <w:sz w:val="22"/>
          <w:szCs w:val="22"/>
        </w:rPr>
        <w:t>, including the NPV</w:t>
      </w:r>
      <w:r w:rsidR="00E47B86">
        <w:rPr>
          <w:rFonts w:asciiTheme="minorHAnsi" w:hAnsiTheme="minorHAnsi" w:cstheme="minorHAnsi"/>
          <w:bCs/>
          <w:iCs/>
          <w:sz w:val="22"/>
          <w:szCs w:val="22"/>
        </w:rPr>
        <w:t>, BCR and net incremental benefit (in USD)</w:t>
      </w:r>
      <w:r>
        <w:rPr>
          <w:rFonts w:asciiTheme="minorHAnsi" w:hAnsiTheme="minorHAnsi" w:cstheme="minorHAnsi"/>
          <w:bCs/>
          <w:iCs/>
          <w:sz w:val="22"/>
          <w:szCs w:val="22"/>
        </w:rPr>
        <w:t>.</w:t>
      </w:r>
      <w:r w:rsidR="00E47B86">
        <w:rPr>
          <w:rFonts w:asciiTheme="minorHAnsi" w:hAnsiTheme="minorHAnsi" w:cstheme="minorHAnsi"/>
          <w:bCs/>
          <w:iCs/>
          <w:sz w:val="22"/>
          <w:szCs w:val="22"/>
        </w:rPr>
        <w:t xml:space="preserve"> </w:t>
      </w:r>
      <w:r w:rsidR="0016636D">
        <w:rPr>
          <w:rFonts w:asciiTheme="minorHAnsi" w:hAnsiTheme="minorHAnsi" w:cstheme="minorHAnsi"/>
          <w:bCs/>
          <w:iCs/>
          <w:sz w:val="22"/>
          <w:szCs w:val="22"/>
        </w:rPr>
        <w:t xml:space="preserve">NPV almost doubles in a number of instances under reforestation activities. </w:t>
      </w:r>
    </w:p>
    <w:p w14:paraId="5B9DA249" w14:textId="77777777" w:rsidR="000346A5" w:rsidRPr="00946BB0" w:rsidRDefault="000346A5" w:rsidP="009B4997">
      <w:pPr>
        <w:pStyle w:val="ListParagraph"/>
        <w:widowControl/>
        <w:autoSpaceDE/>
        <w:autoSpaceDN/>
        <w:adjustRightInd/>
        <w:ind w:left="0"/>
        <w:contextualSpacing w:val="0"/>
        <w:jc w:val="both"/>
        <w:rPr>
          <w:rFonts w:asciiTheme="minorHAnsi" w:hAnsiTheme="minorHAnsi" w:cstheme="minorHAnsi"/>
          <w:bCs/>
          <w:iCs/>
          <w:sz w:val="22"/>
          <w:szCs w:val="22"/>
        </w:rPr>
      </w:pPr>
      <w:r>
        <w:rPr>
          <w:rFonts w:asciiTheme="minorHAnsi" w:hAnsiTheme="minorHAnsi" w:cstheme="minorHAnsi"/>
          <w:bCs/>
          <w:iCs/>
          <w:sz w:val="22"/>
          <w:szCs w:val="22"/>
        </w:rPr>
        <w:t xml:space="preserve">  </w:t>
      </w:r>
    </w:p>
    <w:p w14:paraId="4967B3CB" w14:textId="77777777" w:rsidR="0073758B" w:rsidRPr="009B4997" w:rsidRDefault="0014226F" w:rsidP="009B4997">
      <w:pPr>
        <w:pStyle w:val="ListParagraph"/>
        <w:widowControl/>
        <w:numPr>
          <w:ilvl w:val="0"/>
          <w:numId w:val="1"/>
        </w:numPr>
        <w:autoSpaceDE/>
        <w:autoSpaceDN/>
        <w:adjustRightInd/>
        <w:ind w:left="0" w:firstLine="0"/>
        <w:contextualSpacing w:val="0"/>
        <w:jc w:val="both"/>
        <w:rPr>
          <w:rFonts w:asciiTheme="minorHAnsi" w:hAnsiTheme="minorHAnsi" w:cstheme="minorHAnsi"/>
          <w:b/>
          <w:bCs/>
          <w:iCs/>
          <w:sz w:val="22"/>
          <w:szCs w:val="22"/>
        </w:rPr>
      </w:pPr>
      <w:r w:rsidRPr="003B2580">
        <w:rPr>
          <w:rFonts w:asciiTheme="minorHAnsi" w:hAnsiTheme="minorHAnsi" w:cstheme="minorHAnsi"/>
          <w:bCs/>
          <w:iCs/>
          <w:sz w:val="22"/>
          <w:szCs w:val="22"/>
        </w:rPr>
        <w:t xml:space="preserve">The </w:t>
      </w:r>
      <w:r w:rsidRPr="009B4997">
        <w:rPr>
          <w:rFonts w:asciiTheme="minorHAnsi" w:hAnsiTheme="minorHAnsi" w:cstheme="minorHAnsi"/>
          <w:b/>
          <w:bCs/>
          <w:i/>
          <w:iCs/>
          <w:sz w:val="22"/>
          <w:szCs w:val="22"/>
        </w:rPr>
        <w:t>rangeland model</w:t>
      </w:r>
      <w:r w:rsidRPr="003B2580">
        <w:rPr>
          <w:rFonts w:asciiTheme="minorHAnsi" w:hAnsiTheme="minorHAnsi" w:cstheme="minorHAnsi"/>
          <w:bCs/>
          <w:iCs/>
          <w:sz w:val="22"/>
          <w:szCs w:val="22"/>
        </w:rPr>
        <w:t xml:space="preserve"> estimates the total number of livestock that is likely to benefit from the improved pasture and the potential improvements in meat and milk output productivity.</w:t>
      </w:r>
      <w:r w:rsidR="00451C26" w:rsidRPr="003B2580">
        <w:rPr>
          <w:rFonts w:asciiTheme="minorHAnsi" w:hAnsiTheme="minorHAnsi" w:cstheme="minorHAnsi"/>
          <w:bCs/>
          <w:iCs/>
          <w:sz w:val="22"/>
          <w:szCs w:val="22"/>
        </w:rPr>
        <w:t xml:space="preserve"> </w:t>
      </w:r>
      <w:r w:rsidR="003B2580" w:rsidRPr="003B2580">
        <w:rPr>
          <w:rFonts w:asciiTheme="minorHAnsi" w:hAnsiTheme="minorHAnsi" w:cstheme="minorHAnsi"/>
          <w:bCs/>
          <w:iCs/>
          <w:sz w:val="22"/>
          <w:szCs w:val="22"/>
        </w:rPr>
        <w:t>A</w:t>
      </w:r>
      <w:r w:rsidR="00445E5B">
        <w:rPr>
          <w:rFonts w:asciiTheme="minorHAnsi" w:hAnsiTheme="minorHAnsi" w:cstheme="minorHAnsi"/>
          <w:bCs/>
          <w:iCs/>
          <w:sz w:val="22"/>
          <w:szCs w:val="22"/>
        </w:rPr>
        <w:t>round</w:t>
      </w:r>
      <w:r w:rsidR="003B2580" w:rsidRPr="003B2580">
        <w:rPr>
          <w:rFonts w:asciiTheme="minorHAnsi" w:hAnsiTheme="minorHAnsi" w:cstheme="minorHAnsi"/>
          <w:bCs/>
          <w:iCs/>
          <w:sz w:val="22"/>
          <w:szCs w:val="22"/>
        </w:rPr>
        <w:t xml:space="preserve"> 13,338 herders </w:t>
      </w:r>
      <w:r w:rsidR="00445E5B">
        <w:rPr>
          <w:rFonts w:asciiTheme="minorHAnsi" w:hAnsiTheme="minorHAnsi" w:cstheme="minorHAnsi"/>
          <w:bCs/>
          <w:iCs/>
          <w:sz w:val="22"/>
          <w:szCs w:val="22"/>
        </w:rPr>
        <w:t xml:space="preserve">are estimated </w:t>
      </w:r>
      <w:r w:rsidR="003B2580" w:rsidRPr="003B2580">
        <w:rPr>
          <w:rFonts w:asciiTheme="minorHAnsi" w:hAnsiTheme="minorHAnsi" w:cstheme="minorHAnsi"/>
          <w:bCs/>
          <w:iCs/>
          <w:sz w:val="22"/>
          <w:szCs w:val="22"/>
        </w:rPr>
        <w:t xml:space="preserve">along the livestock corridors </w:t>
      </w:r>
      <w:r w:rsidR="00445E5B">
        <w:rPr>
          <w:rFonts w:asciiTheme="minorHAnsi" w:hAnsiTheme="minorHAnsi" w:cstheme="minorHAnsi"/>
          <w:bCs/>
          <w:iCs/>
          <w:sz w:val="22"/>
          <w:szCs w:val="22"/>
        </w:rPr>
        <w:t>to</w:t>
      </w:r>
      <w:r w:rsidR="003B2580" w:rsidRPr="003B2580">
        <w:rPr>
          <w:rFonts w:asciiTheme="minorHAnsi" w:hAnsiTheme="minorHAnsi" w:cstheme="minorHAnsi"/>
          <w:bCs/>
          <w:iCs/>
          <w:sz w:val="22"/>
          <w:szCs w:val="22"/>
        </w:rPr>
        <w:t xml:space="preserve"> benefit from the pasture</w:t>
      </w:r>
      <w:r w:rsidR="003B2580">
        <w:rPr>
          <w:rFonts w:asciiTheme="minorHAnsi" w:hAnsiTheme="minorHAnsi" w:cstheme="minorHAnsi"/>
          <w:bCs/>
          <w:iCs/>
          <w:sz w:val="22"/>
          <w:szCs w:val="22"/>
        </w:rPr>
        <w:t>. Each herder is estimated to have 98 tropical livestock units</w:t>
      </w:r>
      <w:r w:rsidR="00DF50A0">
        <w:rPr>
          <w:rFonts w:asciiTheme="minorHAnsi" w:hAnsiTheme="minorHAnsi" w:cstheme="minorHAnsi"/>
          <w:bCs/>
          <w:iCs/>
          <w:sz w:val="22"/>
          <w:szCs w:val="22"/>
        </w:rPr>
        <w:t xml:space="preserve"> (TLU)</w:t>
      </w:r>
      <w:r w:rsidR="000E5E9F">
        <w:rPr>
          <w:rFonts w:asciiTheme="minorHAnsi" w:hAnsiTheme="minorHAnsi" w:cstheme="minorHAnsi"/>
          <w:bCs/>
          <w:iCs/>
          <w:sz w:val="22"/>
          <w:szCs w:val="22"/>
        </w:rPr>
        <w:t xml:space="preserve">. Given the vast land area, productivity is estimated to improve by only two percent as a result of the pasture improvement efforts. This is translated into </w:t>
      </w:r>
      <w:r w:rsidR="000413DB">
        <w:rPr>
          <w:rFonts w:asciiTheme="minorHAnsi" w:hAnsiTheme="minorHAnsi" w:cstheme="minorHAnsi"/>
          <w:bCs/>
          <w:iCs/>
          <w:sz w:val="22"/>
          <w:szCs w:val="22"/>
        </w:rPr>
        <w:t xml:space="preserve">minor </w:t>
      </w:r>
      <w:r w:rsidR="000E5E9F">
        <w:rPr>
          <w:rFonts w:asciiTheme="minorHAnsi" w:hAnsiTheme="minorHAnsi" w:cstheme="minorHAnsi"/>
          <w:bCs/>
          <w:iCs/>
          <w:sz w:val="22"/>
          <w:szCs w:val="22"/>
        </w:rPr>
        <w:t>improved earnings for the herders</w:t>
      </w:r>
      <w:r w:rsidR="000413DB">
        <w:rPr>
          <w:rFonts w:asciiTheme="minorHAnsi" w:hAnsiTheme="minorHAnsi" w:cstheme="minorHAnsi"/>
          <w:bCs/>
          <w:iCs/>
          <w:sz w:val="22"/>
          <w:szCs w:val="22"/>
        </w:rPr>
        <w:t xml:space="preserve"> from meat and somewhat more from milk, due to improved access to water</w:t>
      </w:r>
      <w:r w:rsidR="00DF50A0">
        <w:rPr>
          <w:rFonts w:asciiTheme="minorHAnsi" w:hAnsiTheme="minorHAnsi" w:cstheme="minorHAnsi"/>
          <w:bCs/>
          <w:iCs/>
          <w:sz w:val="22"/>
          <w:szCs w:val="22"/>
        </w:rPr>
        <w:t xml:space="preserve"> </w:t>
      </w:r>
      <w:r w:rsidR="00C65B4A">
        <w:rPr>
          <w:rFonts w:asciiTheme="minorHAnsi" w:hAnsiTheme="minorHAnsi" w:cstheme="minorHAnsi"/>
          <w:bCs/>
          <w:iCs/>
          <w:sz w:val="22"/>
          <w:szCs w:val="22"/>
        </w:rPr>
        <w:t>–</w:t>
      </w:r>
      <w:r w:rsidR="00DF50A0">
        <w:rPr>
          <w:rFonts w:asciiTheme="minorHAnsi" w:hAnsiTheme="minorHAnsi" w:cstheme="minorHAnsi"/>
          <w:bCs/>
          <w:iCs/>
          <w:sz w:val="22"/>
          <w:szCs w:val="22"/>
        </w:rPr>
        <w:t xml:space="preserve"> </w:t>
      </w:r>
      <w:r w:rsidR="00C65B4A">
        <w:rPr>
          <w:rFonts w:asciiTheme="minorHAnsi" w:hAnsiTheme="minorHAnsi" w:cstheme="minorHAnsi"/>
          <w:bCs/>
          <w:iCs/>
          <w:sz w:val="22"/>
          <w:szCs w:val="22"/>
        </w:rPr>
        <w:t xml:space="preserve">following establishment of watering points along the new livestock corridors funded </w:t>
      </w:r>
      <w:r w:rsidR="00DF50A0">
        <w:rPr>
          <w:rFonts w:asciiTheme="minorHAnsi" w:hAnsiTheme="minorHAnsi" w:cstheme="minorHAnsi"/>
          <w:bCs/>
          <w:iCs/>
          <w:sz w:val="22"/>
          <w:szCs w:val="22"/>
        </w:rPr>
        <w:t>by the project</w:t>
      </w:r>
      <w:r w:rsidR="000E5E9F">
        <w:rPr>
          <w:rFonts w:asciiTheme="minorHAnsi" w:hAnsiTheme="minorHAnsi" w:cstheme="minorHAnsi"/>
          <w:bCs/>
          <w:iCs/>
          <w:sz w:val="22"/>
          <w:szCs w:val="22"/>
        </w:rPr>
        <w:t>.</w:t>
      </w:r>
    </w:p>
    <w:p w14:paraId="2A695474" w14:textId="77777777" w:rsidR="00A53EAA" w:rsidRPr="009B4997" w:rsidRDefault="000E5E9F" w:rsidP="009B4997">
      <w:pPr>
        <w:pStyle w:val="ListParagraph"/>
        <w:widowControl/>
        <w:autoSpaceDE/>
        <w:autoSpaceDN/>
        <w:adjustRightInd/>
        <w:ind w:left="0"/>
        <w:contextualSpacing w:val="0"/>
        <w:jc w:val="both"/>
        <w:rPr>
          <w:rFonts w:asciiTheme="minorHAnsi" w:hAnsiTheme="minorHAnsi" w:cstheme="minorHAnsi"/>
          <w:b/>
          <w:bCs/>
          <w:iCs/>
          <w:sz w:val="22"/>
          <w:szCs w:val="22"/>
        </w:rPr>
      </w:pPr>
      <w:r>
        <w:rPr>
          <w:rFonts w:asciiTheme="minorHAnsi" w:hAnsiTheme="minorHAnsi" w:cstheme="minorHAnsi"/>
          <w:bCs/>
          <w:iCs/>
          <w:sz w:val="22"/>
          <w:szCs w:val="22"/>
        </w:rPr>
        <w:t xml:space="preserve"> </w:t>
      </w:r>
    </w:p>
    <w:p w14:paraId="25D9BA96" w14:textId="2E78E916" w:rsidR="00AD2DB3" w:rsidRPr="009B4997" w:rsidRDefault="00976CA2" w:rsidP="009B4997">
      <w:pPr>
        <w:pStyle w:val="ListParagraph"/>
        <w:widowControl/>
        <w:numPr>
          <w:ilvl w:val="0"/>
          <w:numId w:val="1"/>
        </w:numPr>
        <w:autoSpaceDE/>
        <w:autoSpaceDN/>
        <w:adjustRightInd/>
        <w:spacing w:after="120"/>
        <w:ind w:left="0" w:firstLine="0"/>
        <w:contextualSpacing w:val="0"/>
        <w:jc w:val="both"/>
        <w:rPr>
          <w:rFonts w:asciiTheme="minorHAnsi" w:hAnsiTheme="minorHAnsi" w:cstheme="minorHAnsi"/>
          <w:b/>
          <w:bCs/>
          <w:iCs/>
          <w:sz w:val="22"/>
          <w:szCs w:val="22"/>
        </w:rPr>
      </w:pPr>
      <w:r w:rsidRPr="005127A2">
        <w:rPr>
          <w:rFonts w:asciiTheme="minorHAnsi" w:hAnsiTheme="minorHAnsi" w:cstheme="minorHAnsi"/>
          <w:bCs/>
          <w:iCs/>
          <w:sz w:val="22"/>
          <w:szCs w:val="22"/>
        </w:rPr>
        <w:t xml:space="preserve">The </w:t>
      </w:r>
      <w:r w:rsidRPr="009B4997">
        <w:rPr>
          <w:rFonts w:asciiTheme="minorHAnsi" w:hAnsiTheme="minorHAnsi" w:cstheme="minorHAnsi"/>
          <w:b/>
          <w:bCs/>
          <w:i/>
          <w:iCs/>
          <w:sz w:val="22"/>
          <w:szCs w:val="22"/>
        </w:rPr>
        <w:t>pro</w:t>
      </w:r>
      <w:r w:rsidR="00FD7D69">
        <w:rPr>
          <w:rFonts w:asciiTheme="minorHAnsi" w:hAnsiTheme="minorHAnsi" w:cstheme="minorHAnsi"/>
          <w:b/>
          <w:bCs/>
          <w:i/>
          <w:iCs/>
          <w:sz w:val="22"/>
          <w:szCs w:val="22"/>
        </w:rPr>
        <w:t>ject</w:t>
      </w:r>
      <w:r w:rsidRPr="009B4997">
        <w:rPr>
          <w:rFonts w:asciiTheme="minorHAnsi" w:hAnsiTheme="minorHAnsi" w:cstheme="minorHAnsi"/>
          <w:b/>
          <w:bCs/>
          <w:i/>
          <w:iCs/>
          <w:sz w:val="22"/>
          <w:szCs w:val="22"/>
        </w:rPr>
        <w:t xml:space="preserve"> level </w:t>
      </w:r>
      <w:r w:rsidR="00666CF9" w:rsidRPr="009B4997">
        <w:rPr>
          <w:rFonts w:asciiTheme="minorHAnsi" w:hAnsiTheme="minorHAnsi" w:cstheme="minorHAnsi"/>
          <w:b/>
          <w:bCs/>
          <w:i/>
          <w:iCs/>
          <w:sz w:val="22"/>
          <w:szCs w:val="22"/>
        </w:rPr>
        <w:t xml:space="preserve">financial </w:t>
      </w:r>
      <w:r w:rsidRPr="009B4997">
        <w:rPr>
          <w:rFonts w:asciiTheme="minorHAnsi" w:hAnsiTheme="minorHAnsi" w:cstheme="minorHAnsi"/>
          <w:b/>
          <w:bCs/>
          <w:i/>
          <w:iCs/>
          <w:sz w:val="22"/>
          <w:szCs w:val="22"/>
        </w:rPr>
        <w:t>analysis</w:t>
      </w:r>
      <w:r w:rsidRPr="005127A2">
        <w:rPr>
          <w:rFonts w:asciiTheme="minorHAnsi" w:hAnsiTheme="minorHAnsi" w:cstheme="minorHAnsi"/>
          <w:bCs/>
          <w:iCs/>
          <w:sz w:val="22"/>
          <w:szCs w:val="22"/>
        </w:rPr>
        <w:t xml:space="preserve"> returns an NPV of </w:t>
      </w:r>
      <w:r w:rsidR="00EB0E66">
        <w:rPr>
          <w:rFonts w:asciiTheme="minorHAnsi" w:hAnsiTheme="minorHAnsi" w:cstheme="minorHAnsi"/>
          <w:bCs/>
          <w:iCs/>
          <w:sz w:val="22"/>
          <w:szCs w:val="22"/>
        </w:rPr>
        <w:t xml:space="preserve">USD </w:t>
      </w:r>
      <w:r w:rsidR="000965B7">
        <w:rPr>
          <w:rFonts w:asciiTheme="minorHAnsi" w:hAnsiTheme="minorHAnsi" w:cstheme="minorHAnsi"/>
          <w:bCs/>
          <w:iCs/>
          <w:sz w:val="22"/>
          <w:szCs w:val="22"/>
        </w:rPr>
        <w:t>3</w:t>
      </w:r>
      <w:r w:rsidRPr="005127A2">
        <w:rPr>
          <w:rFonts w:asciiTheme="minorHAnsi" w:hAnsiTheme="minorHAnsi" w:cstheme="minorHAnsi"/>
          <w:bCs/>
          <w:iCs/>
          <w:sz w:val="22"/>
          <w:szCs w:val="22"/>
        </w:rPr>
        <w:t>.</w:t>
      </w:r>
      <w:r w:rsidR="000965B7">
        <w:rPr>
          <w:rFonts w:asciiTheme="minorHAnsi" w:hAnsiTheme="minorHAnsi" w:cstheme="minorHAnsi"/>
          <w:bCs/>
          <w:iCs/>
          <w:sz w:val="22"/>
          <w:szCs w:val="22"/>
        </w:rPr>
        <w:t>9</w:t>
      </w:r>
      <w:r w:rsidR="00EB0E66">
        <w:rPr>
          <w:rFonts w:asciiTheme="minorHAnsi" w:hAnsiTheme="minorHAnsi" w:cstheme="minorHAnsi"/>
          <w:bCs/>
          <w:iCs/>
          <w:sz w:val="22"/>
          <w:szCs w:val="22"/>
        </w:rPr>
        <w:t xml:space="preserve"> </w:t>
      </w:r>
      <w:r w:rsidRPr="005127A2">
        <w:rPr>
          <w:rFonts w:asciiTheme="minorHAnsi" w:hAnsiTheme="minorHAnsi" w:cstheme="minorHAnsi"/>
          <w:bCs/>
          <w:iCs/>
          <w:sz w:val="22"/>
          <w:szCs w:val="22"/>
        </w:rPr>
        <w:t xml:space="preserve">million, a FIRR </w:t>
      </w:r>
      <w:r w:rsidR="00192FBA">
        <w:rPr>
          <w:rFonts w:asciiTheme="minorHAnsi" w:hAnsiTheme="minorHAnsi" w:cstheme="minorHAnsi"/>
          <w:bCs/>
          <w:iCs/>
          <w:sz w:val="22"/>
          <w:szCs w:val="22"/>
        </w:rPr>
        <w:t xml:space="preserve">(financial internal rate of return) </w:t>
      </w:r>
      <w:r w:rsidRPr="005127A2">
        <w:rPr>
          <w:rFonts w:asciiTheme="minorHAnsi" w:hAnsiTheme="minorHAnsi" w:cstheme="minorHAnsi"/>
          <w:bCs/>
          <w:iCs/>
          <w:sz w:val="22"/>
          <w:szCs w:val="22"/>
        </w:rPr>
        <w:t xml:space="preserve">of </w:t>
      </w:r>
      <w:r w:rsidR="00666CF9">
        <w:rPr>
          <w:rFonts w:asciiTheme="minorHAnsi" w:hAnsiTheme="minorHAnsi" w:cstheme="minorHAnsi"/>
          <w:bCs/>
          <w:iCs/>
          <w:sz w:val="22"/>
          <w:szCs w:val="22"/>
        </w:rPr>
        <w:t>2</w:t>
      </w:r>
      <w:r w:rsidR="00DF0955">
        <w:rPr>
          <w:rFonts w:asciiTheme="minorHAnsi" w:hAnsiTheme="minorHAnsi" w:cstheme="minorHAnsi"/>
          <w:bCs/>
          <w:iCs/>
          <w:sz w:val="22"/>
          <w:szCs w:val="22"/>
        </w:rPr>
        <w:t>3</w:t>
      </w:r>
      <w:r w:rsidRPr="005127A2">
        <w:rPr>
          <w:rFonts w:asciiTheme="minorHAnsi" w:hAnsiTheme="minorHAnsi" w:cstheme="minorHAnsi"/>
          <w:bCs/>
          <w:iCs/>
          <w:sz w:val="22"/>
          <w:szCs w:val="22"/>
        </w:rPr>
        <w:t xml:space="preserve"> percent and a BCR of </w:t>
      </w:r>
      <w:r w:rsidR="00666CF9">
        <w:rPr>
          <w:rFonts w:asciiTheme="minorHAnsi" w:hAnsiTheme="minorHAnsi" w:cstheme="minorHAnsi"/>
          <w:bCs/>
          <w:iCs/>
          <w:sz w:val="22"/>
          <w:szCs w:val="22"/>
        </w:rPr>
        <w:t>1</w:t>
      </w:r>
      <w:r w:rsidRPr="005127A2">
        <w:rPr>
          <w:rFonts w:asciiTheme="minorHAnsi" w:hAnsiTheme="minorHAnsi" w:cstheme="minorHAnsi"/>
          <w:bCs/>
          <w:iCs/>
          <w:sz w:val="22"/>
          <w:szCs w:val="22"/>
        </w:rPr>
        <w:t>.</w:t>
      </w:r>
      <w:r w:rsidR="00DF0955">
        <w:rPr>
          <w:rFonts w:asciiTheme="minorHAnsi" w:hAnsiTheme="minorHAnsi" w:cstheme="minorHAnsi"/>
          <w:bCs/>
          <w:iCs/>
          <w:sz w:val="22"/>
          <w:szCs w:val="22"/>
        </w:rPr>
        <w:t>5</w:t>
      </w:r>
      <w:r w:rsidR="000965B7">
        <w:rPr>
          <w:rFonts w:asciiTheme="minorHAnsi" w:hAnsiTheme="minorHAnsi" w:cstheme="minorHAnsi"/>
          <w:bCs/>
          <w:iCs/>
          <w:sz w:val="22"/>
          <w:szCs w:val="22"/>
        </w:rPr>
        <w:t>6</w:t>
      </w:r>
      <w:r w:rsidRPr="005127A2">
        <w:rPr>
          <w:rFonts w:asciiTheme="minorHAnsi" w:hAnsiTheme="minorHAnsi" w:cstheme="minorHAnsi"/>
          <w:bCs/>
          <w:iCs/>
          <w:sz w:val="22"/>
          <w:szCs w:val="22"/>
        </w:rPr>
        <w:t xml:space="preserve">. </w:t>
      </w:r>
    </w:p>
    <w:p w14:paraId="2CD7DB2B" w14:textId="77777777" w:rsidR="00FD7D69" w:rsidRPr="009B4997" w:rsidRDefault="00FD7D69" w:rsidP="009B4997">
      <w:pPr>
        <w:pStyle w:val="Heading3"/>
        <w:jc w:val="center"/>
      </w:pPr>
      <w:bookmarkStart w:id="23" w:name="_Toc38031616"/>
      <w:r w:rsidRPr="009B4997">
        <w:lastRenderedPageBreak/>
        <w:t xml:space="preserve">Table 7: </w:t>
      </w:r>
      <w:r>
        <w:t>Financial p</w:t>
      </w:r>
      <w:r w:rsidRPr="009B4997">
        <w:t>roject level analysis</w:t>
      </w:r>
      <w:bookmarkEnd w:id="23"/>
    </w:p>
    <w:p w14:paraId="6FFFCFD1" w14:textId="6F92AB35" w:rsidR="00FD7D69" w:rsidRDefault="00FD7D69" w:rsidP="009B4997">
      <w:pPr>
        <w:pStyle w:val="ListParagraph"/>
        <w:widowControl/>
        <w:autoSpaceDE/>
        <w:autoSpaceDN/>
        <w:adjustRightInd/>
        <w:ind w:left="360"/>
        <w:contextualSpacing w:val="0"/>
        <w:jc w:val="center"/>
        <w:rPr>
          <w:rFonts w:asciiTheme="minorHAnsi" w:hAnsiTheme="minorHAnsi" w:cstheme="minorHAnsi"/>
          <w:b/>
          <w:bCs/>
          <w:iCs/>
          <w:sz w:val="22"/>
          <w:szCs w:val="22"/>
        </w:rPr>
      </w:pPr>
    </w:p>
    <w:p w14:paraId="43D484E7" w14:textId="77777777" w:rsidR="00FD7D69" w:rsidRDefault="00FD7D69" w:rsidP="009B4997">
      <w:pPr>
        <w:pStyle w:val="ListParagraph"/>
        <w:widowControl/>
        <w:autoSpaceDE/>
        <w:autoSpaceDN/>
        <w:adjustRightInd/>
        <w:ind w:left="360"/>
        <w:contextualSpacing w:val="0"/>
        <w:jc w:val="center"/>
        <w:rPr>
          <w:rFonts w:asciiTheme="minorHAnsi" w:hAnsiTheme="minorHAnsi" w:cstheme="minorHAnsi"/>
          <w:b/>
          <w:bCs/>
          <w:iCs/>
          <w:sz w:val="22"/>
          <w:szCs w:val="22"/>
        </w:rPr>
      </w:pPr>
    </w:p>
    <w:p w14:paraId="4AFB750C" w14:textId="1CB7E81D" w:rsidR="00FD7D69" w:rsidRDefault="006562C8" w:rsidP="009B4997">
      <w:pPr>
        <w:pStyle w:val="ListParagraph"/>
        <w:widowControl/>
        <w:autoSpaceDE/>
        <w:autoSpaceDN/>
        <w:adjustRightInd/>
        <w:ind w:left="360"/>
        <w:contextualSpacing w:val="0"/>
        <w:jc w:val="center"/>
        <w:rPr>
          <w:rFonts w:asciiTheme="minorHAnsi" w:hAnsiTheme="minorHAnsi" w:cstheme="minorHAnsi"/>
          <w:b/>
          <w:bCs/>
          <w:iCs/>
          <w:sz w:val="22"/>
          <w:szCs w:val="22"/>
        </w:rPr>
      </w:pPr>
      <w:r w:rsidRPr="006562C8">
        <w:rPr>
          <w:rFonts w:cstheme="minorHAnsi"/>
          <w:b/>
          <w:bCs/>
          <w:iCs/>
        </w:rPr>
        <w:t xml:space="preserve"> </w:t>
      </w:r>
      <w:r w:rsidRPr="006562C8">
        <w:rPr>
          <w:noProof/>
          <w:lang w:val="en-GB" w:eastAsia="en-GB"/>
        </w:rPr>
        <w:drawing>
          <wp:inline distT="0" distB="0" distL="0" distR="0" wp14:anchorId="652C8AA5" wp14:editId="05F674F0">
            <wp:extent cx="2799080" cy="100965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99080" cy="1009650"/>
                    </a:xfrm>
                    <a:prstGeom prst="rect">
                      <a:avLst/>
                    </a:prstGeom>
                    <a:noFill/>
                    <a:ln>
                      <a:noFill/>
                    </a:ln>
                  </pic:spPr>
                </pic:pic>
              </a:graphicData>
            </a:graphic>
          </wp:inline>
        </w:drawing>
      </w:r>
    </w:p>
    <w:p w14:paraId="2BC6331D" w14:textId="72C1C320" w:rsidR="00B32D02" w:rsidRDefault="00B32D02" w:rsidP="009B4997">
      <w:pPr>
        <w:pStyle w:val="ListParagraph"/>
        <w:widowControl/>
        <w:autoSpaceDE/>
        <w:autoSpaceDN/>
        <w:adjustRightInd/>
        <w:ind w:left="360"/>
        <w:contextualSpacing w:val="0"/>
        <w:jc w:val="center"/>
        <w:rPr>
          <w:rFonts w:asciiTheme="minorHAnsi" w:hAnsiTheme="minorHAnsi" w:cstheme="minorHAnsi"/>
          <w:b/>
          <w:bCs/>
          <w:iCs/>
          <w:sz w:val="22"/>
          <w:szCs w:val="22"/>
        </w:rPr>
      </w:pPr>
    </w:p>
    <w:p w14:paraId="0E678B3A" w14:textId="4509DD87" w:rsidR="000965B7" w:rsidRDefault="000965B7" w:rsidP="009B4997">
      <w:pPr>
        <w:pStyle w:val="ListParagraph"/>
        <w:widowControl/>
        <w:autoSpaceDE/>
        <w:autoSpaceDN/>
        <w:adjustRightInd/>
        <w:ind w:left="360"/>
        <w:contextualSpacing w:val="0"/>
        <w:jc w:val="center"/>
        <w:rPr>
          <w:rFonts w:asciiTheme="minorHAnsi" w:hAnsiTheme="minorHAnsi" w:cstheme="minorHAnsi"/>
          <w:b/>
          <w:bCs/>
          <w:iCs/>
          <w:sz w:val="22"/>
          <w:szCs w:val="22"/>
        </w:rPr>
      </w:pPr>
      <w:r w:rsidRPr="000965B7">
        <w:rPr>
          <w:noProof/>
          <w:lang w:val="en-GB" w:eastAsia="en-GB"/>
        </w:rPr>
        <w:drawing>
          <wp:inline distT="0" distB="0" distL="0" distR="0" wp14:anchorId="2D823680" wp14:editId="1A4786C4">
            <wp:extent cx="4020185" cy="724535"/>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020185" cy="724535"/>
                    </a:xfrm>
                    <a:prstGeom prst="rect">
                      <a:avLst/>
                    </a:prstGeom>
                    <a:noFill/>
                    <a:ln>
                      <a:noFill/>
                    </a:ln>
                  </pic:spPr>
                </pic:pic>
              </a:graphicData>
            </a:graphic>
          </wp:inline>
        </w:drawing>
      </w:r>
    </w:p>
    <w:p w14:paraId="3D53A38C" w14:textId="77777777" w:rsidR="000965B7" w:rsidRPr="009B4997" w:rsidRDefault="000965B7" w:rsidP="009B4997">
      <w:pPr>
        <w:pStyle w:val="ListParagraph"/>
        <w:widowControl/>
        <w:autoSpaceDE/>
        <w:autoSpaceDN/>
        <w:adjustRightInd/>
        <w:ind w:left="360"/>
        <w:contextualSpacing w:val="0"/>
        <w:jc w:val="center"/>
        <w:rPr>
          <w:rFonts w:asciiTheme="minorHAnsi" w:hAnsiTheme="minorHAnsi" w:cstheme="minorHAnsi"/>
          <w:b/>
          <w:bCs/>
          <w:iCs/>
          <w:sz w:val="22"/>
          <w:szCs w:val="22"/>
        </w:rPr>
      </w:pPr>
    </w:p>
    <w:p w14:paraId="6DA3ACA2" w14:textId="77777777" w:rsidR="00856DE5" w:rsidRPr="00B80740" w:rsidRDefault="005C2D31" w:rsidP="00B80740">
      <w:pPr>
        <w:pStyle w:val="Heading2"/>
        <w:rPr>
          <w:rFonts w:cstheme="minorHAnsi"/>
        </w:rPr>
      </w:pPr>
      <w:bookmarkStart w:id="24" w:name="_Toc38031617"/>
      <w:r>
        <w:rPr>
          <w:rFonts w:cstheme="minorHAnsi"/>
        </w:rPr>
        <w:t xml:space="preserve">Project-level </w:t>
      </w:r>
      <w:r w:rsidR="00561C89" w:rsidRPr="00B80740">
        <w:rPr>
          <w:rFonts w:cstheme="minorHAnsi"/>
        </w:rPr>
        <w:t xml:space="preserve">Economic </w:t>
      </w:r>
      <w:r w:rsidR="00050EF3" w:rsidRPr="00B80740">
        <w:rPr>
          <w:rFonts w:cstheme="minorHAnsi"/>
        </w:rPr>
        <w:t>A</w:t>
      </w:r>
      <w:r w:rsidR="00B80740" w:rsidRPr="00B80740">
        <w:rPr>
          <w:rFonts w:cstheme="minorHAnsi"/>
        </w:rPr>
        <w:t>nalysis:</w:t>
      </w:r>
      <w:bookmarkEnd w:id="24"/>
    </w:p>
    <w:p w14:paraId="3B22BF88" w14:textId="1E2F6954" w:rsidR="00163172" w:rsidRDefault="00695DE3" w:rsidP="00304882">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The economic analysis </w:t>
      </w:r>
      <w:r w:rsidRPr="00015187">
        <w:rPr>
          <w:rFonts w:asciiTheme="minorHAnsi" w:hAnsiTheme="minorHAnsi" w:cstheme="minorHAnsi"/>
          <w:sz w:val="22"/>
          <w:szCs w:val="22"/>
        </w:rPr>
        <w:t xml:space="preserve">uses shadow pricing </w:t>
      </w:r>
      <w:r>
        <w:rPr>
          <w:rFonts w:asciiTheme="minorHAnsi" w:hAnsiTheme="minorHAnsi" w:cstheme="minorHAnsi"/>
          <w:sz w:val="22"/>
          <w:szCs w:val="22"/>
        </w:rPr>
        <w:t xml:space="preserve">by converting financial prices </w:t>
      </w:r>
      <w:r w:rsidR="00B252DE">
        <w:rPr>
          <w:rFonts w:asciiTheme="minorHAnsi" w:hAnsiTheme="minorHAnsi" w:cstheme="minorHAnsi"/>
          <w:sz w:val="22"/>
          <w:szCs w:val="22"/>
        </w:rPr>
        <w:t xml:space="preserve">using </w:t>
      </w:r>
      <w:r>
        <w:rPr>
          <w:rFonts w:asciiTheme="minorHAnsi" w:hAnsiTheme="minorHAnsi" w:cstheme="minorHAnsi"/>
          <w:sz w:val="22"/>
          <w:szCs w:val="22"/>
        </w:rPr>
        <w:t>a conversion factor</w:t>
      </w:r>
      <w:r w:rsidR="00992E63">
        <w:rPr>
          <w:rFonts w:asciiTheme="minorHAnsi" w:hAnsiTheme="minorHAnsi" w:cstheme="minorHAnsi"/>
          <w:sz w:val="22"/>
          <w:szCs w:val="22"/>
        </w:rPr>
        <w:t xml:space="preserve"> of </w:t>
      </w:r>
      <w:r w:rsidR="00D0354C">
        <w:rPr>
          <w:rFonts w:asciiTheme="minorHAnsi" w:hAnsiTheme="minorHAnsi" w:cstheme="minorHAnsi"/>
          <w:sz w:val="22"/>
          <w:szCs w:val="22"/>
        </w:rPr>
        <w:t>0.85</w:t>
      </w:r>
      <w:r>
        <w:rPr>
          <w:rFonts w:asciiTheme="minorHAnsi" w:hAnsiTheme="minorHAnsi" w:cstheme="minorHAnsi"/>
          <w:sz w:val="22"/>
          <w:szCs w:val="22"/>
        </w:rPr>
        <w:t xml:space="preserve"> in conjunction with </w:t>
      </w:r>
      <w:r w:rsidRPr="00015187">
        <w:rPr>
          <w:rFonts w:asciiTheme="minorHAnsi" w:hAnsiTheme="minorHAnsi" w:cstheme="minorHAnsi"/>
          <w:sz w:val="22"/>
          <w:szCs w:val="22"/>
        </w:rPr>
        <w:t xml:space="preserve">a </w:t>
      </w:r>
      <w:r w:rsidR="004201D7">
        <w:rPr>
          <w:rFonts w:asciiTheme="minorHAnsi" w:hAnsiTheme="minorHAnsi" w:cstheme="minorHAnsi"/>
          <w:sz w:val="22"/>
          <w:szCs w:val="22"/>
        </w:rPr>
        <w:t xml:space="preserve">social </w:t>
      </w:r>
      <w:r w:rsidRPr="00015187">
        <w:rPr>
          <w:rFonts w:asciiTheme="minorHAnsi" w:hAnsiTheme="minorHAnsi" w:cstheme="minorHAnsi"/>
          <w:sz w:val="22"/>
          <w:szCs w:val="22"/>
        </w:rPr>
        <w:t>discount rate</w:t>
      </w:r>
      <w:r>
        <w:rPr>
          <w:rFonts w:asciiTheme="minorHAnsi" w:hAnsiTheme="minorHAnsi" w:cstheme="minorHAnsi"/>
          <w:sz w:val="22"/>
          <w:szCs w:val="22"/>
        </w:rPr>
        <w:t xml:space="preserve"> (SDR) </w:t>
      </w:r>
      <w:r w:rsidR="00992E63">
        <w:rPr>
          <w:rFonts w:asciiTheme="minorHAnsi" w:hAnsiTheme="minorHAnsi" w:cstheme="minorHAnsi"/>
          <w:sz w:val="22"/>
          <w:szCs w:val="22"/>
        </w:rPr>
        <w:t>of 1</w:t>
      </w:r>
      <w:r w:rsidR="00D0354C">
        <w:rPr>
          <w:rFonts w:asciiTheme="minorHAnsi" w:hAnsiTheme="minorHAnsi" w:cstheme="minorHAnsi"/>
          <w:sz w:val="22"/>
          <w:szCs w:val="22"/>
        </w:rPr>
        <w:t>0</w:t>
      </w:r>
      <w:r w:rsidR="00992E63">
        <w:rPr>
          <w:rFonts w:asciiTheme="minorHAnsi" w:hAnsiTheme="minorHAnsi" w:cstheme="minorHAnsi"/>
          <w:sz w:val="22"/>
          <w:szCs w:val="22"/>
        </w:rPr>
        <w:t xml:space="preserve"> percent, as </w:t>
      </w:r>
      <w:r w:rsidR="00B12FAA">
        <w:rPr>
          <w:rFonts w:asciiTheme="minorHAnsi" w:hAnsiTheme="minorHAnsi" w:cstheme="minorHAnsi"/>
          <w:sz w:val="22"/>
          <w:szCs w:val="22"/>
        </w:rPr>
        <w:t>used by GCF for comparable projects</w:t>
      </w:r>
      <w:r w:rsidR="004201D7">
        <w:rPr>
          <w:rFonts w:asciiTheme="minorHAnsi" w:hAnsiTheme="minorHAnsi" w:cstheme="minorHAnsi"/>
          <w:sz w:val="22"/>
          <w:szCs w:val="22"/>
        </w:rPr>
        <w:t xml:space="preserve"> and </w:t>
      </w:r>
      <w:r w:rsidR="004201D7">
        <w:rPr>
          <w:rFonts w:asciiTheme="minorHAnsi" w:hAnsiTheme="minorHAnsi" w:cstheme="minorHAnsi"/>
          <w:bCs/>
          <w:iCs/>
          <w:sz w:val="22"/>
          <w:szCs w:val="22"/>
        </w:rPr>
        <w:t>past multilateral lending rates on projects by IFAD and the World Bank.</w:t>
      </w:r>
      <w:r w:rsidR="004201D7">
        <w:rPr>
          <w:rStyle w:val="FootnoteReference"/>
          <w:rFonts w:asciiTheme="minorHAnsi" w:hAnsiTheme="minorHAnsi" w:cstheme="minorHAnsi"/>
          <w:bCs/>
          <w:iCs/>
          <w:sz w:val="22"/>
          <w:szCs w:val="22"/>
        </w:rPr>
        <w:footnoteReference w:id="13"/>
      </w:r>
      <w:r w:rsidR="00192FBA">
        <w:rPr>
          <w:rFonts w:asciiTheme="minorHAnsi" w:hAnsiTheme="minorHAnsi" w:cstheme="minorHAnsi"/>
          <w:sz w:val="22"/>
          <w:szCs w:val="22"/>
        </w:rPr>
        <w:t xml:space="preserve"> </w:t>
      </w:r>
      <w:r>
        <w:rPr>
          <w:rStyle w:val="FootnoteReference"/>
          <w:rFonts w:asciiTheme="minorHAnsi" w:hAnsiTheme="minorHAnsi" w:cstheme="minorHAnsi"/>
          <w:sz w:val="22"/>
          <w:szCs w:val="22"/>
        </w:rPr>
        <w:footnoteReference w:id="14"/>
      </w:r>
      <w:r w:rsidR="00163172">
        <w:rPr>
          <w:rFonts w:asciiTheme="minorHAnsi" w:hAnsiTheme="minorHAnsi" w:cstheme="minorHAnsi"/>
          <w:sz w:val="22"/>
          <w:szCs w:val="22"/>
        </w:rPr>
        <w:t xml:space="preserve"> </w:t>
      </w:r>
      <w:r>
        <w:rPr>
          <w:rFonts w:asciiTheme="minorHAnsi" w:hAnsiTheme="minorHAnsi" w:cstheme="minorHAnsi"/>
          <w:sz w:val="22"/>
          <w:szCs w:val="22"/>
        </w:rPr>
        <w:t xml:space="preserve"> </w:t>
      </w:r>
      <w:r w:rsidR="00B252DE">
        <w:rPr>
          <w:rFonts w:asciiTheme="minorHAnsi" w:hAnsiTheme="minorHAnsi" w:cstheme="minorHAnsi"/>
          <w:sz w:val="22"/>
          <w:szCs w:val="22"/>
        </w:rPr>
        <w:t xml:space="preserve">Overall, the project suggests an economic internal rate of return (EIRR) of </w:t>
      </w:r>
      <w:r w:rsidR="006562C8">
        <w:rPr>
          <w:rFonts w:asciiTheme="minorHAnsi" w:hAnsiTheme="minorHAnsi" w:cstheme="minorHAnsi"/>
          <w:sz w:val="22"/>
          <w:szCs w:val="22"/>
        </w:rPr>
        <w:t>21</w:t>
      </w:r>
      <w:r w:rsidR="00D0354C">
        <w:rPr>
          <w:rFonts w:asciiTheme="minorHAnsi" w:hAnsiTheme="minorHAnsi" w:cstheme="minorHAnsi"/>
          <w:sz w:val="22"/>
          <w:szCs w:val="22"/>
        </w:rPr>
        <w:t xml:space="preserve"> </w:t>
      </w:r>
      <w:r w:rsidR="00B252DE">
        <w:rPr>
          <w:rFonts w:asciiTheme="minorHAnsi" w:hAnsiTheme="minorHAnsi" w:cstheme="minorHAnsi"/>
          <w:sz w:val="22"/>
          <w:szCs w:val="22"/>
        </w:rPr>
        <w:t>percent</w:t>
      </w:r>
      <w:r w:rsidR="003D4382">
        <w:rPr>
          <w:rFonts w:asciiTheme="minorHAnsi" w:hAnsiTheme="minorHAnsi" w:cstheme="minorHAnsi"/>
          <w:sz w:val="22"/>
          <w:szCs w:val="22"/>
        </w:rPr>
        <w:t xml:space="preserve"> and an</w:t>
      </w:r>
      <w:r w:rsidR="00B252DE">
        <w:rPr>
          <w:rFonts w:asciiTheme="minorHAnsi" w:hAnsiTheme="minorHAnsi" w:cstheme="minorHAnsi"/>
          <w:sz w:val="22"/>
          <w:szCs w:val="22"/>
        </w:rPr>
        <w:t xml:space="preserve"> </w:t>
      </w:r>
      <w:r w:rsidR="00CA2649">
        <w:rPr>
          <w:rFonts w:asciiTheme="minorHAnsi" w:hAnsiTheme="minorHAnsi" w:cstheme="minorHAnsi"/>
          <w:sz w:val="22"/>
          <w:szCs w:val="22"/>
        </w:rPr>
        <w:t xml:space="preserve">NPV </w:t>
      </w:r>
      <w:r w:rsidR="003D4382">
        <w:rPr>
          <w:rFonts w:asciiTheme="minorHAnsi" w:hAnsiTheme="minorHAnsi" w:cstheme="minorHAnsi"/>
          <w:sz w:val="22"/>
          <w:szCs w:val="22"/>
        </w:rPr>
        <w:t xml:space="preserve">of </w:t>
      </w:r>
      <w:r w:rsidR="00CA2649">
        <w:rPr>
          <w:rFonts w:asciiTheme="minorHAnsi" w:hAnsiTheme="minorHAnsi" w:cstheme="minorHAnsi"/>
          <w:sz w:val="22"/>
          <w:szCs w:val="22"/>
        </w:rPr>
        <w:t xml:space="preserve">US$ </w:t>
      </w:r>
      <w:r w:rsidR="00192FBA">
        <w:rPr>
          <w:rFonts w:asciiTheme="minorHAnsi" w:hAnsiTheme="minorHAnsi" w:cstheme="minorHAnsi"/>
          <w:sz w:val="22"/>
          <w:szCs w:val="22"/>
        </w:rPr>
        <w:t>1</w:t>
      </w:r>
      <w:r w:rsidR="00AB4A57">
        <w:rPr>
          <w:rFonts w:asciiTheme="minorHAnsi" w:hAnsiTheme="minorHAnsi" w:cstheme="minorHAnsi"/>
          <w:sz w:val="22"/>
          <w:szCs w:val="22"/>
        </w:rPr>
        <w:t>2</w:t>
      </w:r>
      <w:r w:rsidR="00F10253">
        <w:rPr>
          <w:rFonts w:asciiTheme="minorHAnsi" w:hAnsiTheme="minorHAnsi" w:cstheme="minorHAnsi"/>
          <w:sz w:val="22"/>
          <w:szCs w:val="22"/>
        </w:rPr>
        <w:t>.</w:t>
      </w:r>
      <w:r w:rsidR="006562C8">
        <w:rPr>
          <w:rFonts w:asciiTheme="minorHAnsi" w:hAnsiTheme="minorHAnsi" w:cstheme="minorHAnsi"/>
          <w:sz w:val="22"/>
          <w:szCs w:val="22"/>
        </w:rPr>
        <w:t>8</w:t>
      </w:r>
      <w:r w:rsidR="00CA2649">
        <w:rPr>
          <w:rFonts w:asciiTheme="minorHAnsi" w:hAnsiTheme="minorHAnsi" w:cstheme="minorHAnsi"/>
          <w:sz w:val="22"/>
          <w:szCs w:val="22"/>
        </w:rPr>
        <w:t xml:space="preserve"> million</w:t>
      </w:r>
      <w:r w:rsidR="003D4382">
        <w:rPr>
          <w:rFonts w:asciiTheme="minorHAnsi" w:hAnsiTheme="minorHAnsi" w:cstheme="minorHAnsi"/>
          <w:sz w:val="22"/>
          <w:szCs w:val="22"/>
        </w:rPr>
        <w:t>,</w:t>
      </w:r>
      <w:r w:rsidR="003D4382" w:rsidRPr="003D4382">
        <w:rPr>
          <w:rFonts w:asciiTheme="minorHAnsi" w:hAnsiTheme="minorHAnsi" w:cstheme="minorHAnsi"/>
          <w:sz w:val="22"/>
          <w:szCs w:val="22"/>
        </w:rPr>
        <w:t xml:space="preserve"> </w:t>
      </w:r>
      <w:r w:rsidR="003D4382">
        <w:rPr>
          <w:rFonts w:asciiTheme="minorHAnsi" w:hAnsiTheme="minorHAnsi" w:cstheme="minorHAnsi"/>
          <w:sz w:val="22"/>
          <w:szCs w:val="22"/>
        </w:rPr>
        <w:t>over a 20-year period</w:t>
      </w:r>
      <w:r w:rsidR="00CA2649">
        <w:rPr>
          <w:rFonts w:asciiTheme="minorHAnsi" w:hAnsiTheme="minorHAnsi" w:cstheme="minorHAnsi"/>
          <w:sz w:val="22"/>
          <w:szCs w:val="22"/>
        </w:rPr>
        <w:t xml:space="preserve">. </w:t>
      </w:r>
      <w:r w:rsidR="00304882">
        <w:rPr>
          <w:rFonts w:asciiTheme="minorHAnsi" w:hAnsiTheme="minorHAnsi" w:cstheme="minorHAnsi"/>
          <w:sz w:val="22"/>
          <w:szCs w:val="22"/>
        </w:rPr>
        <w:t xml:space="preserve">The BCR returns a figure of </w:t>
      </w:r>
      <w:r w:rsidR="00192FBA">
        <w:rPr>
          <w:rFonts w:asciiTheme="minorHAnsi" w:hAnsiTheme="minorHAnsi" w:cstheme="minorHAnsi"/>
          <w:sz w:val="22"/>
          <w:szCs w:val="22"/>
        </w:rPr>
        <w:t>2</w:t>
      </w:r>
      <w:r w:rsidR="00304882">
        <w:rPr>
          <w:rFonts w:asciiTheme="minorHAnsi" w:hAnsiTheme="minorHAnsi" w:cstheme="minorHAnsi"/>
          <w:sz w:val="22"/>
          <w:szCs w:val="22"/>
        </w:rPr>
        <w:t>.</w:t>
      </w:r>
      <w:r w:rsidR="00AB4A57">
        <w:rPr>
          <w:rFonts w:asciiTheme="minorHAnsi" w:hAnsiTheme="minorHAnsi" w:cstheme="minorHAnsi"/>
          <w:sz w:val="22"/>
          <w:szCs w:val="22"/>
        </w:rPr>
        <w:t>6</w:t>
      </w:r>
      <w:r w:rsidR="006562C8">
        <w:rPr>
          <w:rFonts w:asciiTheme="minorHAnsi" w:hAnsiTheme="minorHAnsi" w:cstheme="minorHAnsi"/>
          <w:sz w:val="22"/>
          <w:szCs w:val="22"/>
        </w:rPr>
        <w:t>8</w:t>
      </w:r>
      <w:r w:rsidR="00304882">
        <w:rPr>
          <w:rFonts w:asciiTheme="minorHAnsi" w:hAnsiTheme="minorHAnsi" w:cstheme="minorHAnsi"/>
          <w:sz w:val="22"/>
          <w:szCs w:val="22"/>
        </w:rPr>
        <w:t xml:space="preserve">, while switching values suggest that benefits would </w:t>
      </w:r>
      <w:r w:rsidR="00FE74B2">
        <w:rPr>
          <w:rFonts w:asciiTheme="minorHAnsi" w:hAnsiTheme="minorHAnsi" w:cstheme="minorHAnsi"/>
          <w:sz w:val="22"/>
          <w:szCs w:val="22"/>
        </w:rPr>
        <w:t xml:space="preserve">have </w:t>
      </w:r>
      <w:r w:rsidR="00304882">
        <w:rPr>
          <w:rFonts w:asciiTheme="minorHAnsi" w:hAnsiTheme="minorHAnsi" w:cstheme="minorHAnsi"/>
          <w:sz w:val="22"/>
          <w:szCs w:val="22"/>
        </w:rPr>
        <w:t>to decrease by -</w:t>
      </w:r>
      <w:r w:rsidR="00192FBA">
        <w:rPr>
          <w:rFonts w:asciiTheme="minorHAnsi" w:hAnsiTheme="minorHAnsi" w:cstheme="minorHAnsi"/>
          <w:sz w:val="22"/>
          <w:szCs w:val="22"/>
        </w:rPr>
        <w:t>6</w:t>
      </w:r>
      <w:r w:rsidR="00AB4A57">
        <w:rPr>
          <w:rFonts w:asciiTheme="minorHAnsi" w:hAnsiTheme="minorHAnsi" w:cstheme="minorHAnsi"/>
          <w:sz w:val="22"/>
          <w:szCs w:val="22"/>
        </w:rPr>
        <w:t>3</w:t>
      </w:r>
      <w:r w:rsidR="00304882">
        <w:rPr>
          <w:rFonts w:asciiTheme="minorHAnsi" w:hAnsiTheme="minorHAnsi" w:cstheme="minorHAnsi"/>
          <w:sz w:val="22"/>
          <w:szCs w:val="22"/>
        </w:rPr>
        <w:t xml:space="preserve"> percent and costs increase by </w:t>
      </w:r>
      <w:r w:rsidR="00192FBA">
        <w:rPr>
          <w:rFonts w:asciiTheme="minorHAnsi" w:hAnsiTheme="minorHAnsi" w:cstheme="minorHAnsi"/>
          <w:sz w:val="22"/>
          <w:szCs w:val="22"/>
        </w:rPr>
        <w:t>1</w:t>
      </w:r>
      <w:r w:rsidR="00AB4A57">
        <w:rPr>
          <w:rFonts w:asciiTheme="minorHAnsi" w:hAnsiTheme="minorHAnsi" w:cstheme="minorHAnsi"/>
          <w:sz w:val="22"/>
          <w:szCs w:val="22"/>
        </w:rPr>
        <w:t>6</w:t>
      </w:r>
      <w:r w:rsidR="006562C8">
        <w:rPr>
          <w:rFonts w:asciiTheme="minorHAnsi" w:hAnsiTheme="minorHAnsi" w:cstheme="minorHAnsi"/>
          <w:sz w:val="22"/>
          <w:szCs w:val="22"/>
        </w:rPr>
        <w:t>8</w:t>
      </w:r>
      <w:r w:rsidR="00304882">
        <w:rPr>
          <w:rFonts w:asciiTheme="minorHAnsi" w:hAnsiTheme="minorHAnsi" w:cstheme="minorHAnsi"/>
          <w:sz w:val="22"/>
          <w:szCs w:val="22"/>
        </w:rPr>
        <w:t xml:space="preserve"> percent before </w:t>
      </w:r>
      <w:r w:rsidR="00FE74B2">
        <w:rPr>
          <w:rFonts w:asciiTheme="minorHAnsi" w:hAnsiTheme="minorHAnsi" w:cstheme="minorHAnsi"/>
          <w:sz w:val="22"/>
          <w:szCs w:val="22"/>
        </w:rPr>
        <w:t>returning</w:t>
      </w:r>
      <w:r w:rsidR="00304882">
        <w:rPr>
          <w:rFonts w:asciiTheme="minorHAnsi" w:hAnsiTheme="minorHAnsi" w:cstheme="minorHAnsi"/>
          <w:sz w:val="22"/>
          <w:szCs w:val="22"/>
        </w:rPr>
        <w:t xml:space="preserve"> </w:t>
      </w:r>
      <w:r w:rsidR="00304882" w:rsidRPr="00304882">
        <w:rPr>
          <w:rFonts w:asciiTheme="minorHAnsi" w:hAnsiTheme="minorHAnsi" w:cstheme="minorHAnsi"/>
          <w:sz w:val="22"/>
          <w:szCs w:val="22"/>
        </w:rPr>
        <w:t xml:space="preserve">zero </w:t>
      </w:r>
      <w:r w:rsidR="00C2193D">
        <w:rPr>
          <w:rFonts w:asciiTheme="minorHAnsi" w:hAnsiTheme="minorHAnsi" w:cstheme="minorHAnsi"/>
          <w:sz w:val="22"/>
          <w:szCs w:val="22"/>
        </w:rPr>
        <w:t>for the project</w:t>
      </w:r>
      <w:r w:rsidR="00C54F8C">
        <w:rPr>
          <w:rFonts w:asciiTheme="minorHAnsi" w:hAnsiTheme="minorHAnsi" w:cstheme="minorHAnsi"/>
          <w:sz w:val="22"/>
          <w:szCs w:val="22"/>
        </w:rPr>
        <w:t xml:space="preserve"> investments</w:t>
      </w:r>
      <w:r w:rsidR="00304882" w:rsidRPr="00304882">
        <w:rPr>
          <w:rFonts w:asciiTheme="minorHAnsi" w:hAnsiTheme="minorHAnsi" w:cstheme="minorHAnsi"/>
          <w:sz w:val="22"/>
          <w:szCs w:val="22"/>
        </w:rPr>
        <w:t xml:space="preserve">. </w:t>
      </w:r>
    </w:p>
    <w:p w14:paraId="3F1AA7D6" w14:textId="77777777" w:rsidR="0030624D" w:rsidRDefault="0030624D" w:rsidP="009B4997">
      <w:pPr>
        <w:pStyle w:val="ListParagraph"/>
        <w:widowControl/>
        <w:autoSpaceDE/>
        <w:autoSpaceDN/>
        <w:adjustRightInd/>
        <w:ind w:left="0"/>
        <w:contextualSpacing w:val="0"/>
        <w:jc w:val="both"/>
        <w:rPr>
          <w:rFonts w:asciiTheme="minorHAnsi" w:hAnsiTheme="minorHAnsi" w:cstheme="minorHAnsi"/>
          <w:sz w:val="22"/>
          <w:szCs w:val="22"/>
        </w:rPr>
      </w:pPr>
    </w:p>
    <w:p w14:paraId="7CA59800" w14:textId="77777777" w:rsidR="00050EF3" w:rsidRPr="0023582D" w:rsidRDefault="00050EF3" w:rsidP="0023582D">
      <w:pPr>
        <w:pStyle w:val="Heading3"/>
        <w:jc w:val="center"/>
      </w:pPr>
      <w:bookmarkStart w:id="25" w:name="_Toc5355539"/>
      <w:bookmarkStart w:id="26" w:name="_Toc14813380"/>
      <w:bookmarkStart w:id="27" w:name="_Toc38031618"/>
      <w:r w:rsidRPr="0023582D">
        <w:t>Table</w:t>
      </w:r>
      <w:r w:rsidR="00B80740" w:rsidRPr="0023582D">
        <w:t xml:space="preserve"> </w:t>
      </w:r>
      <w:r w:rsidR="00FD7D69">
        <w:t>8</w:t>
      </w:r>
      <w:r w:rsidRPr="0023582D">
        <w:t xml:space="preserve">: </w:t>
      </w:r>
      <w:r w:rsidR="00FD7D69">
        <w:t>Economic p</w:t>
      </w:r>
      <w:r w:rsidRPr="0023582D">
        <w:t>roject level analysis</w:t>
      </w:r>
      <w:bookmarkEnd w:id="25"/>
      <w:bookmarkEnd w:id="26"/>
      <w:bookmarkEnd w:id="27"/>
    </w:p>
    <w:p w14:paraId="77C54157" w14:textId="1BE87058" w:rsidR="00050EF3" w:rsidRDefault="00D0354C" w:rsidP="00050EF3">
      <w:pPr>
        <w:pStyle w:val="ListParagraph"/>
        <w:widowControl/>
        <w:autoSpaceDE/>
        <w:autoSpaceDN/>
        <w:adjustRightInd/>
        <w:ind w:left="0"/>
        <w:contextualSpacing w:val="0"/>
        <w:jc w:val="center"/>
        <w:rPr>
          <w:rFonts w:asciiTheme="minorHAnsi" w:hAnsiTheme="minorHAnsi" w:cstheme="minorHAnsi"/>
          <w:sz w:val="22"/>
          <w:szCs w:val="22"/>
        </w:rPr>
      </w:pPr>
      <w:r w:rsidRPr="00D0354C">
        <w:t xml:space="preserve"> </w:t>
      </w:r>
      <w:r w:rsidR="00A737B8" w:rsidRPr="00A737B8">
        <w:t xml:space="preserve"> </w:t>
      </w:r>
      <w:r w:rsidR="00EA50A9" w:rsidRPr="00EA50A9">
        <w:t xml:space="preserve"> </w:t>
      </w:r>
      <w:r w:rsidR="006562C8" w:rsidRPr="006562C8">
        <w:t xml:space="preserve"> </w:t>
      </w:r>
      <w:r w:rsidR="006562C8" w:rsidRPr="006562C8">
        <w:rPr>
          <w:noProof/>
          <w:lang w:val="en-GB" w:eastAsia="en-GB"/>
        </w:rPr>
        <w:drawing>
          <wp:inline distT="0" distB="0" distL="0" distR="0" wp14:anchorId="5811CF80" wp14:editId="722E2658">
            <wp:extent cx="2799080" cy="100965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799080" cy="1009650"/>
                    </a:xfrm>
                    <a:prstGeom prst="rect">
                      <a:avLst/>
                    </a:prstGeom>
                    <a:noFill/>
                    <a:ln>
                      <a:noFill/>
                    </a:ln>
                  </pic:spPr>
                </pic:pic>
              </a:graphicData>
            </a:graphic>
          </wp:inline>
        </w:drawing>
      </w:r>
      <w:r w:rsidR="00C1218A" w:rsidRPr="00C1218A" w:rsidDel="00C1218A">
        <w:t xml:space="preserve"> </w:t>
      </w:r>
    </w:p>
    <w:p w14:paraId="6568A4DC" w14:textId="77777777" w:rsidR="008C2A83" w:rsidRDefault="008C2A83" w:rsidP="00050EF3">
      <w:pPr>
        <w:pStyle w:val="ListParagraph"/>
        <w:widowControl/>
        <w:autoSpaceDE/>
        <w:autoSpaceDN/>
        <w:adjustRightInd/>
        <w:ind w:left="0"/>
        <w:contextualSpacing w:val="0"/>
        <w:jc w:val="center"/>
        <w:rPr>
          <w:rFonts w:asciiTheme="minorHAnsi" w:hAnsiTheme="minorHAnsi" w:cstheme="minorHAnsi"/>
          <w:sz w:val="22"/>
          <w:szCs w:val="22"/>
        </w:rPr>
      </w:pPr>
    </w:p>
    <w:p w14:paraId="7A89684E" w14:textId="5C9ED331" w:rsidR="008C2A83" w:rsidRDefault="00D0354C" w:rsidP="00050EF3">
      <w:pPr>
        <w:pStyle w:val="ListParagraph"/>
        <w:widowControl/>
        <w:autoSpaceDE/>
        <w:autoSpaceDN/>
        <w:adjustRightInd/>
        <w:ind w:left="0"/>
        <w:contextualSpacing w:val="0"/>
        <w:jc w:val="center"/>
        <w:rPr>
          <w:rFonts w:asciiTheme="minorHAnsi" w:hAnsiTheme="minorHAnsi" w:cstheme="minorHAnsi"/>
          <w:sz w:val="22"/>
          <w:szCs w:val="22"/>
        </w:rPr>
      </w:pPr>
      <w:r w:rsidRPr="00D0354C">
        <w:t xml:space="preserve"> </w:t>
      </w:r>
      <w:r w:rsidR="00A737B8" w:rsidRPr="00A737B8">
        <w:t xml:space="preserve"> </w:t>
      </w:r>
      <w:r w:rsidR="00EA50A9" w:rsidRPr="00EA50A9">
        <w:t xml:space="preserve"> </w:t>
      </w:r>
      <w:r w:rsidR="006562C8" w:rsidRPr="006562C8">
        <w:t xml:space="preserve"> </w:t>
      </w:r>
      <w:r w:rsidR="006562C8" w:rsidRPr="006562C8">
        <w:rPr>
          <w:noProof/>
          <w:lang w:val="en-GB" w:eastAsia="en-GB"/>
        </w:rPr>
        <w:drawing>
          <wp:inline distT="0" distB="0" distL="0" distR="0" wp14:anchorId="65F6CECD" wp14:editId="2708AFCB">
            <wp:extent cx="4018915" cy="723265"/>
            <wp:effectExtent l="0" t="0" r="635" b="63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018915" cy="723265"/>
                    </a:xfrm>
                    <a:prstGeom prst="rect">
                      <a:avLst/>
                    </a:prstGeom>
                    <a:noFill/>
                    <a:ln>
                      <a:noFill/>
                    </a:ln>
                  </pic:spPr>
                </pic:pic>
              </a:graphicData>
            </a:graphic>
          </wp:inline>
        </w:drawing>
      </w:r>
      <w:r w:rsidR="00C1218A" w:rsidRPr="00C1218A" w:rsidDel="00C1218A">
        <w:t xml:space="preserve"> </w:t>
      </w:r>
    </w:p>
    <w:p w14:paraId="0473771E" w14:textId="77777777" w:rsidR="005C2D31" w:rsidRDefault="005C2D31" w:rsidP="00281552">
      <w:pPr>
        <w:pStyle w:val="ListParagraph"/>
        <w:widowControl/>
        <w:autoSpaceDE/>
        <w:autoSpaceDN/>
        <w:adjustRightInd/>
        <w:ind w:left="0"/>
        <w:contextualSpacing w:val="0"/>
        <w:jc w:val="both"/>
        <w:rPr>
          <w:rFonts w:asciiTheme="minorHAnsi" w:hAnsiTheme="minorHAnsi" w:cstheme="minorHAnsi"/>
          <w:sz w:val="22"/>
          <w:szCs w:val="22"/>
        </w:rPr>
      </w:pPr>
    </w:p>
    <w:p w14:paraId="5CAD7A43" w14:textId="1B546BCC" w:rsidR="005C2D31" w:rsidRDefault="00757A33" w:rsidP="005C2D31">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Pr>
          <w:rFonts w:asciiTheme="minorHAnsi" w:hAnsiTheme="minorHAnsi" w:cstheme="minorHAnsi"/>
          <w:sz w:val="22"/>
          <w:szCs w:val="22"/>
        </w:rPr>
        <w:t xml:space="preserve">It is worth noting here also the </w:t>
      </w:r>
      <w:r w:rsidR="005C2D31">
        <w:rPr>
          <w:rFonts w:asciiTheme="minorHAnsi" w:hAnsiTheme="minorHAnsi" w:cstheme="minorHAnsi"/>
          <w:sz w:val="22"/>
          <w:szCs w:val="22"/>
        </w:rPr>
        <w:t>convening powers of the project</w:t>
      </w:r>
      <w:r>
        <w:rPr>
          <w:rFonts w:asciiTheme="minorHAnsi" w:hAnsiTheme="minorHAnsi" w:cstheme="minorHAnsi"/>
          <w:sz w:val="22"/>
          <w:szCs w:val="22"/>
        </w:rPr>
        <w:t xml:space="preserve"> to</w:t>
      </w:r>
      <w:r w:rsidR="005C2D31">
        <w:rPr>
          <w:rFonts w:asciiTheme="minorHAnsi" w:hAnsiTheme="minorHAnsi" w:cstheme="minorHAnsi"/>
          <w:sz w:val="22"/>
          <w:szCs w:val="22"/>
        </w:rPr>
        <w:t xml:space="preserve"> draw</w:t>
      </w:r>
      <w:r>
        <w:rPr>
          <w:rFonts w:asciiTheme="minorHAnsi" w:hAnsiTheme="minorHAnsi" w:cstheme="minorHAnsi"/>
          <w:sz w:val="22"/>
          <w:szCs w:val="22"/>
        </w:rPr>
        <w:t xml:space="preserve"> </w:t>
      </w:r>
      <w:r w:rsidR="005C2D31">
        <w:rPr>
          <w:rFonts w:asciiTheme="minorHAnsi" w:hAnsiTheme="minorHAnsi" w:cstheme="minorHAnsi"/>
          <w:sz w:val="22"/>
          <w:szCs w:val="22"/>
        </w:rPr>
        <w:t xml:space="preserve">the private sector to the help of </w:t>
      </w:r>
      <w:r>
        <w:rPr>
          <w:rFonts w:asciiTheme="minorHAnsi" w:hAnsiTheme="minorHAnsi" w:cstheme="minorHAnsi"/>
          <w:sz w:val="22"/>
          <w:szCs w:val="22"/>
        </w:rPr>
        <w:t xml:space="preserve">the </w:t>
      </w:r>
      <w:r w:rsidR="005C2D31">
        <w:rPr>
          <w:rFonts w:asciiTheme="minorHAnsi" w:hAnsiTheme="minorHAnsi" w:cstheme="minorHAnsi"/>
          <w:sz w:val="22"/>
          <w:szCs w:val="22"/>
        </w:rPr>
        <w:t>GAPA</w:t>
      </w:r>
      <w:r>
        <w:rPr>
          <w:rFonts w:asciiTheme="minorHAnsi" w:hAnsiTheme="minorHAnsi" w:cstheme="minorHAnsi"/>
          <w:sz w:val="22"/>
          <w:szCs w:val="22"/>
        </w:rPr>
        <w:t xml:space="preserve"> member</w:t>
      </w:r>
      <w:r w:rsidR="005C2D31">
        <w:rPr>
          <w:rFonts w:asciiTheme="minorHAnsi" w:hAnsiTheme="minorHAnsi" w:cstheme="minorHAnsi"/>
          <w:sz w:val="22"/>
          <w:szCs w:val="22"/>
        </w:rPr>
        <w:t>s</w:t>
      </w:r>
      <w:r>
        <w:rPr>
          <w:rFonts w:asciiTheme="minorHAnsi" w:hAnsiTheme="minorHAnsi" w:cstheme="minorHAnsi"/>
          <w:sz w:val="22"/>
          <w:szCs w:val="22"/>
        </w:rPr>
        <w:t>,</w:t>
      </w:r>
      <w:r w:rsidR="005C2D31">
        <w:rPr>
          <w:rFonts w:asciiTheme="minorHAnsi" w:hAnsiTheme="minorHAnsi" w:cstheme="minorHAnsi"/>
          <w:sz w:val="22"/>
          <w:szCs w:val="22"/>
        </w:rPr>
        <w:t xml:space="preserve"> </w:t>
      </w:r>
      <w:r w:rsidR="00244EE2">
        <w:rPr>
          <w:rFonts w:asciiTheme="minorHAnsi" w:hAnsiTheme="minorHAnsi" w:cstheme="minorHAnsi"/>
          <w:sz w:val="22"/>
          <w:szCs w:val="22"/>
        </w:rPr>
        <w:t xml:space="preserve">who are the main target group of the project, </w:t>
      </w:r>
      <w:r w:rsidR="005C2D31">
        <w:rPr>
          <w:rFonts w:asciiTheme="minorHAnsi" w:hAnsiTheme="minorHAnsi" w:cstheme="minorHAnsi"/>
          <w:sz w:val="22"/>
          <w:szCs w:val="22"/>
        </w:rPr>
        <w:t>in directing additional capital into the area to absorb increase</w:t>
      </w:r>
      <w:r w:rsidR="002B2D50">
        <w:rPr>
          <w:rFonts w:asciiTheme="minorHAnsi" w:hAnsiTheme="minorHAnsi" w:cstheme="minorHAnsi"/>
          <w:sz w:val="22"/>
          <w:szCs w:val="22"/>
        </w:rPr>
        <w:t xml:space="preserve">s in </w:t>
      </w:r>
      <w:r w:rsidR="00244EE2">
        <w:rPr>
          <w:rFonts w:asciiTheme="minorHAnsi" w:hAnsiTheme="minorHAnsi" w:cstheme="minorHAnsi"/>
          <w:sz w:val="22"/>
          <w:szCs w:val="22"/>
        </w:rPr>
        <w:t xml:space="preserve">quantity and quality of </w:t>
      </w:r>
      <w:r w:rsidR="002B2D50">
        <w:rPr>
          <w:rFonts w:asciiTheme="minorHAnsi" w:hAnsiTheme="minorHAnsi" w:cstheme="minorHAnsi"/>
          <w:sz w:val="22"/>
          <w:szCs w:val="22"/>
        </w:rPr>
        <w:t>gum production, resulting from</w:t>
      </w:r>
      <w:r>
        <w:rPr>
          <w:rFonts w:asciiTheme="minorHAnsi" w:hAnsiTheme="minorHAnsi" w:cstheme="minorHAnsi"/>
          <w:sz w:val="22"/>
          <w:szCs w:val="22"/>
        </w:rPr>
        <w:t xml:space="preserve"> improved management practices</w:t>
      </w:r>
      <w:r w:rsidR="002B2D50">
        <w:rPr>
          <w:rFonts w:asciiTheme="minorHAnsi" w:hAnsiTheme="minorHAnsi" w:cstheme="minorHAnsi"/>
          <w:sz w:val="22"/>
          <w:szCs w:val="22"/>
        </w:rPr>
        <w:t xml:space="preserve"> supported by the project</w:t>
      </w:r>
      <w:r>
        <w:rPr>
          <w:rFonts w:asciiTheme="minorHAnsi" w:hAnsiTheme="minorHAnsi" w:cstheme="minorHAnsi"/>
          <w:sz w:val="22"/>
          <w:szCs w:val="22"/>
        </w:rPr>
        <w:t xml:space="preserve">. This </w:t>
      </w:r>
      <w:r w:rsidR="00244EE2">
        <w:rPr>
          <w:rFonts w:asciiTheme="minorHAnsi" w:hAnsiTheme="minorHAnsi" w:cstheme="minorHAnsi"/>
          <w:sz w:val="22"/>
          <w:szCs w:val="22"/>
        </w:rPr>
        <w:t>w</w:t>
      </w:r>
      <w:r w:rsidR="005C2D31">
        <w:rPr>
          <w:rFonts w:asciiTheme="minorHAnsi" w:hAnsiTheme="minorHAnsi" w:cstheme="minorHAnsi"/>
          <w:sz w:val="22"/>
          <w:szCs w:val="22"/>
        </w:rPr>
        <w:t xml:space="preserve">ill </w:t>
      </w:r>
      <w:r w:rsidR="0011195B">
        <w:rPr>
          <w:rFonts w:asciiTheme="minorHAnsi" w:hAnsiTheme="minorHAnsi" w:cstheme="minorHAnsi"/>
          <w:sz w:val="22"/>
          <w:szCs w:val="22"/>
        </w:rPr>
        <w:t xml:space="preserve">result in the further expansion of gum tappers into </w:t>
      </w:r>
      <w:r>
        <w:rPr>
          <w:rFonts w:asciiTheme="minorHAnsi" w:hAnsiTheme="minorHAnsi" w:cstheme="minorHAnsi"/>
          <w:sz w:val="22"/>
          <w:szCs w:val="22"/>
        </w:rPr>
        <w:t>untapped</w:t>
      </w:r>
      <w:r w:rsidR="0011195B">
        <w:rPr>
          <w:rFonts w:asciiTheme="minorHAnsi" w:hAnsiTheme="minorHAnsi" w:cstheme="minorHAnsi"/>
          <w:sz w:val="22"/>
          <w:szCs w:val="22"/>
        </w:rPr>
        <w:t xml:space="preserve"> areas</w:t>
      </w:r>
      <w:r>
        <w:rPr>
          <w:rFonts w:asciiTheme="minorHAnsi" w:hAnsiTheme="minorHAnsi" w:cstheme="minorHAnsi"/>
          <w:sz w:val="22"/>
          <w:szCs w:val="22"/>
        </w:rPr>
        <w:t xml:space="preserve"> where densification </w:t>
      </w:r>
      <w:r w:rsidR="00244EE2">
        <w:rPr>
          <w:rFonts w:asciiTheme="minorHAnsi" w:hAnsiTheme="minorHAnsi" w:cstheme="minorHAnsi"/>
          <w:sz w:val="22"/>
          <w:szCs w:val="22"/>
        </w:rPr>
        <w:t xml:space="preserve">of gum tree stands as promoted by the project </w:t>
      </w:r>
      <w:r>
        <w:rPr>
          <w:rFonts w:asciiTheme="minorHAnsi" w:hAnsiTheme="minorHAnsi" w:cstheme="minorHAnsi"/>
          <w:sz w:val="22"/>
          <w:szCs w:val="22"/>
        </w:rPr>
        <w:t xml:space="preserve">has not </w:t>
      </w:r>
      <w:r w:rsidR="00244EE2">
        <w:rPr>
          <w:rFonts w:asciiTheme="minorHAnsi" w:hAnsiTheme="minorHAnsi" w:cstheme="minorHAnsi"/>
          <w:sz w:val="22"/>
          <w:szCs w:val="22"/>
        </w:rPr>
        <w:t xml:space="preserve">yet </w:t>
      </w:r>
      <w:r>
        <w:rPr>
          <w:rFonts w:asciiTheme="minorHAnsi" w:hAnsiTheme="minorHAnsi" w:cstheme="minorHAnsi"/>
          <w:sz w:val="22"/>
          <w:szCs w:val="22"/>
        </w:rPr>
        <w:t>occurred</w:t>
      </w:r>
      <w:r w:rsidR="00244EE2">
        <w:rPr>
          <w:rFonts w:asciiTheme="minorHAnsi" w:hAnsiTheme="minorHAnsi" w:cstheme="minorHAnsi"/>
          <w:sz w:val="22"/>
          <w:szCs w:val="22"/>
        </w:rPr>
        <w:t>. In doing so, it will provide a</w:t>
      </w:r>
      <w:r w:rsidR="0092799E">
        <w:rPr>
          <w:rFonts w:asciiTheme="minorHAnsi" w:hAnsiTheme="minorHAnsi" w:cstheme="minorHAnsi"/>
          <w:sz w:val="22"/>
          <w:szCs w:val="22"/>
        </w:rPr>
        <w:t xml:space="preserve"> further</w:t>
      </w:r>
      <w:r w:rsidR="00244EE2">
        <w:rPr>
          <w:rFonts w:asciiTheme="minorHAnsi" w:hAnsiTheme="minorHAnsi" w:cstheme="minorHAnsi"/>
          <w:sz w:val="22"/>
          <w:szCs w:val="22"/>
        </w:rPr>
        <w:t xml:space="preserve"> incentive for gum producers to increase tree densities </w:t>
      </w:r>
      <w:r w:rsidR="0092799E">
        <w:rPr>
          <w:rFonts w:asciiTheme="minorHAnsi" w:hAnsiTheme="minorHAnsi" w:cstheme="minorHAnsi"/>
          <w:sz w:val="22"/>
          <w:szCs w:val="22"/>
        </w:rPr>
        <w:t>in these formerly untapped areas, generating additional climate change mitigation results through carbon sequestration</w:t>
      </w:r>
      <w:r>
        <w:rPr>
          <w:rFonts w:asciiTheme="minorHAnsi" w:hAnsiTheme="minorHAnsi" w:cstheme="minorHAnsi"/>
          <w:sz w:val="22"/>
          <w:szCs w:val="22"/>
        </w:rPr>
        <w:t>.</w:t>
      </w:r>
      <w:r w:rsidR="0092799E">
        <w:rPr>
          <w:rStyle w:val="FootnoteReference"/>
          <w:rFonts w:asciiTheme="minorHAnsi" w:hAnsiTheme="minorHAnsi" w:cstheme="minorHAnsi"/>
          <w:sz w:val="22"/>
          <w:szCs w:val="22"/>
        </w:rPr>
        <w:footnoteReference w:id="15"/>
      </w:r>
      <w:r>
        <w:rPr>
          <w:rFonts w:asciiTheme="minorHAnsi" w:hAnsiTheme="minorHAnsi" w:cstheme="minorHAnsi"/>
          <w:sz w:val="22"/>
          <w:szCs w:val="22"/>
        </w:rPr>
        <w:t xml:space="preserve"> </w:t>
      </w:r>
      <w:r w:rsidR="0092799E">
        <w:rPr>
          <w:rFonts w:asciiTheme="minorHAnsi" w:hAnsiTheme="minorHAnsi" w:cstheme="minorHAnsi"/>
          <w:sz w:val="22"/>
          <w:szCs w:val="22"/>
        </w:rPr>
        <w:t xml:space="preserve">The </w:t>
      </w:r>
      <w:r w:rsidR="00016B02">
        <w:rPr>
          <w:rFonts w:asciiTheme="minorHAnsi" w:hAnsiTheme="minorHAnsi" w:cstheme="minorHAnsi"/>
          <w:sz w:val="22"/>
          <w:szCs w:val="22"/>
        </w:rPr>
        <w:t>experience</w:t>
      </w:r>
      <w:r w:rsidR="0092799E">
        <w:rPr>
          <w:rFonts w:asciiTheme="minorHAnsi" w:hAnsiTheme="minorHAnsi" w:cstheme="minorHAnsi"/>
          <w:sz w:val="22"/>
          <w:szCs w:val="22"/>
        </w:rPr>
        <w:t xml:space="preserve"> from the AFD-funded pilot project that GAMS aims </w:t>
      </w:r>
      <w:r w:rsidR="0092799E">
        <w:rPr>
          <w:rFonts w:asciiTheme="minorHAnsi" w:hAnsiTheme="minorHAnsi" w:cstheme="minorHAnsi"/>
          <w:sz w:val="22"/>
          <w:szCs w:val="22"/>
        </w:rPr>
        <w:lastRenderedPageBreak/>
        <w:t>to scale up</w:t>
      </w:r>
      <w:r>
        <w:rPr>
          <w:rFonts w:asciiTheme="minorHAnsi" w:hAnsiTheme="minorHAnsi" w:cstheme="minorHAnsi"/>
          <w:sz w:val="22"/>
          <w:szCs w:val="22"/>
        </w:rPr>
        <w:t xml:space="preserve"> </w:t>
      </w:r>
      <w:r w:rsidR="00016B02">
        <w:rPr>
          <w:rFonts w:asciiTheme="minorHAnsi" w:hAnsiTheme="minorHAnsi" w:cstheme="minorHAnsi"/>
          <w:sz w:val="22"/>
          <w:szCs w:val="22"/>
        </w:rPr>
        <w:t xml:space="preserve">has proven </w:t>
      </w:r>
      <w:r>
        <w:rPr>
          <w:rFonts w:asciiTheme="minorHAnsi" w:hAnsiTheme="minorHAnsi" w:cstheme="minorHAnsi"/>
          <w:sz w:val="22"/>
          <w:szCs w:val="22"/>
        </w:rPr>
        <w:t xml:space="preserve">that pre-financing of </w:t>
      </w:r>
      <w:r w:rsidR="00016B02">
        <w:rPr>
          <w:rFonts w:asciiTheme="minorHAnsi" w:hAnsiTheme="minorHAnsi" w:cstheme="minorHAnsi"/>
          <w:sz w:val="22"/>
          <w:szCs w:val="22"/>
        </w:rPr>
        <w:t>gum tappers can increase the area covered by tappers and the volume of gum produced three-fold.</w:t>
      </w:r>
      <w:r w:rsidR="00016B02">
        <w:rPr>
          <w:rStyle w:val="FootnoteReference"/>
          <w:rFonts w:asciiTheme="minorHAnsi" w:hAnsiTheme="minorHAnsi" w:cstheme="minorHAnsi"/>
          <w:sz w:val="22"/>
          <w:szCs w:val="22"/>
        </w:rPr>
        <w:footnoteReference w:id="16"/>
      </w:r>
      <w:r w:rsidR="00016B02">
        <w:rPr>
          <w:rFonts w:asciiTheme="minorHAnsi" w:hAnsiTheme="minorHAnsi" w:cstheme="minorHAnsi"/>
          <w:sz w:val="22"/>
          <w:szCs w:val="22"/>
        </w:rPr>
        <w:t xml:space="preserve"> </w:t>
      </w:r>
      <w:r w:rsidR="0092799E">
        <w:rPr>
          <w:rFonts w:asciiTheme="minorHAnsi" w:hAnsiTheme="minorHAnsi" w:cstheme="minorHAnsi"/>
          <w:sz w:val="22"/>
          <w:szCs w:val="22"/>
        </w:rPr>
        <w:t xml:space="preserve">As GAMS creates similar expansion of smallholder gum production, </w:t>
      </w:r>
      <w:r w:rsidR="00016B02">
        <w:rPr>
          <w:rFonts w:asciiTheme="minorHAnsi" w:hAnsiTheme="minorHAnsi" w:cstheme="minorHAnsi"/>
          <w:sz w:val="22"/>
          <w:szCs w:val="22"/>
        </w:rPr>
        <w:t xml:space="preserve">private sector off-takers will </w:t>
      </w:r>
      <w:r w:rsidR="00A94D67">
        <w:rPr>
          <w:rFonts w:asciiTheme="minorHAnsi" w:hAnsiTheme="minorHAnsi" w:cstheme="minorHAnsi"/>
          <w:sz w:val="22"/>
          <w:szCs w:val="22"/>
        </w:rPr>
        <w:t xml:space="preserve">increase </w:t>
      </w:r>
      <w:r w:rsidR="00016B02">
        <w:rPr>
          <w:rFonts w:asciiTheme="minorHAnsi" w:hAnsiTheme="minorHAnsi" w:cstheme="minorHAnsi"/>
          <w:sz w:val="22"/>
          <w:szCs w:val="22"/>
        </w:rPr>
        <w:t>pre-</w:t>
      </w:r>
      <w:r w:rsidR="00A94D67">
        <w:rPr>
          <w:rFonts w:asciiTheme="minorHAnsi" w:hAnsiTheme="minorHAnsi" w:cstheme="minorHAnsi"/>
          <w:sz w:val="22"/>
          <w:szCs w:val="22"/>
        </w:rPr>
        <w:t>financing of</w:t>
      </w:r>
      <w:r w:rsidR="00016B02">
        <w:rPr>
          <w:rFonts w:asciiTheme="minorHAnsi" w:hAnsiTheme="minorHAnsi" w:cstheme="minorHAnsi"/>
          <w:sz w:val="22"/>
          <w:szCs w:val="22"/>
        </w:rPr>
        <w:t xml:space="preserve"> GAPAs and their members as supply is improved. </w:t>
      </w:r>
      <w:r w:rsidR="00A94D67">
        <w:rPr>
          <w:rFonts w:asciiTheme="minorHAnsi" w:hAnsiTheme="minorHAnsi" w:cstheme="minorHAnsi"/>
          <w:sz w:val="22"/>
          <w:szCs w:val="22"/>
        </w:rPr>
        <w:t xml:space="preserve">Due to the non-perishable nature of gum, gum tappers can easily gauge the market and determine the amount of supply, depending on market prices, and </w:t>
      </w:r>
      <w:r w:rsidR="00844CD3">
        <w:rPr>
          <w:rFonts w:asciiTheme="minorHAnsi" w:hAnsiTheme="minorHAnsi" w:cstheme="minorHAnsi"/>
          <w:sz w:val="22"/>
          <w:szCs w:val="22"/>
        </w:rPr>
        <w:t xml:space="preserve">tap </w:t>
      </w:r>
      <w:r w:rsidR="00A94D67">
        <w:rPr>
          <w:rFonts w:asciiTheme="minorHAnsi" w:hAnsiTheme="minorHAnsi" w:cstheme="minorHAnsi"/>
          <w:sz w:val="22"/>
          <w:szCs w:val="22"/>
        </w:rPr>
        <w:t xml:space="preserve">more </w:t>
      </w:r>
      <w:r w:rsidR="00B21F34">
        <w:rPr>
          <w:rFonts w:asciiTheme="minorHAnsi" w:hAnsiTheme="minorHAnsi" w:cstheme="minorHAnsi"/>
          <w:sz w:val="22"/>
          <w:szCs w:val="22"/>
        </w:rPr>
        <w:t xml:space="preserve">(or less) </w:t>
      </w:r>
      <w:r w:rsidR="00A94D67">
        <w:rPr>
          <w:rFonts w:asciiTheme="minorHAnsi" w:hAnsiTheme="minorHAnsi" w:cstheme="minorHAnsi"/>
          <w:sz w:val="22"/>
          <w:szCs w:val="22"/>
        </w:rPr>
        <w:t>trees</w:t>
      </w:r>
      <w:r w:rsidR="00B21F34">
        <w:rPr>
          <w:rFonts w:asciiTheme="minorHAnsi" w:hAnsiTheme="minorHAnsi" w:cstheme="minorHAnsi"/>
          <w:sz w:val="22"/>
          <w:szCs w:val="22"/>
        </w:rPr>
        <w:t xml:space="preserve"> </w:t>
      </w:r>
      <w:r w:rsidR="00844CD3">
        <w:rPr>
          <w:rFonts w:asciiTheme="minorHAnsi" w:hAnsiTheme="minorHAnsi" w:cstheme="minorHAnsi"/>
          <w:sz w:val="22"/>
          <w:szCs w:val="22"/>
        </w:rPr>
        <w:t>as the market achieves organic growth</w:t>
      </w:r>
      <w:r w:rsidR="00A94D67">
        <w:rPr>
          <w:rFonts w:asciiTheme="minorHAnsi" w:hAnsiTheme="minorHAnsi" w:cstheme="minorHAnsi"/>
          <w:sz w:val="22"/>
          <w:szCs w:val="22"/>
        </w:rPr>
        <w:t xml:space="preserve">. </w:t>
      </w:r>
      <w:r w:rsidR="00016B02">
        <w:rPr>
          <w:rFonts w:asciiTheme="minorHAnsi" w:hAnsiTheme="minorHAnsi" w:cstheme="minorHAnsi"/>
          <w:sz w:val="22"/>
          <w:szCs w:val="22"/>
        </w:rPr>
        <w:t xml:space="preserve">The GAMS project anticipates </w:t>
      </w:r>
      <w:r w:rsidR="002B2D50">
        <w:rPr>
          <w:rFonts w:asciiTheme="minorHAnsi" w:hAnsiTheme="minorHAnsi" w:cstheme="minorHAnsi"/>
          <w:sz w:val="22"/>
          <w:szCs w:val="22"/>
        </w:rPr>
        <w:t xml:space="preserve">that </w:t>
      </w:r>
      <w:r w:rsidR="00016B02">
        <w:rPr>
          <w:rFonts w:asciiTheme="minorHAnsi" w:hAnsiTheme="minorHAnsi" w:cstheme="minorHAnsi"/>
          <w:sz w:val="22"/>
          <w:szCs w:val="22"/>
        </w:rPr>
        <w:t xml:space="preserve">at the end of 20 years, the total amount of gum production </w:t>
      </w:r>
      <w:r w:rsidR="0092799E">
        <w:rPr>
          <w:rFonts w:asciiTheme="minorHAnsi" w:hAnsiTheme="minorHAnsi" w:cstheme="minorHAnsi"/>
          <w:sz w:val="22"/>
          <w:szCs w:val="22"/>
        </w:rPr>
        <w:t xml:space="preserve">by the project beneficiaries </w:t>
      </w:r>
      <w:r w:rsidR="00016B02">
        <w:rPr>
          <w:rFonts w:asciiTheme="minorHAnsi" w:hAnsiTheme="minorHAnsi" w:cstheme="minorHAnsi"/>
          <w:sz w:val="22"/>
          <w:szCs w:val="22"/>
        </w:rPr>
        <w:t>will increase six-fold</w:t>
      </w:r>
      <w:r w:rsidR="0092799E">
        <w:rPr>
          <w:rFonts w:asciiTheme="minorHAnsi" w:hAnsiTheme="minorHAnsi" w:cstheme="minorHAnsi"/>
          <w:sz w:val="22"/>
          <w:szCs w:val="22"/>
        </w:rPr>
        <w:t>. T</w:t>
      </w:r>
      <w:r w:rsidR="002B2D50">
        <w:rPr>
          <w:rFonts w:asciiTheme="minorHAnsi" w:hAnsiTheme="minorHAnsi" w:cstheme="minorHAnsi"/>
          <w:sz w:val="22"/>
          <w:szCs w:val="22"/>
        </w:rPr>
        <w:t xml:space="preserve">he </w:t>
      </w:r>
      <w:r w:rsidR="0092799E">
        <w:rPr>
          <w:rFonts w:asciiTheme="minorHAnsi" w:hAnsiTheme="minorHAnsi" w:cstheme="minorHAnsi"/>
          <w:sz w:val="22"/>
          <w:szCs w:val="22"/>
        </w:rPr>
        <w:t xml:space="preserve">gum export </w:t>
      </w:r>
      <w:r w:rsidR="002B2D50">
        <w:rPr>
          <w:rFonts w:asciiTheme="minorHAnsi" w:hAnsiTheme="minorHAnsi" w:cstheme="minorHAnsi"/>
          <w:sz w:val="22"/>
          <w:szCs w:val="22"/>
        </w:rPr>
        <w:t>market will be able to abs</w:t>
      </w:r>
      <w:r w:rsidR="00281552">
        <w:rPr>
          <w:rFonts w:asciiTheme="minorHAnsi" w:hAnsiTheme="minorHAnsi" w:cstheme="minorHAnsi"/>
          <w:sz w:val="22"/>
          <w:szCs w:val="22"/>
        </w:rPr>
        <w:t>o</w:t>
      </w:r>
      <w:r w:rsidR="002B2D50">
        <w:rPr>
          <w:rFonts w:asciiTheme="minorHAnsi" w:hAnsiTheme="minorHAnsi" w:cstheme="minorHAnsi"/>
          <w:sz w:val="22"/>
          <w:szCs w:val="22"/>
        </w:rPr>
        <w:t>r</w:t>
      </w:r>
      <w:r w:rsidR="00281552">
        <w:rPr>
          <w:rFonts w:asciiTheme="minorHAnsi" w:hAnsiTheme="minorHAnsi" w:cstheme="minorHAnsi"/>
          <w:sz w:val="22"/>
          <w:szCs w:val="22"/>
        </w:rPr>
        <w:t>b</w:t>
      </w:r>
      <w:r w:rsidR="002B2D50">
        <w:rPr>
          <w:rFonts w:asciiTheme="minorHAnsi" w:hAnsiTheme="minorHAnsi" w:cstheme="minorHAnsi"/>
          <w:sz w:val="22"/>
          <w:szCs w:val="22"/>
        </w:rPr>
        <w:t xml:space="preserve"> this increase comfortably</w:t>
      </w:r>
      <w:r w:rsidR="0092799E">
        <w:rPr>
          <w:rFonts w:asciiTheme="minorHAnsi" w:hAnsiTheme="minorHAnsi" w:cstheme="minorHAnsi"/>
          <w:sz w:val="22"/>
          <w:szCs w:val="22"/>
        </w:rPr>
        <w:t>, as analyzed in the Prefeasibility Study (para 66)</w:t>
      </w:r>
      <w:r w:rsidR="002B2D50">
        <w:rPr>
          <w:rFonts w:asciiTheme="minorHAnsi" w:hAnsiTheme="minorHAnsi" w:cstheme="minorHAnsi"/>
          <w:sz w:val="22"/>
          <w:szCs w:val="22"/>
        </w:rPr>
        <w:t>.</w:t>
      </w:r>
      <w:r w:rsidR="00A94D67">
        <w:rPr>
          <w:rFonts w:asciiTheme="minorHAnsi" w:hAnsiTheme="minorHAnsi" w:cstheme="minorHAnsi"/>
          <w:sz w:val="22"/>
          <w:szCs w:val="22"/>
        </w:rPr>
        <w:t xml:space="preserve"> </w:t>
      </w:r>
    </w:p>
    <w:p w14:paraId="0638374F" w14:textId="77777777" w:rsidR="00A94D67" w:rsidRPr="00031A86" w:rsidRDefault="00A94D67" w:rsidP="00281552">
      <w:pPr>
        <w:pStyle w:val="ListParagraph"/>
        <w:widowControl/>
        <w:autoSpaceDE/>
        <w:autoSpaceDN/>
        <w:adjustRightInd/>
        <w:ind w:left="0"/>
        <w:contextualSpacing w:val="0"/>
        <w:jc w:val="both"/>
        <w:rPr>
          <w:rFonts w:asciiTheme="minorHAnsi" w:hAnsiTheme="minorHAnsi" w:cstheme="minorHAnsi"/>
          <w:sz w:val="22"/>
          <w:szCs w:val="22"/>
        </w:rPr>
      </w:pPr>
    </w:p>
    <w:p w14:paraId="0069415B" w14:textId="77777777" w:rsidR="008F3D44" w:rsidRPr="00B80740" w:rsidRDefault="008F3D44" w:rsidP="00B80740">
      <w:pPr>
        <w:pStyle w:val="Heading2"/>
        <w:rPr>
          <w:rFonts w:cstheme="minorHAnsi"/>
        </w:rPr>
      </w:pPr>
      <w:bookmarkStart w:id="28" w:name="_Toc38031619"/>
      <w:r w:rsidRPr="00B80740">
        <w:rPr>
          <w:rFonts w:cstheme="minorHAnsi"/>
        </w:rPr>
        <w:t>Sensitivity Analysis</w:t>
      </w:r>
      <w:r w:rsidR="00B80740" w:rsidRPr="00B80740">
        <w:rPr>
          <w:rFonts w:cstheme="minorHAnsi"/>
        </w:rPr>
        <w:t>:</w:t>
      </w:r>
      <w:bookmarkEnd w:id="28"/>
      <w:r w:rsidRPr="00B80740">
        <w:rPr>
          <w:rFonts w:cstheme="minorHAnsi"/>
        </w:rPr>
        <w:t xml:space="preserve"> </w:t>
      </w:r>
    </w:p>
    <w:p w14:paraId="60FCED8A" w14:textId="2F97CD2C" w:rsidR="005C2D31" w:rsidRDefault="0067753F" w:rsidP="00EE2B5E">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sidRPr="00031A86">
        <w:rPr>
          <w:rFonts w:asciiTheme="minorHAnsi" w:hAnsiTheme="minorHAnsi" w:cstheme="minorHAnsi"/>
          <w:sz w:val="22"/>
          <w:szCs w:val="22"/>
        </w:rPr>
        <w:t xml:space="preserve">The </w:t>
      </w:r>
      <w:r w:rsidR="00C65B4A">
        <w:rPr>
          <w:rFonts w:asciiTheme="minorHAnsi" w:hAnsiTheme="minorHAnsi" w:cstheme="minorHAnsi"/>
          <w:sz w:val="22"/>
          <w:szCs w:val="22"/>
        </w:rPr>
        <w:t xml:space="preserve">sensitivity </w:t>
      </w:r>
      <w:r w:rsidRPr="00031A86">
        <w:rPr>
          <w:rFonts w:asciiTheme="minorHAnsi" w:hAnsiTheme="minorHAnsi" w:cstheme="minorHAnsi"/>
          <w:sz w:val="22"/>
          <w:szCs w:val="22"/>
        </w:rPr>
        <w:t>analysis tests the robustness of the figures against a number of events.</w:t>
      </w:r>
      <w:r w:rsidR="00C6169B" w:rsidRPr="00031A86">
        <w:rPr>
          <w:rFonts w:asciiTheme="minorHAnsi" w:hAnsiTheme="minorHAnsi" w:cstheme="minorHAnsi"/>
          <w:sz w:val="22"/>
          <w:szCs w:val="22"/>
        </w:rPr>
        <w:t xml:space="preserve"> I</w:t>
      </w:r>
      <w:r w:rsidR="006E7895" w:rsidRPr="00031A86">
        <w:rPr>
          <w:rFonts w:asciiTheme="minorHAnsi" w:hAnsiTheme="minorHAnsi" w:cstheme="minorHAnsi"/>
          <w:sz w:val="22"/>
          <w:szCs w:val="22"/>
        </w:rPr>
        <w:t xml:space="preserve">nherent in the </w:t>
      </w:r>
      <w:r w:rsidR="004A2E04">
        <w:rPr>
          <w:rFonts w:asciiTheme="minorHAnsi" w:hAnsiTheme="minorHAnsi" w:cstheme="minorHAnsi"/>
          <w:sz w:val="22"/>
          <w:szCs w:val="22"/>
        </w:rPr>
        <w:t xml:space="preserve">base </w:t>
      </w:r>
      <w:r w:rsidR="006E7895" w:rsidRPr="00031A86">
        <w:rPr>
          <w:rFonts w:asciiTheme="minorHAnsi" w:hAnsiTheme="minorHAnsi" w:cstheme="minorHAnsi"/>
          <w:sz w:val="22"/>
          <w:szCs w:val="22"/>
        </w:rPr>
        <w:t>scenario for both the without and with project is the occurrence of good</w:t>
      </w:r>
      <w:r w:rsidR="00335039">
        <w:rPr>
          <w:rFonts w:asciiTheme="minorHAnsi" w:hAnsiTheme="minorHAnsi" w:cstheme="minorHAnsi"/>
          <w:sz w:val="22"/>
          <w:szCs w:val="22"/>
        </w:rPr>
        <w:t>, moderate and bad</w:t>
      </w:r>
      <w:r w:rsidR="006E7895" w:rsidRPr="00031A86">
        <w:rPr>
          <w:rFonts w:asciiTheme="minorHAnsi" w:hAnsiTheme="minorHAnsi" w:cstheme="minorHAnsi"/>
          <w:sz w:val="22"/>
          <w:szCs w:val="22"/>
        </w:rPr>
        <w:t xml:space="preserve"> year</w:t>
      </w:r>
      <w:r w:rsidR="00335039">
        <w:rPr>
          <w:rFonts w:asciiTheme="minorHAnsi" w:hAnsiTheme="minorHAnsi" w:cstheme="minorHAnsi"/>
          <w:sz w:val="22"/>
          <w:szCs w:val="22"/>
        </w:rPr>
        <w:t>s</w:t>
      </w:r>
      <w:r w:rsidR="006E7895" w:rsidRPr="00031A86">
        <w:rPr>
          <w:rFonts w:asciiTheme="minorHAnsi" w:hAnsiTheme="minorHAnsi" w:cstheme="minorHAnsi"/>
          <w:sz w:val="22"/>
          <w:szCs w:val="22"/>
        </w:rPr>
        <w:t>. This was reflected in the models by positing a</w:t>
      </w:r>
      <w:r w:rsidR="00335039">
        <w:rPr>
          <w:rFonts w:asciiTheme="minorHAnsi" w:hAnsiTheme="minorHAnsi" w:cstheme="minorHAnsi"/>
          <w:sz w:val="22"/>
          <w:szCs w:val="22"/>
        </w:rPr>
        <w:t xml:space="preserve"> 0-60-</w:t>
      </w:r>
      <w:r w:rsidR="006E7895" w:rsidRPr="00031A86">
        <w:rPr>
          <w:rFonts w:asciiTheme="minorHAnsi" w:hAnsiTheme="minorHAnsi" w:cstheme="minorHAnsi"/>
          <w:sz w:val="22"/>
          <w:szCs w:val="22"/>
        </w:rPr>
        <w:t>80</w:t>
      </w:r>
      <w:r w:rsidR="00335039">
        <w:rPr>
          <w:rFonts w:asciiTheme="minorHAnsi" w:hAnsiTheme="minorHAnsi" w:cstheme="minorHAnsi"/>
          <w:sz w:val="22"/>
          <w:szCs w:val="22"/>
        </w:rPr>
        <w:t>-100</w:t>
      </w:r>
      <w:r w:rsidR="006E7895" w:rsidRPr="00031A86">
        <w:rPr>
          <w:rFonts w:asciiTheme="minorHAnsi" w:hAnsiTheme="minorHAnsi" w:cstheme="minorHAnsi"/>
          <w:sz w:val="22"/>
          <w:szCs w:val="22"/>
        </w:rPr>
        <w:t xml:space="preserve"> percent</w:t>
      </w:r>
      <w:r w:rsidR="00335039">
        <w:rPr>
          <w:rFonts w:asciiTheme="minorHAnsi" w:hAnsiTheme="minorHAnsi" w:cstheme="minorHAnsi"/>
          <w:sz w:val="22"/>
          <w:szCs w:val="22"/>
        </w:rPr>
        <w:t xml:space="preserve"> </w:t>
      </w:r>
      <w:r w:rsidR="006E7895" w:rsidRPr="00031A86">
        <w:rPr>
          <w:rFonts w:asciiTheme="minorHAnsi" w:hAnsiTheme="minorHAnsi" w:cstheme="minorHAnsi"/>
          <w:sz w:val="22"/>
          <w:szCs w:val="22"/>
        </w:rPr>
        <w:t xml:space="preserve">yield for tree and field crops, in addition to the CARD Tool figures for the field crops and the restricted space for field crops by an increasing tree crown.  </w:t>
      </w:r>
      <w:r w:rsidR="00800468" w:rsidRPr="00031A86">
        <w:rPr>
          <w:rFonts w:asciiTheme="minorHAnsi" w:hAnsiTheme="minorHAnsi" w:cstheme="minorHAnsi"/>
          <w:sz w:val="22"/>
          <w:szCs w:val="22"/>
        </w:rPr>
        <w:t>In total, the results were tested against 2</w:t>
      </w:r>
      <w:r w:rsidR="00206F90">
        <w:rPr>
          <w:rFonts w:asciiTheme="minorHAnsi" w:hAnsiTheme="minorHAnsi" w:cstheme="minorHAnsi"/>
          <w:sz w:val="22"/>
          <w:szCs w:val="22"/>
        </w:rPr>
        <w:t>6</w:t>
      </w:r>
      <w:r w:rsidR="00800468" w:rsidRPr="00031A86">
        <w:rPr>
          <w:rFonts w:asciiTheme="minorHAnsi" w:hAnsiTheme="minorHAnsi" w:cstheme="minorHAnsi"/>
          <w:sz w:val="22"/>
          <w:szCs w:val="22"/>
        </w:rPr>
        <w:t>0 different scenarios, with the EIRR and NPV tested against 1</w:t>
      </w:r>
      <w:r w:rsidR="00335039">
        <w:rPr>
          <w:rFonts w:asciiTheme="minorHAnsi" w:hAnsiTheme="minorHAnsi" w:cstheme="minorHAnsi"/>
          <w:sz w:val="22"/>
          <w:szCs w:val="22"/>
        </w:rPr>
        <w:t>2</w:t>
      </w:r>
      <w:r w:rsidR="00800468" w:rsidRPr="00031A86">
        <w:rPr>
          <w:rFonts w:asciiTheme="minorHAnsi" w:hAnsiTheme="minorHAnsi" w:cstheme="minorHAnsi"/>
          <w:sz w:val="22"/>
          <w:szCs w:val="22"/>
        </w:rPr>
        <w:t xml:space="preserve"> different scenarios. </w:t>
      </w:r>
      <w:r w:rsidR="00BD30E1">
        <w:rPr>
          <w:rFonts w:asciiTheme="minorHAnsi" w:hAnsiTheme="minorHAnsi" w:cstheme="minorHAnsi"/>
          <w:sz w:val="22"/>
          <w:szCs w:val="22"/>
        </w:rPr>
        <w:t xml:space="preserve">The </w:t>
      </w:r>
      <w:r w:rsidR="0030624D">
        <w:rPr>
          <w:rFonts w:asciiTheme="minorHAnsi" w:hAnsiTheme="minorHAnsi" w:cstheme="minorHAnsi"/>
          <w:sz w:val="22"/>
          <w:szCs w:val="22"/>
        </w:rPr>
        <w:t xml:space="preserve">initial </w:t>
      </w:r>
      <w:r w:rsidR="00031A86" w:rsidRPr="00031A86">
        <w:rPr>
          <w:rFonts w:asciiTheme="minorHAnsi" w:hAnsiTheme="minorHAnsi" w:cstheme="minorHAnsi"/>
          <w:sz w:val="22"/>
          <w:szCs w:val="22"/>
        </w:rPr>
        <w:t xml:space="preserve">adoption rate </w:t>
      </w:r>
      <w:r w:rsidR="00862D30">
        <w:rPr>
          <w:rFonts w:asciiTheme="minorHAnsi" w:hAnsiTheme="minorHAnsi" w:cstheme="minorHAnsi"/>
          <w:sz w:val="22"/>
          <w:szCs w:val="22"/>
        </w:rPr>
        <w:t>of</w:t>
      </w:r>
      <w:r w:rsidR="00862D30" w:rsidRPr="00031A86">
        <w:rPr>
          <w:rFonts w:asciiTheme="minorHAnsi" w:hAnsiTheme="minorHAnsi" w:cstheme="minorHAnsi"/>
          <w:sz w:val="22"/>
          <w:szCs w:val="22"/>
        </w:rPr>
        <w:t xml:space="preserve"> </w:t>
      </w:r>
      <w:r w:rsidR="00BD30E1">
        <w:rPr>
          <w:rFonts w:asciiTheme="minorHAnsi" w:hAnsiTheme="minorHAnsi" w:cstheme="minorHAnsi"/>
          <w:sz w:val="22"/>
          <w:szCs w:val="22"/>
        </w:rPr>
        <w:t>10</w:t>
      </w:r>
      <w:r w:rsidR="00031A86" w:rsidRPr="00031A86">
        <w:rPr>
          <w:rFonts w:asciiTheme="minorHAnsi" w:hAnsiTheme="minorHAnsi" w:cstheme="minorHAnsi"/>
          <w:sz w:val="22"/>
          <w:szCs w:val="22"/>
        </w:rPr>
        <w:t>0 percent</w:t>
      </w:r>
      <w:r w:rsidR="00BD30E1">
        <w:rPr>
          <w:rFonts w:asciiTheme="minorHAnsi" w:hAnsiTheme="minorHAnsi" w:cstheme="minorHAnsi"/>
          <w:sz w:val="22"/>
          <w:szCs w:val="22"/>
        </w:rPr>
        <w:t xml:space="preserve"> is aligned with project’s gradual </w:t>
      </w:r>
      <w:r w:rsidR="00862D30">
        <w:rPr>
          <w:rFonts w:asciiTheme="minorHAnsi" w:hAnsiTheme="minorHAnsi" w:cstheme="minorHAnsi"/>
          <w:sz w:val="22"/>
          <w:szCs w:val="22"/>
        </w:rPr>
        <w:t>implementation</w:t>
      </w:r>
      <w:r w:rsidR="00BD30E1">
        <w:rPr>
          <w:rFonts w:asciiTheme="minorHAnsi" w:hAnsiTheme="minorHAnsi" w:cstheme="minorHAnsi"/>
          <w:sz w:val="22"/>
          <w:szCs w:val="22"/>
        </w:rPr>
        <w:t xml:space="preserve"> </w:t>
      </w:r>
      <w:r w:rsidR="00B216FD">
        <w:rPr>
          <w:rFonts w:asciiTheme="minorHAnsi" w:hAnsiTheme="minorHAnsi" w:cstheme="minorHAnsi"/>
          <w:sz w:val="22"/>
          <w:szCs w:val="22"/>
        </w:rPr>
        <w:t xml:space="preserve">rate </w:t>
      </w:r>
      <w:r w:rsidR="00BD30E1">
        <w:rPr>
          <w:rFonts w:asciiTheme="minorHAnsi" w:hAnsiTheme="minorHAnsi" w:cstheme="minorHAnsi"/>
          <w:sz w:val="22"/>
          <w:szCs w:val="22"/>
        </w:rPr>
        <w:t xml:space="preserve">and </w:t>
      </w:r>
      <w:r w:rsidR="002B3D69">
        <w:rPr>
          <w:rFonts w:asciiTheme="minorHAnsi" w:hAnsiTheme="minorHAnsi" w:cstheme="minorHAnsi"/>
          <w:sz w:val="22"/>
          <w:szCs w:val="22"/>
        </w:rPr>
        <w:t>the duration of the project</w:t>
      </w:r>
      <w:r w:rsidR="00B216FD">
        <w:rPr>
          <w:rFonts w:asciiTheme="minorHAnsi" w:hAnsiTheme="minorHAnsi" w:cstheme="minorHAnsi"/>
          <w:sz w:val="22"/>
          <w:szCs w:val="22"/>
        </w:rPr>
        <w:t xml:space="preserve">, thereafter the adoption rate factors in drop-out rates after field crops are no longer cultivated to 95 percent and then later to 90 percent and 80 percent in the latter </w:t>
      </w:r>
      <w:r w:rsidR="002B3D69">
        <w:rPr>
          <w:rFonts w:asciiTheme="minorHAnsi" w:hAnsiTheme="minorHAnsi" w:cstheme="minorHAnsi"/>
          <w:sz w:val="22"/>
          <w:szCs w:val="22"/>
        </w:rPr>
        <w:t xml:space="preserve">half </w:t>
      </w:r>
      <w:r w:rsidR="00B216FD">
        <w:rPr>
          <w:rFonts w:asciiTheme="minorHAnsi" w:hAnsiTheme="minorHAnsi" w:cstheme="minorHAnsi"/>
          <w:sz w:val="22"/>
          <w:szCs w:val="22"/>
        </w:rPr>
        <w:t xml:space="preserve">of the </w:t>
      </w:r>
      <w:r w:rsidR="002B3D69">
        <w:rPr>
          <w:rFonts w:asciiTheme="minorHAnsi" w:hAnsiTheme="minorHAnsi" w:cstheme="minorHAnsi"/>
          <w:sz w:val="22"/>
          <w:szCs w:val="22"/>
        </w:rPr>
        <w:t xml:space="preserve">20-year </w:t>
      </w:r>
      <w:r w:rsidR="00B216FD">
        <w:rPr>
          <w:rFonts w:asciiTheme="minorHAnsi" w:hAnsiTheme="minorHAnsi" w:cstheme="minorHAnsi"/>
          <w:sz w:val="22"/>
          <w:szCs w:val="22"/>
        </w:rPr>
        <w:t>discount period</w:t>
      </w:r>
      <w:r w:rsidR="00031A86" w:rsidRPr="00031A86">
        <w:rPr>
          <w:rFonts w:asciiTheme="minorHAnsi" w:hAnsiTheme="minorHAnsi" w:cstheme="minorHAnsi"/>
          <w:sz w:val="22"/>
          <w:szCs w:val="22"/>
        </w:rPr>
        <w:t xml:space="preserve">. The </w:t>
      </w:r>
      <w:r w:rsidR="00BD30E1">
        <w:rPr>
          <w:rFonts w:asciiTheme="minorHAnsi" w:hAnsiTheme="minorHAnsi" w:cstheme="minorHAnsi"/>
          <w:sz w:val="22"/>
          <w:szCs w:val="22"/>
        </w:rPr>
        <w:t xml:space="preserve">analysis tested the adoption rate by the project overall. </w:t>
      </w:r>
      <w:r w:rsidR="00031A86" w:rsidRPr="00031A86">
        <w:rPr>
          <w:rFonts w:asciiTheme="minorHAnsi" w:hAnsiTheme="minorHAnsi" w:cstheme="minorHAnsi"/>
          <w:sz w:val="22"/>
          <w:szCs w:val="22"/>
        </w:rPr>
        <w:t>Evidently</w:t>
      </w:r>
      <w:r w:rsidR="00031A86">
        <w:rPr>
          <w:rFonts w:asciiTheme="minorHAnsi" w:hAnsiTheme="minorHAnsi" w:cstheme="minorHAnsi"/>
          <w:sz w:val="22"/>
          <w:szCs w:val="22"/>
        </w:rPr>
        <w:t xml:space="preserve">, </w:t>
      </w:r>
      <w:r w:rsidR="00031A86" w:rsidRPr="00031A86">
        <w:rPr>
          <w:rFonts w:asciiTheme="minorHAnsi" w:hAnsiTheme="minorHAnsi" w:cstheme="minorHAnsi"/>
          <w:sz w:val="22"/>
          <w:szCs w:val="22"/>
        </w:rPr>
        <w:t xml:space="preserve">there is a </w:t>
      </w:r>
      <w:r w:rsidR="00031A86">
        <w:rPr>
          <w:rFonts w:asciiTheme="minorHAnsi" w:hAnsiTheme="minorHAnsi" w:cstheme="minorHAnsi"/>
          <w:sz w:val="22"/>
          <w:szCs w:val="22"/>
        </w:rPr>
        <w:t xml:space="preserve">break-even </w:t>
      </w:r>
      <w:r w:rsidR="00031A86" w:rsidRPr="00031A86">
        <w:rPr>
          <w:rFonts w:asciiTheme="minorHAnsi" w:hAnsiTheme="minorHAnsi" w:cstheme="minorHAnsi"/>
          <w:sz w:val="22"/>
          <w:szCs w:val="22"/>
        </w:rPr>
        <w:t xml:space="preserve">point </w:t>
      </w:r>
      <w:r w:rsidR="00031A86">
        <w:rPr>
          <w:rFonts w:asciiTheme="minorHAnsi" w:hAnsiTheme="minorHAnsi" w:cstheme="minorHAnsi"/>
          <w:sz w:val="22"/>
          <w:szCs w:val="22"/>
        </w:rPr>
        <w:t>(BEP) for the project to make a positive return</w:t>
      </w:r>
      <w:r w:rsidR="00DA3596">
        <w:rPr>
          <w:rFonts w:asciiTheme="minorHAnsi" w:hAnsiTheme="minorHAnsi" w:cstheme="minorHAnsi"/>
          <w:sz w:val="22"/>
          <w:szCs w:val="22"/>
        </w:rPr>
        <w:t xml:space="preserve"> -</w:t>
      </w:r>
      <w:r w:rsidR="00031A86">
        <w:rPr>
          <w:rFonts w:asciiTheme="minorHAnsi" w:hAnsiTheme="minorHAnsi" w:cstheme="minorHAnsi"/>
          <w:sz w:val="22"/>
          <w:szCs w:val="22"/>
        </w:rPr>
        <w:t xml:space="preserve"> based on </w:t>
      </w:r>
      <w:r w:rsidR="002D7F05">
        <w:rPr>
          <w:rFonts w:asciiTheme="minorHAnsi" w:hAnsiTheme="minorHAnsi" w:cstheme="minorHAnsi"/>
          <w:sz w:val="22"/>
          <w:szCs w:val="22"/>
        </w:rPr>
        <w:t xml:space="preserve">financial and </w:t>
      </w:r>
      <w:r w:rsidR="00031A86">
        <w:rPr>
          <w:rFonts w:asciiTheme="minorHAnsi" w:hAnsiTheme="minorHAnsi" w:cstheme="minorHAnsi"/>
          <w:sz w:val="22"/>
          <w:szCs w:val="22"/>
        </w:rPr>
        <w:t xml:space="preserve">economic factors alone and without environmental co-benefits. The project </w:t>
      </w:r>
      <w:r w:rsidR="00620E26">
        <w:rPr>
          <w:rFonts w:asciiTheme="minorHAnsi" w:hAnsiTheme="minorHAnsi" w:cstheme="minorHAnsi"/>
          <w:sz w:val="22"/>
          <w:szCs w:val="22"/>
        </w:rPr>
        <w:t xml:space="preserve">calculated </w:t>
      </w:r>
      <w:r w:rsidR="00031A86">
        <w:rPr>
          <w:rFonts w:asciiTheme="minorHAnsi" w:hAnsiTheme="minorHAnsi" w:cstheme="minorHAnsi"/>
          <w:sz w:val="22"/>
          <w:szCs w:val="22"/>
        </w:rPr>
        <w:t xml:space="preserve">the BEP to be </w:t>
      </w:r>
      <w:r w:rsidR="00BE7375">
        <w:rPr>
          <w:rFonts w:asciiTheme="minorHAnsi" w:hAnsiTheme="minorHAnsi" w:cstheme="minorHAnsi"/>
          <w:sz w:val="22"/>
          <w:szCs w:val="22"/>
        </w:rPr>
        <w:t>an adoption rate of between 45-50 percent</w:t>
      </w:r>
      <w:r w:rsidR="00202705">
        <w:rPr>
          <w:rFonts w:asciiTheme="minorHAnsi" w:hAnsiTheme="minorHAnsi" w:cstheme="minorHAnsi"/>
          <w:sz w:val="22"/>
          <w:szCs w:val="22"/>
        </w:rPr>
        <w:t>,</w:t>
      </w:r>
      <w:r w:rsidR="00B3627E">
        <w:rPr>
          <w:rFonts w:asciiTheme="minorHAnsi" w:hAnsiTheme="minorHAnsi" w:cstheme="minorHAnsi"/>
          <w:sz w:val="22"/>
          <w:szCs w:val="22"/>
        </w:rPr>
        <w:t xml:space="preserve"> based on </w:t>
      </w:r>
      <w:r w:rsidR="00202705">
        <w:rPr>
          <w:rFonts w:asciiTheme="minorHAnsi" w:hAnsiTheme="minorHAnsi" w:cstheme="minorHAnsi"/>
          <w:sz w:val="22"/>
          <w:szCs w:val="22"/>
        </w:rPr>
        <w:t>the calculations made thus far</w:t>
      </w:r>
      <w:r w:rsidR="00031A86">
        <w:rPr>
          <w:rFonts w:asciiTheme="minorHAnsi" w:hAnsiTheme="minorHAnsi" w:cstheme="minorHAnsi"/>
          <w:sz w:val="22"/>
          <w:szCs w:val="22"/>
        </w:rPr>
        <w:t xml:space="preserve">. </w:t>
      </w:r>
      <w:r w:rsidR="00733AFF">
        <w:rPr>
          <w:rFonts w:asciiTheme="minorHAnsi" w:hAnsiTheme="minorHAnsi" w:cstheme="minorHAnsi"/>
          <w:sz w:val="22"/>
          <w:szCs w:val="22"/>
        </w:rPr>
        <w:t xml:space="preserve">The project is </w:t>
      </w:r>
      <w:r w:rsidR="00DA3596">
        <w:rPr>
          <w:rFonts w:asciiTheme="minorHAnsi" w:hAnsiTheme="minorHAnsi" w:cstheme="minorHAnsi"/>
          <w:sz w:val="22"/>
          <w:szCs w:val="22"/>
        </w:rPr>
        <w:t xml:space="preserve">very </w:t>
      </w:r>
      <w:r w:rsidR="00733AFF">
        <w:rPr>
          <w:rFonts w:asciiTheme="minorHAnsi" w:hAnsiTheme="minorHAnsi" w:cstheme="minorHAnsi"/>
          <w:sz w:val="22"/>
          <w:szCs w:val="22"/>
        </w:rPr>
        <w:t xml:space="preserve">likely to remain </w:t>
      </w:r>
      <w:r w:rsidR="004517CD">
        <w:rPr>
          <w:rFonts w:asciiTheme="minorHAnsi" w:hAnsiTheme="minorHAnsi" w:cstheme="minorHAnsi"/>
          <w:sz w:val="22"/>
          <w:szCs w:val="22"/>
        </w:rPr>
        <w:t>above this rate based on other project experiences</w:t>
      </w:r>
      <w:r w:rsidR="00347CE0">
        <w:rPr>
          <w:rFonts w:asciiTheme="minorHAnsi" w:hAnsiTheme="minorHAnsi" w:cstheme="minorHAnsi"/>
          <w:sz w:val="22"/>
          <w:szCs w:val="22"/>
        </w:rPr>
        <w:t xml:space="preserve"> mentioned earlier</w:t>
      </w:r>
      <w:r w:rsidR="00DC4AFC">
        <w:rPr>
          <w:rFonts w:asciiTheme="minorHAnsi" w:hAnsiTheme="minorHAnsi" w:cstheme="minorHAnsi"/>
          <w:sz w:val="22"/>
          <w:szCs w:val="22"/>
        </w:rPr>
        <w:t xml:space="preserve">, </w:t>
      </w:r>
      <w:r w:rsidR="00DC4AFC" w:rsidRPr="00281552">
        <w:rPr>
          <w:rFonts w:asciiTheme="minorHAnsi" w:hAnsiTheme="minorHAnsi" w:cstheme="minorHAnsi"/>
          <w:i/>
          <w:sz w:val="22"/>
          <w:szCs w:val="22"/>
        </w:rPr>
        <w:t>i.e.</w:t>
      </w:r>
      <w:r w:rsidR="00DC4AFC">
        <w:rPr>
          <w:rFonts w:asciiTheme="minorHAnsi" w:hAnsiTheme="minorHAnsi" w:cstheme="minorHAnsi"/>
          <w:sz w:val="22"/>
          <w:szCs w:val="22"/>
        </w:rPr>
        <w:t xml:space="preserve"> </w:t>
      </w:r>
      <w:r w:rsidR="001C0FBC">
        <w:rPr>
          <w:rFonts w:asciiTheme="minorHAnsi" w:hAnsiTheme="minorHAnsi" w:cstheme="minorHAnsi"/>
          <w:sz w:val="22"/>
          <w:szCs w:val="22"/>
        </w:rPr>
        <w:t>the AFD-funded</w:t>
      </w:r>
      <w:r w:rsidR="00DC4AFC">
        <w:rPr>
          <w:rFonts w:asciiTheme="minorHAnsi" w:hAnsiTheme="minorHAnsi" w:cstheme="minorHAnsi"/>
          <w:sz w:val="22"/>
          <w:szCs w:val="22"/>
        </w:rPr>
        <w:t xml:space="preserve"> </w:t>
      </w:r>
      <w:r w:rsidR="008F7F2C">
        <w:rPr>
          <w:rFonts w:asciiTheme="minorHAnsi" w:hAnsiTheme="minorHAnsi" w:cstheme="minorHAnsi"/>
          <w:sz w:val="22"/>
          <w:szCs w:val="22"/>
        </w:rPr>
        <w:t>p</w:t>
      </w:r>
      <w:r w:rsidR="00DC4AFC">
        <w:rPr>
          <w:rFonts w:asciiTheme="minorHAnsi" w:hAnsiTheme="minorHAnsi" w:cstheme="minorHAnsi"/>
          <w:sz w:val="22"/>
          <w:szCs w:val="22"/>
        </w:rPr>
        <w:t>ilot project</w:t>
      </w:r>
      <w:r w:rsidR="001C0FBC">
        <w:rPr>
          <w:rFonts w:asciiTheme="minorHAnsi" w:hAnsiTheme="minorHAnsi" w:cstheme="minorHAnsi"/>
          <w:sz w:val="22"/>
          <w:szCs w:val="22"/>
        </w:rPr>
        <w:t xml:space="preserve"> where the adoption rate was 84%</w:t>
      </w:r>
      <w:r w:rsidR="00733AFF">
        <w:rPr>
          <w:rFonts w:asciiTheme="minorHAnsi" w:hAnsiTheme="minorHAnsi" w:cstheme="minorHAnsi"/>
          <w:sz w:val="22"/>
          <w:szCs w:val="22"/>
        </w:rPr>
        <w:t>.</w:t>
      </w:r>
    </w:p>
    <w:p w14:paraId="2671DF93" w14:textId="77777777" w:rsidR="00031A86" w:rsidRDefault="00031A86" w:rsidP="00031A86">
      <w:pPr>
        <w:spacing w:before="60"/>
        <w:jc w:val="both"/>
      </w:pPr>
    </w:p>
    <w:p w14:paraId="799ADC39" w14:textId="77777777" w:rsidR="00031A86" w:rsidRPr="00031A86" w:rsidRDefault="000415E0" w:rsidP="00B80740">
      <w:pPr>
        <w:pStyle w:val="Heading2"/>
        <w:rPr>
          <w:rFonts w:cstheme="minorHAnsi"/>
        </w:rPr>
      </w:pPr>
      <w:bookmarkStart w:id="29" w:name="_Toc38031620"/>
      <w:r>
        <w:rPr>
          <w:rFonts w:cstheme="minorHAnsi"/>
        </w:rPr>
        <w:t>Climate Change Mitigation Benefits</w:t>
      </w:r>
      <w:r w:rsidR="00B80740">
        <w:rPr>
          <w:rFonts w:cstheme="minorHAnsi"/>
        </w:rPr>
        <w:t>:</w:t>
      </w:r>
      <w:bookmarkEnd w:id="29"/>
    </w:p>
    <w:p w14:paraId="44FF5E08" w14:textId="00D1F229" w:rsidR="00740B5D" w:rsidRDefault="00031A86" w:rsidP="003734CA">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sidRPr="00281552">
        <w:rPr>
          <w:rFonts w:asciiTheme="minorHAnsi" w:hAnsiTheme="minorHAnsi" w:cstheme="minorHAnsi"/>
          <w:sz w:val="22"/>
          <w:szCs w:val="22"/>
        </w:rPr>
        <w:t xml:space="preserve">The </w:t>
      </w:r>
      <w:r w:rsidR="00601D69" w:rsidRPr="00281552">
        <w:rPr>
          <w:rFonts w:asciiTheme="minorHAnsi" w:hAnsiTheme="minorHAnsi" w:cstheme="minorHAnsi"/>
          <w:sz w:val="22"/>
          <w:szCs w:val="22"/>
        </w:rPr>
        <w:t>analysis use</w:t>
      </w:r>
      <w:r w:rsidR="00FA5C6D" w:rsidRPr="00281552">
        <w:rPr>
          <w:rFonts w:asciiTheme="minorHAnsi" w:hAnsiTheme="minorHAnsi" w:cstheme="minorHAnsi"/>
          <w:sz w:val="22"/>
          <w:szCs w:val="22"/>
        </w:rPr>
        <w:t>s</w:t>
      </w:r>
      <w:r w:rsidR="00601D69" w:rsidRPr="00281552">
        <w:rPr>
          <w:rFonts w:asciiTheme="minorHAnsi" w:hAnsiTheme="minorHAnsi" w:cstheme="minorHAnsi"/>
          <w:sz w:val="22"/>
          <w:szCs w:val="22"/>
        </w:rPr>
        <w:t xml:space="preserve"> </w:t>
      </w:r>
      <w:r w:rsidR="000E272C" w:rsidRPr="00281552">
        <w:rPr>
          <w:rFonts w:asciiTheme="minorHAnsi" w:hAnsiTheme="minorHAnsi" w:cstheme="minorHAnsi"/>
          <w:sz w:val="22"/>
          <w:szCs w:val="22"/>
        </w:rPr>
        <w:t xml:space="preserve">IPCC </w:t>
      </w:r>
      <w:r w:rsidR="00601D69" w:rsidRPr="00281552">
        <w:rPr>
          <w:rFonts w:asciiTheme="minorHAnsi" w:hAnsiTheme="minorHAnsi" w:cstheme="minorHAnsi"/>
          <w:sz w:val="22"/>
          <w:szCs w:val="22"/>
        </w:rPr>
        <w:t xml:space="preserve">Tier 2 </w:t>
      </w:r>
      <w:r w:rsidR="004A674F" w:rsidRPr="00281552">
        <w:rPr>
          <w:rFonts w:asciiTheme="minorHAnsi" w:hAnsiTheme="minorHAnsi" w:cstheme="minorHAnsi"/>
          <w:sz w:val="22"/>
          <w:szCs w:val="22"/>
        </w:rPr>
        <w:t xml:space="preserve">figures for </w:t>
      </w:r>
      <w:r w:rsidR="00FA5C6D" w:rsidRPr="00281552">
        <w:rPr>
          <w:rFonts w:asciiTheme="minorHAnsi" w:hAnsiTheme="minorHAnsi" w:cstheme="minorHAnsi"/>
          <w:sz w:val="22"/>
          <w:szCs w:val="22"/>
        </w:rPr>
        <w:t xml:space="preserve">calculating the project’s likely impact on </w:t>
      </w:r>
      <w:r w:rsidR="004A674F" w:rsidRPr="00281552">
        <w:rPr>
          <w:rFonts w:asciiTheme="minorHAnsi" w:hAnsiTheme="minorHAnsi" w:cstheme="minorHAnsi"/>
          <w:sz w:val="22"/>
          <w:szCs w:val="22"/>
        </w:rPr>
        <w:t xml:space="preserve">greenhouse gas emissions </w:t>
      </w:r>
      <w:r w:rsidR="00AC3BD5" w:rsidRPr="00281552">
        <w:rPr>
          <w:rFonts w:asciiTheme="minorHAnsi" w:hAnsiTheme="minorHAnsi" w:cstheme="minorHAnsi"/>
          <w:sz w:val="22"/>
          <w:szCs w:val="22"/>
        </w:rPr>
        <w:t xml:space="preserve">reductions </w:t>
      </w:r>
      <w:r w:rsidR="004A674F" w:rsidRPr="00281552">
        <w:rPr>
          <w:rFonts w:asciiTheme="minorHAnsi" w:hAnsiTheme="minorHAnsi" w:cstheme="minorHAnsi"/>
          <w:sz w:val="22"/>
          <w:szCs w:val="22"/>
        </w:rPr>
        <w:t>and carbon sequestration</w:t>
      </w:r>
      <w:r w:rsidR="00601D69" w:rsidRPr="00281552">
        <w:rPr>
          <w:rFonts w:asciiTheme="minorHAnsi" w:hAnsiTheme="minorHAnsi" w:cstheme="minorHAnsi"/>
          <w:sz w:val="22"/>
          <w:szCs w:val="22"/>
        </w:rPr>
        <w:t xml:space="preserve">, based on the </w:t>
      </w:r>
      <w:r w:rsidR="004A674F" w:rsidRPr="00281552">
        <w:rPr>
          <w:rFonts w:asciiTheme="minorHAnsi" w:hAnsiTheme="minorHAnsi" w:cstheme="minorHAnsi"/>
          <w:sz w:val="22"/>
          <w:szCs w:val="22"/>
        </w:rPr>
        <w:t xml:space="preserve">125,000 hectares </w:t>
      </w:r>
      <w:r w:rsidR="00601D69" w:rsidRPr="00281552">
        <w:rPr>
          <w:rFonts w:asciiTheme="minorHAnsi" w:hAnsiTheme="minorHAnsi" w:cstheme="minorHAnsi"/>
          <w:sz w:val="22"/>
          <w:szCs w:val="22"/>
        </w:rPr>
        <w:t>of reforestation and agroforestry ecosystem development a</w:t>
      </w:r>
      <w:r w:rsidR="004A674F" w:rsidRPr="00281552">
        <w:rPr>
          <w:rFonts w:asciiTheme="minorHAnsi" w:hAnsiTheme="minorHAnsi" w:cstheme="minorHAnsi"/>
          <w:sz w:val="22"/>
          <w:szCs w:val="22"/>
        </w:rPr>
        <w:t xml:space="preserve">nd 151,000 hectares of grassland restoration in the rangeland areas. </w:t>
      </w:r>
      <w:r w:rsidR="00601D69" w:rsidRPr="00281552">
        <w:rPr>
          <w:rFonts w:asciiTheme="minorHAnsi" w:hAnsiTheme="minorHAnsi" w:cstheme="minorHAnsi"/>
          <w:sz w:val="22"/>
          <w:szCs w:val="22"/>
        </w:rPr>
        <w:t xml:space="preserve">The results of the analysis suggest positive carbon sequestration numbers </w:t>
      </w:r>
      <w:r w:rsidR="00FA5C6D" w:rsidRPr="00281552">
        <w:rPr>
          <w:rFonts w:asciiTheme="minorHAnsi" w:hAnsiTheme="minorHAnsi" w:cstheme="minorHAnsi"/>
          <w:sz w:val="22"/>
          <w:szCs w:val="22"/>
        </w:rPr>
        <w:t xml:space="preserve">with </w:t>
      </w:r>
      <w:r w:rsidR="002859EE">
        <w:rPr>
          <w:rFonts w:asciiTheme="minorHAnsi" w:hAnsiTheme="minorHAnsi" w:cstheme="minorHAnsi"/>
          <w:sz w:val="22"/>
          <w:szCs w:val="22"/>
        </w:rPr>
        <w:t>9,228,818</w:t>
      </w:r>
      <w:r w:rsidR="00485B3F">
        <w:rPr>
          <w:rFonts w:asciiTheme="minorHAnsi" w:hAnsiTheme="minorHAnsi" w:cstheme="minorHAnsi"/>
          <w:sz w:val="22"/>
          <w:szCs w:val="22"/>
        </w:rPr>
        <w:t xml:space="preserve"> </w:t>
      </w:r>
      <w:r w:rsidR="00FA5C6D" w:rsidRPr="00281552">
        <w:rPr>
          <w:rFonts w:asciiTheme="minorHAnsi" w:hAnsiTheme="minorHAnsi" w:cstheme="minorHAnsi"/>
          <w:sz w:val="22"/>
          <w:szCs w:val="22"/>
        </w:rPr>
        <w:t xml:space="preserve">tons of CO2 </w:t>
      </w:r>
      <w:r w:rsidR="009F1101" w:rsidRPr="00281552">
        <w:rPr>
          <w:rFonts w:asciiTheme="minorHAnsi" w:hAnsiTheme="minorHAnsi" w:cstheme="minorHAnsi"/>
          <w:sz w:val="22"/>
          <w:szCs w:val="22"/>
        </w:rPr>
        <w:t>sequestered</w:t>
      </w:r>
      <w:r w:rsidR="00FA5C6D" w:rsidRPr="00281552">
        <w:rPr>
          <w:rFonts w:asciiTheme="minorHAnsi" w:hAnsiTheme="minorHAnsi" w:cstheme="minorHAnsi"/>
          <w:sz w:val="22"/>
          <w:szCs w:val="22"/>
        </w:rPr>
        <w:t xml:space="preserve"> over the 20-year period.</w:t>
      </w:r>
      <w:r w:rsidR="00601D69" w:rsidRPr="00281552">
        <w:rPr>
          <w:rFonts w:asciiTheme="minorHAnsi" w:hAnsiTheme="minorHAnsi" w:cstheme="minorHAnsi"/>
          <w:sz w:val="22"/>
          <w:szCs w:val="22"/>
        </w:rPr>
        <w:t xml:space="preserve"> </w:t>
      </w:r>
      <w:r w:rsidR="00E97570" w:rsidRPr="00281552">
        <w:rPr>
          <w:rFonts w:asciiTheme="minorHAnsi" w:hAnsiTheme="minorHAnsi" w:cstheme="minorHAnsi"/>
          <w:sz w:val="22"/>
          <w:szCs w:val="22"/>
        </w:rPr>
        <w:t xml:space="preserve">The analysis used three different price points to </w:t>
      </w:r>
      <w:r w:rsidR="001F79EF" w:rsidRPr="00281552">
        <w:rPr>
          <w:rFonts w:asciiTheme="minorHAnsi" w:hAnsiTheme="minorHAnsi" w:cstheme="minorHAnsi"/>
          <w:sz w:val="22"/>
          <w:szCs w:val="22"/>
        </w:rPr>
        <w:t xml:space="preserve">quantify the environmental benefits by using </w:t>
      </w:r>
      <w:r w:rsidR="00E97570" w:rsidRPr="00281552">
        <w:rPr>
          <w:rFonts w:asciiTheme="minorHAnsi" w:hAnsiTheme="minorHAnsi" w:cstheme="minorHAnsi"/>
          <w:sz w:val="22"/>
          <w:szCs w:val="22"/>
        </w:rPr>
        <w:t>the market, low and high social values of carbon</w:t>
      </w:r>
      <w:r w:rsidR="001F79EF" w:rsidRPr="00281552">
        <w:rPr>
          <w:rFonts w:asciiTheme="minorHAnsi" w:hAnsiTheme="minorHAnsi" w:cstheme="minorHAnsi"/>
          <w:sz w:val="22"/>
          <w:szCs w:val="22"/>
        </w:rPr>
        <w:t>, as defined by the High–Level Commission on Carbon Prices, led by Joseph Stiglitz and Nicholas Stern, and communicated in the September 2017 Cover Note on shadow pricing of carbon in economic analysis, by the World Bank.</w:t>
      </w:r>
      <w:r w:rsidR="00627EAE" w:rsidRPr="00326BFE">
        <w:rPr>
          <w:vertAlign w:val="superscript"/>
        </w:rPr>
        <w:footnoteReference w:id="17"/>
      </w:r>
      <w:r w:rsidR="001F79EF" w:rsidRPr="00281552">
        <w:rPr>
          <w:rFonts w:asciiTheme="minorHAnsi" w:hAnsiTheme="minorHAnsi" w:cstheme="minorHAnsi"/>
          <w:sz w:val="22"/>
          <w:szCs w:val="22"/>
        </w:rPr>
        <w:t xml:space="preserve"> </w:t>
      </w:r>
      <w:r w:rsidR="001C0FBC" w:rsidRPr="00281552">
        <w:rPr>
          <w:rFonts w:asciiTheme="minorHAnsi" w:hAnsiTheme="minorHAnsi" w:cstheme="minorHAnsi"/>
          <w:sz w:val="22"/>
          <w:szCs w:val="22"/>
        </w:rPr>
        <w:t xml:space="preserve">The climate change mitigation benefits have a substantial </w:t>
      </w:r>
      <w:r w:rsidR="001C0FBC">
        <w:rPr>
          <w:rFonts w:asciiTheme="minorHAnsi" w:hAnsiTheme="minorHAnsi" w:cstheme="minorHAnsi"/>
          <w:sz w:val="22"/>
          <w:szCs w:val="22"/>
        </w:rPr>
        <w:t>imp</w:t>
      </w:r>
      <w:r w:rsidR="001F79EF" w:rsidRPr="00281552">
        <w:rPr>
          <w:rFonts w:asciiTheme="minorHAnsi" w:hAnsiTheme="minorHAnsi" w:cstheme="minorHAnsi"/>
          <w:sz w:val="22"/>
          <w:szCs w:val="22"/>
        </w:rPr>
        <w:t>act on the financial performance indicators</w:t>
      </w:r>
      <w:r w:rsidR="001C0FBC">
        <w:rPr>
          <w:rFonts w:asciiTheme="minorHAnsi" w:hAnsiTheme="minorHAnsi" w:cstheme="minorHAnsi"/>
          <w:sz w:val="22"/>
          <w:szCs w:val="22"/>
        </w:rPr>
        <w:t>, as</w:t>
      </w:r>
      <w:r w:rsidR="001F79EF" w:rsidRPr="00281552">
        <w:rPr>
          <w:rFonts w:asciiTheme="minorHAnsi" w:hAnsiTheme="minorHAnsi" w:cstheme="minorHAnsi"/>
          <w:sz w:val="22"/>
          <w:szCs w:val="22"/>
        </w:rPr>
        <w:t xml:space="preserve"> detailed in </w:t>
      </w:r>
      <w:r w:rsidR="006357A1">
        <w:rPr>
          <w:rFonts w:asciiTheme="minorHAnsi" w:hAnsiTheme="minorHAnsi" w:cstheme="minorHAnsi"/>
          <w:sz w:val="22"/>
          <w:szCs w:val="22"/>
        </w:rPr>
        <w:t>T</w:t>
      </w:r>
      <w:r w:rsidR="001F79EF" w:rsidRPr="00281552">
        <w:rPr>
          <w:rFonts w:asciiTheme="minorHAnsi" w:hAnsiTheme="minorHAnsi" w:cstheme="minorHAnsi"/>
          <w:sz w:val="22"/>
          <w:szCs w:val="22"/>
        </w:rPr>
        <w:t xml:space="preserve">able </w:t>
      </w:r>
      <w:r w:rsidR="006357A1">
        <w:rPr>
          <w:rFonts w:asciiTheme="minorHAnsi" w:hAnsiTheme="minorHAnsi" w:cstheme="minorHAnsi"/>
          <w:sz w:val="22"/>
          <w:szCs w:val="22"/>
        </w:rPr>
        <w:t xml:space="preserve">9 </w:t>
      </w:r>
      <w:r w:rsidR="001F79EF" w:rsidRPr="00281552">
        <w:rPr>
          <w:rFonts w:asciiTheme="minorHAnsi" w:hAnsiTheme="minorHAnsi" w:cstheme="minorHAnsi"/>
          <w:sz w:val="22"/>
          <w:szCs w:val="22"/>
        </w:rPr>
        <w:t>below.</w:t>
      </w:r>
      <w:r w:rsidR="001C0FBC">
        <w:rPr>
          <w:rFonts w:asciiTheme="minorHAnsi" w:hAnsiTheme="minorHAnsi" w:cstheme="minorHAnsi"/>
          <w:sz w:val="22"/>
          <w:szCs w:val="22"/>
        </w:rPr>
        <w:t xml:space="preserve"> </w:t>
      </w:r>
      <w:r w:rsidR="002859EE">
        <w:rPr>
          <w:rFonts w:asciiTheme="minorHAnsi" w:hAnsiTheme="minorHAnsi" w:cstheme="minorHAnsi"/>
          <w:sz w:val="22"/>
          <w:szCs w:val="22"/>
        </w:rPr>
        <w:t>T</w:t>
      </w:r>
      <w:r w:rsidR="001C0FBC">
        <w:rPr>
          <w:rFonts w:asciiTheme="minorHAnsi" w:hAnsiTheme="minorHAnsi" w:cstheme="minorHAnsi"/>
          <w:sz w:val="22"/>
          <w:szCs w:val="22"/>
        </w:rPr>
        <w:t xml:space="preserve">he Economic Internal Rate of Return (EIRR) without </w:t>
      </w:r>
      <w:r w:rsidR="002859EE">
        <w:rPr>
          <w:rFonts w:asciiTheme="minorHAnsi" w:hAnsiTheme="minorHAnsi" w:cstheme="minorHAnsi"/>
          <w:sz w:val="22"/>
          <w:szCs w:val="22"/>
        </w:rPr>
        <w:t>environmental</w:t>
      </w:r>
      <w:r w:rsidR="006357A1">
        <w:rPr>
          <w:rFonts w:asciiTheme="minorHAnsi" w:hAnsiTheme="minorHAnsi" w:cstheme="minorHAnsi"/>
          <w:sz w:val="22"/>
          <w:szCs w:val="22"/>
        </w:rPr>
        <w:t xml:space="preserve"> b</w:t>
      </w:r>
      <w:r w:rsidR="001C0FBC">
        <w:rPr>
          <w:rFonts w:asciiTheme="minorHAnsi" w:hAnsiTheme="minorHAnsi" w:cstheme="minorHAnsi"/>
          <w:sz w:val="22"/>
          <w:szCs w:val="22"/>
        </w:rPr>
        <w:t>enefits (WOEB)</w:t>
      </w:r>
      <w:r w:rsidR="00E97570" w:rsidRPr="00281552">
        <w:rPr>
          <w:rFonts w:asciiTheme="minorHAnsi" w:hAnsiTheme="minorHAnsi" w:cstheme="minorHAnsi"/>
          <w:sz w:val="22"/>
          <w:szCs w:val="22"/>
        </w:rPr>
        <w:t xml:space="preserve"> </w:t>
      </w:r>
      <w:r w:rsidR="006357A1">
        <w:rPr>
          <w:rFonts w:asciiTheme="minorHAnsi" w:hAnsiTheme="minorHAnsi" w:cstheme="minorHAnsi"/>
          <w:sz w:val="22"/>
          <w:szCs w:val="22"/>
        </w:rPr>
        <w:t>is above the discount rate of 1</w:t>
      </w:r>
      <w:r w:rsidR="004C692E">
        <w:rPr>
          <w:rFonts w:asciiTheme="minorHAnsi" w:hAnsiTheme="minorHAnsi" w:cstheme="minorHAnsi"/>
          <w:sz w:val="22"/>
          <w:szCs w:val="22"/>
        </w:rPr>
        <w:t>0</w:t>
      </w:r>
      <w:r w:rsidR="006357A1">
        <w:rPr>
          <w:rFonts w:asciiTheme="minorHAnsi" w:hAnsiTheme="minorHAnsi" w:cstheme="minorHAnsi"/>
          <w:sz w:val="22"/>
          <w:szCs w:val="22"/>
        </w:rPr>
        <w:t>%</w:t>
      </w:r>
      <w:r w:rsidR="002859EE">
        <w:rPr>
          <w:rFonts w:asciiTheme="minorHAnsi" w:hAnsiTheme="minorHAnsi" w:cstheme="minorHAnsi"/>
          <w:sz w:val="22"/>
          <w:szCs w:val="22"/>
        </w:rPr>
        <w:t xml:space="preserve"> at 21%</w:t>
      </w:r>
      <w:r w:rsidR="006357A1">
        <w:rPr>
          <w:rFonts w:asciiTheme="minorHAnsi" w:hAnsiTheme="minorHAnsi" w:cstheme="minorHAnsi"/>
          <w:sz w:val="22"/>
          <w:szCs w:val="22"/>
        </w:rPr>
        <w:t xml:space="preserve">, </w:t>
      </w:r>
      <w:r w:rsidR="002859EE">
        <w:rPr>
          <w:rFonts w:asciiTheme="minorHAnsi" w:hAnsiTheme="minorHAnsi" w:cstheme="minorHAnsi"/>
          <w:sz w:val="22"/>
          <w:szCs w:val="22"/>
        </w:rPr>
        <w:t xml:space="preserve">while </w:t>
      </w:r>
      <w:r w:rsidR="006357A1">
        <w:rPr>
          <w:rFonts w:asciiTheme="minorHAnsi" w:hAnsiTheme="minorHAnsi" w:cstheme="minorHAnsi"/>
          <w:sz w:val="22"/>
          <w:szCs w:val="22"/>
        </w:rPr>
        <w:t xml:space="preserve">the EIRR with the carbon sequestration benefits </w:t>
      </w:r>
      <w:r w:rsidR="000162AE">
        <w:rPr>
          <w:rFonts w:asciiTheme="minorHAnsi" w:hAnsiTheme="minorHAnsi" w:cstheme="minorHAnsi"/>
          <w:sz w:val="22"/>
          <w:szCs w:val="22"/>
        </w:rPr>
        <w:t>increases to</w:t>
      </w:r>
      <w:r w:rsidR="006357A1">
        <w:rPr>
          <w:rFonts w:asciiTheme="minorHAnsi" w:hAnsiTheme="minorHAnsi" w:cstheme="minorHAnsi"/>
          <w:sz w:val="22"/>
          <w:szCs w:val="22"/>
        </w:rPr>
        <w:t xml:space="preserve"> 2</w:t>
      </w:r>
      <w:r w:rsidR="002859EE">
        <w:rPr>
          <w:rFonts w:asciiTheme="minorHAnsi" w:hAnsiTheme="minorHAnsi" w:cstheme="minorHAnsi"/>
          <w:sz w:val="22"/>
          <w:szCs w:val="22"/>
        </w:rPr>
        <w:t>3</w:t>
      </w:r>
      <w:r w:rsidR="006357A1">
        <w:rPr>
          <w:rFonts w:asciiTheme="minorHAnsi" w:hAnsiTheme="minorHAnsi" w:cstheme="minorHAnsi"/>
          <w:sz w:val="22"/>
          <w:szCs w:val="22"/>
        </w:rPr>
        <w:t>%, even at current low market prices for GHG emissions reductions and removals, which are significantly below the social value of carbon (see Table 10).</w:t>
      </w:r>
      <w:r w:rsidR="004C692E">
        <w:rPr>
          <w:rFonts w:asciiTheme="minorHAnsi" w:hAnsiTheme="minorHAnsi" w:cstheme="minorHAnsi"/>
          <w:sz w:val="22"/>
          <w:szCs w:val="22"/>
        </w:rPr>
        <w:t xml:space="preserve"> More notably, the Net Present Value </w:t>
      </w:r>
      <w:r w:rsidR="004E73E8">
        <w:rPr>
          <w:rFonts w:asciiTheme="minorHAnsi" w:hAnsiTheme="minorHAnsi" w:cstheme="minorHAnsi"/>
          <w:sz w:val="22"/>
          <w:szCs w:val="22"/>
        </w:rPr>
        <w:t xml:space="preserve">(NPV) </w:t>
      </w:r>
      <w:r w:rsidR="004C692E">
        <w:rPr>
          <w:rFonts w:asciiTheme="minorHAnsi" w:hAnsiTheme="minorHAnsi" w:cstheme="minorHAnsi"/>
          <w:sz w:val="22"/>
          <w:szCs w:val="22"/>
        </w:rPr>
        <w:t xml:space="preserve">figures increase more than </w:t>
      </w:r>
      <w:r w:rsidR="003734CA">
        <w:rPr>
          <w:rFonts w:asciiTheme="minorHAnsi" w:hAnsiTheme="minorHAnsi" w:cstheme="minorHAnsi"/>
          <w:sz w:val="22"/>
          <w:szCs w:val="22"/>
        </w:rPr>
        <w:t>two</w:t>
      </w:r>
      <w:r w:rsidR="004C692E">
        <w:rPr>
          <w:rFonts w:asciiTheme="minorHAnsi" w:hAnsiTheme="minorHAnsi" w:cstheme="minorHAnsi"/>
          <w:sz w:val="22"/>
          <w:szCs w:val="22"/>
        </w:rPr>
        <w:t xml:space="preserve">-fold with low social carbon pricing and </w:t>
      </w:r>
      <w:r w:rsidR="003734CA">
        <w:rPr>
          <w:rFonts w:asciiTheme="minorHAnsi" w:hAnsiTheme="minorHAnsi" w:cstheme="minorHAnsi"/>
          <w:sz w:val="22"/>
          <w:szCs w:val="22"/>
        </w:rPr>
        <w:t>close to three</w:t>
      </w:r>
      <w:r w:rsidR="004C692E">
        <w:rPr>
          <w:rFonts w:asciiTheme="minorHAnsi" w:hAnsiTheme="minorHAnsi" w:cstheme="minorHAnsi"/>
          <w:sz w:val="22"/>
          <w:szCs w:val="22"/>
        </w:rPr>
        <w:t>-fold with high social carbon pricing, as per World Bank guidelines.</w:t>
      </w:r>
      <w:r w:rsidR="00F73E4D">
        <w:rPr>
          <w:rFonts w:asciiTheme="minorHAnsi" w:hAnsiTheme="minorHAnsi" w:cstheme="minorHAnsi"/>
          <w:sz w:val="22"/>
          <w:szCs w:val="22"/>
        </w:rPr>
        <w:t xml:space="preserve"> The share of environmental co-benefits of total benefits with market values amount to </w:t>
      </w:r>
      <w:r w:rsidR="003734CA">
        <w:rPr>
          <w:rFonts w:asciiTheme="minorHAnsi" w:hAnsiTheme="minorHAnsi" w:cstheme="minorHAnsi"/>
          <w:sz w:val="22"/>
          <w:szCs w:val="22"/>
        </w:rPr>
        <w:t>13</w:t>
      </w:r>
      <w:r w:rsidR="006562C8">
        <w:rPr>
          <w:rFonts w:asciiTheme="minorHAnsi" w:hAnsiTheme="minorHAnsi" w:cstheme="minorHAnsi"/>
          <w:sz w:val="22"/>
          <w:szCs w:val="22"/>
        </w:rPr>
        <w:t>.</w:t>
      </w:r>
      <w:r w:rsidR="003734CA">
        <w:rPr>
          <w:rFonts w:asciiTheme="minorHAnsi" w:hAnsiTheme="minorHAnsi" w:cstheme="minorHAnsi"/>
          <w:sz w:val="22"/>
          <w:szCs w:val="22"/>
        </w:rPr>
        <w:t>5</w:t>
      </w:r>
      <w:r w:rsidR="00F73E4D">
        <w:rPr>
          <w:rFonts w:asciiTheme="minorHAnsi" w:hAnsiTheme="minorHAnsi" w:cstheme="minorHAnsi"/>
          <w:sz w:val="22"/>
          <w:szCs w:val="22"/>
        </w:rPr>
        <w:t xml:space="preserve"> percent of total benefits, while with low and high social carbon pricing the share of environmental </w:t>
      </w:r>
      <w:r w:rsidR="00F73E4D">
        <w:rPr>
          <w:rFonts w:asciiTheme="minorHAnsi" w:hAnsiTheme="minorHAnsi" w:cstheme="minorHAnsi"/>
          <w:sz w:val="22"/>
          <w:szCs w:val="22"/>
        </w:rPr>
        <w:lastRenderedPageBreak/>
        <w:t>co-benefits amount</w:t>
      </w:r>
      <w:r w:rsidR="004E73E8">
        <w:rPr>
          <w:rFonts w:asciiTheme="minorHAnsi" w:hAnsiTheme="minorHAnsi" w:cstheme="minorHAnsi"/>
          <w:sz w:val="22"/>
          <w:szCs w:val="22"/>
        </w:rPr>
        <w:t>s</w:t>
      </w:r>
      <w:r w:rsidR="00F73E4D">
        <w:rPr>
          <w:rFonts w:asciiTheme="minorHAnsi" w:hAnsiTheme="minorHAnsi" w:cstheme="minorHAnsi"/>
          <w:sz w:val="22"/>
          <w:szCs w:val="22"/>
        </w:rPr>
        <w:t xml:space="preserve"> </w:t>
      </w:r>
      <w:r w:rsidR="003734CA">
        <w:rPr>
          <w:rFonts w:asciiTheme="minorHAnsi" w:hAnsiTheme="minorHAnsi" w:cstheme="minorHAnsi"/>
          <w:sz w:val="22"/>
          <w:szCs w:val="22"/>
        </w:rPr>
        <w:t>48</w:t>
      </w:r>
      <w:r w:rsidR="00F73E4D">
        <w:rPr>
          <w:rFonts w:asciiTheme="minorHAnsi" w:hAnsiTheme="minorHAnsi" w:cstheme="minorHAnsi"/>
          <w:sz w:val="22"/>
          <w:szCs w:val="22"/>
        </w:rPr>
        <w:t>.</w:t>
      </w:r>
      <w:r w:rsidR="003734CA">
        <w:rPr>
          <w:rFonts w:asciiTheme="minorHAnsi" w:hAnsiTheme="minorHAnsi" w:cstheme="minorHAnsi"/>
          <w:sz w:val="22"/>
          <w:szCs w:val="22"/>
        </w:rPr>
        <w:t>3</w:t>
      </w:r>
      <w:r w:rsidR="00F73E4D">
        <w:rPr>
          <w:rFonts w:asciiTheme="minorHAnsi" w:hAnsiTheme="minorHAnsi" w:cstheme="minorHAnsi"/>
          <w:sz w:val="22"/>
          <w:szCs w:val="22"/>
        </w:rPr>
        <w:t xml:space="preserve"> percent and </w:t>
      </w:r>
      <w:r w:rsidR="003734CA">
        <w:rPr>
          <w:rFonts w:asciiTheme="minorHAnsi" w:hAnsiTheme="minorHAnsi" w:cstheme="minorHAnsi"/>
          <w:sz w:val="22"/>
          <w:szCs w:val="22"/>
        </w:rPr>
        <w:t>65</w:t>
      </w:r>
      <w:r w:rsidR="00F73E4D">
        <w:rPr>
          <w:rFonts w:asciiTheme="minorHAnsi" w:hAnsiTheme="minorHAnsi" w:cstheme="minorHAnsi"/>
          <w:sz w:val="22"/>
          <w:szCs w:val="22"/>
        </w:rPr>
        <w:t>.</w:t>
      </w:r>
      <w:r w:rsidR="003734CA">
        <w:rPr>
          <w:rFonts w:asciiTheme="minorHAnsi" w:hAnsiTheme="minorHAnsi" w:cstheme="minorHAnsi"/>
          <w:sz w:val="22"/>
          <w:szCs w:val="22"/>
        </w:rPr>
        <w:t>1</w:t>
      </w:r>
      <w:r w:rsidR="00F73E4D">
        <w:rPr>
          <w:rFonts w:asciiTheme="minorHAnsi" w:hAnsiTheme="minorHAnsi" w:cstheme="minorHAnsi"/>
          <w:sz w:val="22"/>
          <w:szCs w:val="22"/>
        </w:rPr>
        <w:t xml:space="preserve"> percent</w:t>
      </w:r>
      <w:r w:rsidR="004E73E8">
        <w:rPr>
          <w:rFonts w:asciiTheme="minorHAnsi" w:hAnsiTheme="minorHAnsi" w:cstheme="minorHAnsi"/>
          <w:sz w:val="22"/>
          <w:szCs w:val="22"/>
        </w:rPr>
        <w:t>,</w:t>
      </w:r>
      <w:r w:rsidR="00F73E4D">
        <w:rPr>
          <w:rFonts w:asciiTheme="minorHAnsi" w:hAnsiTheme="minorHAnsi" w:cstheme="minorHAnsi"/>
          <w:sz w:val="22"/>
          <w:szCs w:val="22"/>
        </w:rPr>
        <w:t xml:space="preserve"> respectively</w:t>
      </w:r>
      <w:r w:rsidR="004E73E8">
        <w:rPr>
          <w:rFonts w:asciiTheme="minorHAnsi" w:hAnsiTheme="minorHAnsi" w:cstheme="minorHAnsi"/>
          <w:sz w:val="22"/>
          <w:szCs w:val="22"/>
        </w:rPr>
        <w:t>, of total benefits</w:t>
      </w:r>
      <w:r w:rsidR="00F73E4D">
        <w:rPr>
          <w:rFonts w:asciiTheme="minorHAnsi" w:hAnsiTheme="minorHAnsi" w:cstheme="minorHAnsi"/>
          <w:sz w:val="22"/>
          <w:szCs w:val="22"/>
        </w:rPr>
        <w:t>.</w:t>
      </w:r>
      <w:r w:rsidR="004E73E8">
        <w:rPr>
          <w:rFonts w:asciiTheme="minorHAnsi" w:hAnsiTheme="minorHAnsi" w:cstheme="minorHAnsi"/>
          <w:sz w:val="22"/>
          <w:szCs w:val="22"/>
        </w:rPr>
        <w:t xml:space="preserve"> This suggests a high return o</w:t>
      </w:r>
      <w:r w:rsidR="005C3CC9">
        <w:rPr>
          <w:rFonts w:asciiTheme="minorHAnsi" w:hAnsiTheme="minorHAnsi" w:cstheme="minorHAnsi"/>
          <w:sz w:val="22"/>
          <w:szCs w:val="22"/>
        </w:rPr>
        <w:t xml:space="preserve">f investment </w:t>
      </w:r>
      <w:r w:rsidR="004E73E8">
        <w:rPr>
          <w:rFonts w:asciiTheme="minorHAnsi" w:hAnsiTheme="minorHAnsi" w:cstheme="minorHAnsi"/>
          <w:sz w:val="22"/>
          <w:szCs w:val="22"/>
        </w:rPr>
        <w:t>with respect to environmental benefits.</w:t>
      </w:r>
      <w:r w:rsidR="00740B5D">
        <w:rPr>
          <w:rFonts w:asciiTheme="minorHAnsi" w:hAnsiTheme="minorHAnsi" w:cstheme="minorHAnsi"/>
          <w:sz w:val="22"/>
          <w:szCs w:val="22"/>
        </w:rPr>
        <w:t xml:space="preserve"> </w:t>
      </w:r>
    </w:p>
    <w:p w14:paraId="5EBB7AFC" w14:textId="3F3ED8D2" w:rsidR="006357A1" w:rsidRPr="001C0FBC" w:rsidRDefault="00C35F55" w:rsidP="00281552">
      <w:pPr>
        <w:pStyle w:val="ListParagraph"/>
        <w:widowControl/>
        <w:numPr>
          <w:ilvl w:val="0"/>
          <w:numId w:val="1"/>
        </w:numPr>
        <w:autoSpaceDE/>
        <w:autoSpaceDN/>
        <w:adjustRightInd/>
        <w:ind w:left="0" w:firstLine="0"/>
        <w:contextualSpacing w:val="0"/>
        <w:jc w:val="both"/>
        <w:rPr>
          <w:rFonts w:asciiTheme="minorHAnsi" w:hAnsiTheme="minorHAnsi" w:cstheme="minorHAnsi"/>
          <w:sz w:val="22"/>
          <w:szCs w:val="22"/>
        </w:rPr>
      </w:pPr>
      <w:r w:rsidRPr="00281552">
        <w:rPr>
          <w:rFonts w:asciiTheme="minorHAnsi" w:hAnsiTheme="minorHAnsi" w:cstheme="minorHAnsi"/>
          <w:sz w:val="22"/>
          <w:szCs w:val="22"/>
        </w:rPr>
        <w:t xml:space="preserve">While the Economic Rate of Return to the project activities may seem high once ER benefits are included, from the beneficiary standpoint, the GCF grant funding is essential. Commercial financial institutions would not be willing to provide smallholder gum producer groups with the initial funds necessary to build their technical and organizational capacity and reposition them in the gum value chain. In addition, gum farmers would be unable to get the ER they generate through their agroforestry activities to market, in part because of the high transaction cost of verifying ER in dispersed, small landholdings. </w:t>
      </w:r>
      <w:r w:rsidR="00740B5D" w:rsidRPr="00281552">
        <w:rPr>
          <w:rFonts w:asciiTheme="minorHAnsi" w:hAnsiTheme="minorHAnsi" w:cstheme="minorHAnsi"/>
          <w:sz w:val="22"/>
          <w:szCs w:val="22"/>
        </w:rPr>
        <w:t xml:space="preserve">The global social benefit from the </w:t>
      </w:r>
      <w:r w:rsidR="003734CA">
        <w:rPr>
          <w:rFonts w:asciiTheme="minorHAnsi" w:hAnsiTheme="minorHAnsi" w:cstheme="minorHAnsi"/>
          <w:sz w:val="22"/>
          <w:szCs w:val="22"/>
        </w:rPr>
        <w:t>9.28</w:t>
      </w:r>
      <w:r w:rsidR="00740B5D" w:rsidRPr="00281552">
        <w:rPr>
          <w:rFonts w:asciiTheme="minorHAnsi" w:hAnsiTheme="minorHAnsi" w:cstheme="minorHAnsi"/>
          <w:sz w:val="22"/>
          <w:szCs w:val="22"/>
        </w:rPr>
        <w:t xml:space="preserve"> million tCO2e of emissions reductions generated</w:t>
      </w:r>
      <w:r w:rsidR="00740B5D" w:rsidRPr="00740B5D">
        <w:rPr>
          <w:rFonts w:asciiTheme="minorHAnsi" w:hAnsiTheme="minorHAnsi" w:cstheme="minorHAnsi"/>
          <w:sz w:val="22"/>
          <w:szCs w:val="22"/>
        </w:rPr>
        <w:t xml:space="preserve"> by GCF’s USD 10 million grant</w:t>
      </w:r>
      <w:r w:rsidR="00740B5D" w:rsidRPr="00281552">
        <w:rPr>
          <w:rFonts w:asciiTheme="minorHAnsi" w:hAnsiTheme="minorHAnsi" w:cstheme="minorHAnsi"/>
          <w:sz w:val="22"/>
          <w:szCs w:val="22"/>
        </w:rPr>
        <w:t xml:space="preserve"> is considerable and</w:t>
      </w:r>
      <w:r w:rsidR="00740B5D" w:rsidRPr="00740B5D">
        <w:rPr>
          <w:rFonts w:asciiTheme="minorHAnsi" w:hAnsiTheme="minorHAnsi" w:cstheme="minorHAnsi"/>
          <w:sz w:val="22"/>
          <w:szCs w:val="22"/>
        </w:rPr>
        <w:t xml:space="preserve"> the grant is highly efficient, if compared to</w:t>
      </w:r>
      <w:r w:rsidR="00740B5D" w:rsidRPr="00281552">
        <w:rPr>
          <w:rFonts w:asciiTheme="minorHAnsi" w:hAnsiTheme="minorHAnsi" w:cstheme="minorHAnsi"/>
          <w:sz w:val="22"/>
          <w:szCs w:val="22"/>
        </w:rPr>
        <w:t xml:space="preserve"> the Forest Carbon Partnership Facility, which uses a USD 5/tCO2e standard purchase price, would have paid USD </w:t>
      </w:r>
      <w:r w:rsidR="003734CA">
        <w:rPr>
          <w:rFonts w:asciiTheme="minorHAnsi" w:hAnsiTheme="minorHAnsi" w:cstheme="minorHAnsi"/>
          <w:sz w:val="22"/>
          <w:szCs w:val="22"/>
        </w:rPr>
        <w:t>46.</w:t>
      </w:r>
      <w:r w:rsidR="00222BFC">
        <w:rPr>
          <w:rFonts w:asciiTheme="minorHAnsi" w:hAnsiTheme="minorHAnsi" w:cstheme="minorHAnsi"/>
          <w:sz w:val="22"/>
          <w:szCs w:val="22"/>
        </w:rPr>
        <w:t>1</w:t>
      </w:r>
      <w:r w:rsidR="00740B5D" w:rsidRPr="00281552">
        <w:rPr>
          <w:rFonts w:asciiTheme="minorHAnsi" w:hAnsiTheme="minorHAnsi" w:cstheme="minorHAnsi"/>
          <w:sz w:val="22"/>
          <w:szCs w:val="22"/>
        </w:rPr>
        <w:t xml:space="preserve"> million for the ER generated. </w:t>
      </w:r>
      <w:r w:rsidR="004E73E8" w:rsidRPr="00740B5D">
        <w:rPr>
          <w:rFonts w:asciiTheme="minorHAnsi" w:hAnsiTheme="minorHAnsi" w:cstheme="minorHAnsi"/>
          <w:sz w:val="22"/>
          <w:szCs w:val="22"/>
        </w:rPr>
        <w:t xml:space="preserve"> </w:t>
      </w:r>
    </w:p>
    <w:p w14:paraId="5969FCB9" w14:textId="77777777" w:rsidR="008B7D2A" w:rsidRPr="001C0FBC" w:rsidRDefault="008B7D2A">
      <w:pPr>
        <w:pStyle w:val="ListParagraph"/>
        <w:widowControl/>
        <w:autoSpaceDE/>
        <w:autoSpaceDN/>
        <w:adjustRightInd/>
        <w:ind w:left="0"/>
        <w:contextualSpacing w:val="0"/>
        <w:jc w:val="both"/>
        <w:rPr>
          <w:rFonts w:asciiTheme="minorHAnsi" w:hAnsiTheme="minorHAnsi" w:cstheme="minorHAnsi"/>
          <w:sz w:val="22"/>
          <w:szCs w:val="22"/>
        </w:rPr>
      </w:pPr>
    </w:p>
    <w:p w14:paraId="5211239E" w14:textId="77777777" w:rsidR="00192D0F" w:rsidRPr="0023582D" w:rsidRDefault="008B7D2A" w:rsidP="00052E6C">
      <w:pPr>
        <w:pStyle w:val="Heading3"/>
        <w:jc w:val="center"/>
      </w:pPr>
      <w:bookmarkStart w:id="30" w:name="_Toc5355542"/>
      <w:bookmarkStart w:id="31" w:name="_Toc14813383"/>
      <w:bookmarkStart w:id="32" w:name="_Toc38031621"/>
      <w:r w:rsidRPr="0023582D">
        <w:t xml:space="preserve">Table </w:t>
      </w:r>
      <w:r w:rsidR="002D7F05">
        <w:t>9</w:t>
      </w:r>
      <w:r w:rsidRPr="0023582D">
        <w:t xml:space="preserve">: </w:t>
      </w:r>
      <w:r w:rsidR="00052E6C">
        <w:t>Climate Change Mitigation</w:t>
      </w:r>
      <w:r w:rsidRPr="0023582D">
        <w:t xml:space="preserve"> Benefits of Carbon Sequestration</w:t>
      </w:r>
      <w:bookmarkEnd w:id="30"/>
      <w:bookmarkEnd w:id="31"/>
      <w:bookmarkEnd w:id="32"/>
    </w:p>
    <w:p w14:paraId="76903924" w14:textId="1143B1D0" w:rsidR="008B7D2A" w:rsidRDefault="00335039" w:rsidP="008B7D2A">
      <w:pPr>
        <w:pStyle w:val="ListParagraph"/>
        <w:widowControl/>
        <w:autoSpaceDE/>
        <w:autoSpaceDN/>
        <w:adjustRightInd/>
        <w:ind w:left="0"/>
        <w:contextualSpacing w:val="0"/>
        <w:jc w:val="center"/>
        <w:rPr>
          <w:rFonts w:asciiTheme="minorHAnsi" w:hAnsiTheme="minorHAnsi" w:cstheme="minorHAnsi"/>
          <w:sz w:val="22"/>
          <w:szCs w:val="22"/>
        </w:rPr>
      </w:pPr>
      <w:r w:rsidRPr="00335039">
        <w:t xml:space="preserve"> </w:t>
      </w:r>
      <w:r w:rsidR="006562C8" w:rsidRPr="006562C8">
        <w:t xml:space="preserve"> </w:t>
      </w:r>
      <w:r w:rsidR="006562C8" w:rsidRPr="006562C8">
        <w:rPr>
          <w:noProof/>
          <w:lang w:val="en-GB" w:eastAsia="en-GB"/>
        </w:rPr>
        <w:drawing>
          <wp:inline distT="0" distB="0" distL="0" distR="0" wp14:anchorId="779DA317" wp14:editId="520859CA">
            <wp:extent cx="5240020" cy="12960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240020" cy="1296035"/>
                    </a:xfrm>
                    <a:prstGeom prst="rect">
                      <a:avLst/>
                    </a:prstGeom>
                    <a:noFill/>
                    <a:ln>
                      <a:noFill/>
                    </a:ln>
                  </pic:spPr>
                </pic:pic>
              </a:graphicData>
            </a:graphic>
          </wp:inline>
        </w:drawing>
      </w:r>
      <w:r w:rsidR="006F10A3" w:rsidRPr="006F10A3" w:rsidDel="006F10A3">
        <w:t xml:space="preserve"> </w:t>
      </w:r>
    </w:p>
    <w:p w14:paraId="15ED04A1" w14:textId="77777777" w:rsidR="00E93B28" w:rsidRPr="00E93B28" w:rsidRDefault="00E93B28" w:rsidP="00E93B28">
      <w:pPr>
        <w:jc w:val="both"/>
        <w:rPr>
          <w:rFonts w:cstheme="minorHAnsi"/>
        </w:rPr>
      </w:pPr>
    </w:p>
    <w:p w14:paraId="40D7535A" w14:textId="083D88FF" w:rsidR="00561C89" w:rsidRDefault="00335039" w:rsidP="008B7D2A">
      <w:pPr>
        <w:jc w:val="center"/>
        <w:rPr>
          <w:rFonts w:cstheme="minorHAnsi"/>
        </w:rPr>
      </w:pPr>
      <w:r w:rsidRPr="00335039">
        <w:t xml:space="preserve"> </w:t>
      </w:r>
    </w:p>
    <w:p w14:paraId="1FA58CBF" w14:textId="77777777" w:rsidR="00052E6C" w:rsidRDefault="00052E6C" w:rsidP="00052E6C">
      <w:pPr>
        <w:pStyle w:val="Heading3"/>
        <w:jc w:val="center"/>
      </w:pPr>
    </w:p>
    <w:p w14:paraId="2D154831" w14:textId="77777777" w:rsidR="00304882" w:rsidRPr="00052E6C" w:rsidRDefault="00052E6C" w:rsidP="00052E6C">
      <w:pPr>
        <w:pStyle w:val="Heading3"/>
        <w:jc w:val="center"/>
      </w:pPr>
      <w:bookmarkStart w:id="33" w:name="_Toc14813384"/>
      <w:bookmarkStart w:id="34" w:name="_Toc38031622"/>
      <w:r w:rsidRPr="00052E6C">
        <w:t>Table</w:t>
      </w:r>
      <w:r>
        <w:t xml:space="preserve"> </w:t>
      </w:r>
      <w:r w:rsidR="00627EAE">
        <w:t>10</w:t>
      </w:r>
      <w:r w:rsidRPr="00052E6C">
        <w:t>: Market and social value of carbon (USD per ton)</w:t>
      </w:r>
      <w:bookmarkEnd w:id="33"/>
      <w:bookmarkEnd w:id="34"/>
    </w:p>
    <w:tbl>
      <w:tblPr>
        <w:tblStyle w:val="TableGrid"/>
        <w:tblW w:w="9669" w:type="dxa"/>
        <w:tblLook w:val="04A0" w:firstRow="1" w:lastRow="0" w:firstColumn="1" w:lastColumn="0" w:noHBand="0" w:noVBand="1"/>
      </w:tblPr>
      <w:tblGrid>
        <w:gridCol w:w="635"/>
        <w:gridCol w:w="460"/>
        <w:gridCol w:w="460"/>
        <w:gridCol w:w="460"/>
        <w:gridCol w:w="460"/>
        <w:gridCol w:w="460"/>
        <w:gridCol w:w="460"/>
        <w:gridCol w:w="460"/>
        <w:gridCol w:w="460"/>
        <w:gridCol w:w="481"/>
        <w:gridCol w:w="460"/>
        <w:gridCol w:w="460"/>
        <w:gridCol w:w="460"/>
        <w:gridCol w:w="460"/>
        <w:gridCol w:w="460"/>
        <w:gridCol w:w="460"/>
        <w:gridCol w:w="460"/>
        <w:gridCol w:w="460"/>
        <w:gridCol w:w="460"/>
        <w:gridCol w:w="460"/>
        <w:gridCol w:w="460"/>
      </w:tblGrid>
      <w:tr w:rsidR="006A3D52" w14:paraId="79050E52" w14:textId="77777777" w:rsidTr="006A3D52">
        <w:tc>
          <w:tcPr>
            <w:tcW w:w="460" w:type="dxa"/>
            <w:tcBorders>
              <w:top w:val="nil"/>
              <w:left w:val="nil"/>
              <w:bottom w:val="single" w:sz="4" w:space="0" w:color="auto"/>
              <w:right w:val="nil"/>
            </w:tcBorders>
          </w:tcPr>
          <w:p w14:paraId="247F3A3F" w14:textId="77777777" w:rsidR="006A3D52" w:rsidRPr="006A3D52" w:rsidRDefault="006A3D52" w:rsidP="006A3D52">
            <w:pPr>
              <w:jc w:val="both"/>
              <w:rPr>
                <w:rFonts w:cstheme="minorHAnsi"/>
                <w:sz w:val="12"/>
                <w:szCs w:val="16"/>
              </w:rPr>
            </w:pPr>
          </w:p>
        </w:tc>
        <w:tc>
          <w:tcPr>
            <w:tcW w:w="460" w:type="dxa"/>
            <w:tcBorders>
              <w:top w:val="nil"/>
              <w:left w:val="nil"/>
              <w:bottom w:val="single" w:sz="4" w:space="0" w:color="auto"/>
              <w:right w:val="nil"/>
            </w:tcBorders>
          </w:tcPr>
          <w:p w14:paraId="3FEA5070" w14:textId="77777777" w:rsidR="006A3D52" w:rsidRPr="006A3D52" w:rsidRDefault="006A3D52" w:rsidP="006A3D52">
            <w:pPr>
              <w:jc w:val="both"/>
              <w:rPr>
                <w:rFonts w:cstheme="minorHAnsi"/>
                <w:sz w:val="12"/>
                <w:szCs w:val="16"/>
              </w:rPr>
            </w:pPr>
          </w:p>
        </w:tc>
        <w:tc>
          <w:tcPr>
            <w:tcW w:w="460" w:type="dxa"/>
            <w:tcBorders>
              <w:top w:val="nil"/>
              <w:left w:val="nil"/>
              <w:bottom w:val="single" w:sz="4" w:space="0" w:color="auto"/>
              <w:right w:val="nil"/>
            </w:tcBorders>
          </w:tcPr>
          <w:p w14:paraId="1B1CB274"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36F6D6D8"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369CF9FB"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3F2EE009"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0455888C"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60641D14"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7BBC6745"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05D2CE90" w14:textId="77777777" w:rsidR="006A3D52" w:rsidRPr="006A3D52" w:rsidRDefault="006A3D52" w:rsidP="00163172">
            <w:pPr>
              <w:jc w:val="both"/>
              <w:rPr>
                <w:rFonts w:cstheme="minorHAnsi"/>
                <w:sz w:val="12"/>
                <w:szCs w:val="16"/>
              </w:rPr>
            </w:pPr>
            <w:r>
              <w:rPr>
                <w:rFonts w:cstheme="minorHAnsi"/>
                <w:sz w:val="12"/>
                <w:szCs w:val="16"/>
              </w:rPr>
              <w:t>Years</w:t>
            </w:r>
          </w:p>
        </w:tc>
        <w:tc>
          <w:tcPr>
            <w:tcW w:w="460" w:type="dxa"/>
            <w:tcBorders>
              <w:top w:val="nil"/>
              <w:left w:val="nil"/>
              <w:bottom w:val="single" w:sz="4" w:space="0" w:color="auto"/>
              <w:right w:val="nil"/>
            </w:tcBorders>
          </w:tcPr>
          <w:p w14:paraId="034B0D9C"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7155BBFD"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0119BA19"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53050BC0"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03A0A736" w14:textId="77777777" w:rsidR="006A3D52" w:rsidRP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453B751E" w14:textId="77777777" w:rsid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1508EA13" w14:textId="77777777" w:rsid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12089D24" w14:textId="77777777" w:rsid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6F81376E" w14:textId="77777777" w:rsidR="006A3D52" w:rsidRDefault="006A3D52" w:rsidP="00163172">
            <w:pPr>
              <w:jc w:val="both"/>
              <w:rPr>
                <w:rFonts w:cstheme="minorHAnsi"/>
                <w:sz w:val="12"/>
                <w:szCs w:val="16"/>
              </w:rPr>
            </w:pPr>
          </w:p>
        </w:tc>
        <w:tc>
          <w:tcPr>
            <w:tcW w:w="460" w:type="dxa"/>
            <w:tcBorders>
              <w:top w:val="nil"/>
              <w:left w:val="nil"/>
              <w:bottom w:val="single" w:sz="4" w:space="0" w:color="auto"/>
              <w:right w:val="nil"/>
            </w:tcBorders>
          </w:tcPr>
          <w:p w14:paraId="4B38707F" w14:textId="77777777" w:rsidR="006A3D52" w:rsidRDefault="006A3D52" w:rsidP="00163172">
            <w:pPr>
              <w:jc w:val="both"/>
              <w:rPr>
                <w:rFonts w:cstheme="minorHAnsi"/>
                <w:sz w:val="12"/>
                <w:szCs w:val="16"/>
              </w:rPr>
            </w:pPr>
          </w:p>
        </w:tc>
        <w:tc>
          <w:tcPr>
            <w:tcW w:w="469" w:type="dxa"/>
            <w:tcBorders>
              <w:top w:val="nil"/>
              <w:left w:val="nil"/>
              <w:bottom w:val="single" w:sz="4" w:space="0" w:color="auto"/>
              <w:right w:val="nil"/>
            </w:tcBorders>
          </w:tcPr>
          <w:p w14:paraId="4F408397" w14:textId="77777777" w:rsidR="006A3D52" w:rsidRDefault="006A3D52" w:rsidP="00163172">
            <w:pPr>
              <w:jc w:val="both"/>
              <w:rPr>
                <w:rFonts w:cstheme="minorHAnsi"/>
                <w:sz w:val="12"/>
                <w:szCs w:val="16"/>
              </w:rPr>
            </w:pPr>
          </w:p>
        </w:tc>
      </w:tr>
      <w:tr w:rsidR="006A3D52" w14:paraId="6ABAD1AD" w14:textId="77777777" w:rsidTr="006A3D52">
        <w:tc>
          <w:tcPr>
            <w:tcW w:w="460" w:type="dxa"/>
            <w:tcBorders>
              <w:top w:val="single" w:sz="4" w:space="0" w:color="auto"/>
              <w:left w:val="nil"/>
              <w:bottom w:val="single" w:sz="4" w:space="0" w:color="auto"/>
              <w:right w:val="nil"/>
            </w:tcBorders>
          </w:tcPr>
          <w:p w14:paraId="52035128" w14:textId="77777777" w:rsidR="006A3D52" w:rsidRPr="006A3D52" w:rsidRDefault="006A3D52" w:rsidP="00052E6C">
            <w:pPr>
              <w:jc w:val="both"/>
              <w:rPr>
                <w:rFonts w:cstheme="minorHAnsi"/>
                <w:sz w:val="12"/>
                <w:szCs w:val="16"/>
              </w:rPr>
            </w:pPr>
            <w:r>
              <w:rPr>
                <w:rFonts w:cstheme="minorHAnsi"/>
                <w:sz w:val="12"/>
                <w:szCs w:val="16"/>
              </w:rPr>
              <w:t>US</w:t>
            </w:r>
            <w:r w:rsidR="00052E6C">
              <w:rPr>
                <w:rFonts w:cstheme="minorHAnsi"/>
                <w:sz w:val="12"/>
                <w:szCs w:val="16"/>
              </w:rPr>
              <w:t>D</w:t>
            </w:r>
            <w:r>
              <w:rPr>
                <w:rFonts w:cstheme="minorHAnsi"/>
                <w:sz w:val="12"/>
                <w:szCs w:val="16"/>
              </w:rPr>
              <w:t>/ton</w:t>
            </w:r>
          </w:p>
        </w:tc>
        <w:tc>
          <w:tcPr>
            <w:tcW w:w="460" w:type="dxa"/>
            <w:tcBorders>
              <w:top w:val="single" w:sz="4" w:space="0" w:color="auto"/>
              <w:left w:val="nil"/>
              <w:bottom w:val="single" w:sz="4" w:space="0" w:color="auto"/>
              <w:right w:val="nil"/>
            </w:tcBorders>
          </w:tcPr>
          <w:p w14:paraId="644D3EA0" w14:textId="77777777" w:rsidR="006A3D52" w:rsidRPr="006A3D52" w:rsidRDefault="006A3D52" w:rsidP="006A3D52">
            <w:pPr>
              <w:jc w:val="both"/>
              <w:rPr>
                <w:rFonts w:cstheme="minorHAnsi"/>
                <w:sz w:val="12"/>
                <w:szCs w:val="16"/>
              </w:rPr>
            </w:pPr>
            <w:r w:rsidRPr="006A3D52">
              <w:rPr>
                <w:rFonts w:cstheme="minorHAnsi"/>
                <w:sz w:val="12"/>
                <w:szCs w:val="16"/>
              </w:rPr>
              <w:t>2021</w:t>
            </w:r>
          </w:p>
        </w:tc>
        <w:tc>
          <w:tcPr>
            <w:tcW w:w="460" w:type="dxa"/>
            <w:tcBorders>
              <w:top w:val="single" w:sz="4" w:space="0" w:color="auto"/>
              <w:left w:val="nil"/>
              <w:bottom w:val="single" w:sz="4" w:space="0" w:color="auto"/>
              <w:right w:val="nil"/>
            </w:tcBorders>
          </w:tcPr>
          <w:p w14:paraId="02686AD4" w14:textId="77777777" w:rsidR="006A3D52" w:rsidRPr="006A3D52" w:rsidRDefault="006A3D52" w:rsidP="00163172">
            <w:pPr>
              <w:jc w:val="both"/>
              <w:rPr>
                <w:rFonts w:cstheme="minorHAnsi"/>
                <w:sz w:val="12"/>
                <w:szCs w:val="16"/>
              </w:rPr>
            </w:pPr>
            <w:r w:rsidRPr="006A3D52">
              <w:rPr>
                <w:rFonts w:cstheme="minorHAnsi"/>
                <w:sz w:val="12"/>
                <w:szCs w:val="16"/>
              </w:rPr>
              <w:t>2022</w:t>
            </w:r>
          </w:p>
        </w:tc>
        <w:tc>
          <w:tcPr>
            <w:tcW w:w="460" w:type="dxa"/>
            <w:tcBorders>
              <w:top w:val="single" w:sz="4" w:space="0" w:color="auto"/>
              <w:left w:val="nil"/>
              <w:bottom w:val="single" w:sz="4" w:space="0" w:color="auto"/>
              <w:right w:val="nil"/>
            </w:tcBorders>
          </w:tcPr>
          <w:p w14:paraId="7AD6ED4D" w14:textId="77777777" w:rsidR="006A3D52" w:rsidRPr="006A3D52" w:rsidRDefault="006A3D52" w:rsidP="00163172">
            <w:pPr>
              <w:jc w:val="both"/>
              <w:rPr>
                <w:rFonts w:cstheme="minorHAnsi"/>
                <w:sz w:val="12"/>
                <w:szCs w:val="16"/>
              </w:rPr>
            </w:pPr>
            <w:r w:rsidRPr="006A3D52">
              <w:rPr>
                <w:rFonts w:cstheme="minorHAnsi"/>
                <w:sz w:val="12"/>
                <w:szCs w:val="16"/>
              </w:rPr>
              <w:t>2023</w:t>
            </w:r>
          </w:p>
        </w:tc>
        <w:tc>
          <w:tcPr>
            <w:tcW w:w="460" w:type="dxa"/>
            <w:tcBorders>
              <w:top w:val="single" w:sz="4" w:space="0" w:color="auto"/>
              <w:left w:val="nil"/>
              <w:bottom w:val="single" w:sz="4" w:space="0" w:color="auto"/>
              <w:right w:val="nil"/>
            </w:tcBorders>
          </w:tcPr>
          <w:p w14:paraId="225A9C36" w14:textId="77777777" w:rsidR="006A3D52" w:rsidRPr="006A3D52" w:rsidRDefault="006A3D52" w:rsidP="00163172">
            <w:pPr>
              <w:jc w:val="both"/>
              <w:rPr>
                <w:rFonts w:cstheme="minorHAnsi"/>
                <w:sz w:val="12"/>
                <w:szCs w:val="16"/>
              </w:rPr>
            </w:pPr>
            <w:r w:rsidRPr="006A3D52">
              <w:rPr>
                <w:rFonts w:cstheme="minorHAnsi"/>
                <w:sz w:val="12"/>
                <w:szCs w:val="16"/>
              </w:rPr>
              <w:t>2024</w:t>
            </w:r>
          </w:p>
        </w:tc>
        <w:tc>
          <w:tcPr>
            <w:tcW w:w="460" w:type="dxa"/>
            <w:tcBorders>
              <w:top w:val="single" w:sz="4" w:space="0" w:color="auto"/>
              <w:left w:val="nil"/>
              <w:bottom w:val="single" w:sz="4" w:space="0" w:color="auto"/>
              <w:right w:val="nil"/>
            </w:tcBorders>
          </w:tcPr>
          <w:p w14:paraId="09278A21" w14:textId="77777777" w:rsidR="006A3D52" w:rsidRPr="006A3D52" w:rsidRDefault="006A3D52" w:rsidP="00163172">
            <w:pPr>
              <w:jc w:val="both"/>
              <w:rPr>
                <w:rFonts w:cstheme="minorHAnsi"/>
                <w:sz w:val="12"/>
                <w:szCs w:val="16"/>
              </w:rPr>
            </w:pPr>
            <w:r w:rsidRPr="006A3D52">
              <w:rPr>
                <w:rFonts w:cstheme="minorHAnsi"/>
                <w:sz w:val="12"/>
                <w:szCs w:val="16"/>
              </w:rPr>
              <w:t>2025</w:t>
            </w:r>
          </w:p>
        </w:tc>
        <w:tc>
          <w:tcPr>
            <w:tcW w:w="460" w:type="dxa"/>
            <w:tcBorders>
              <w:top w:val="single" w:sz="4" w:space="0" w:color="auto"/>
              <w:left w:val="nil"/>
              <w:bottom w:val="single" w:sz="4" w:space="0" w:color="auto"/>
              <w:right w:val="nil"/>
            </w:tcBorders>
          </w:tcPr>
          <w:p w14:paraId="4CEAC48B" w14:textId="77777777" w:rsidR="006A3D52" w:rsidRPr="006A3D52" w:rsidRDefault="006A3D52" w:rsidP="00163172">
            <w:pPr>
              <w:jc w:val="both"/>
              <w:rPr>
                <w:rFonts w:cstheme="minorHAnsi"/>
                <w:sz w:val="12"/>
                <w:szCs w:val="16"/>
              </w:rPr>
            </w:pPr>
            <w:r w:rsidRPr="006A3D52">
              <w:rPr>
                <w:rFonts w:cstheme="minorHAnsi"/>
                <w:sz w:val="12"/>
                <w:szCs w:val="16"/>
              </w:rPr>
              <w:t>2026</w:t>
            </w:r>
          </w:p>
        </w:tc>
        <w:tc>
          <w:tcPr>
            <w:tcW w:w="460" w:type="dxa"/>
            <w:tcBorders>
              <w:top w:val="single" w:sz="4" w:space="0" w:color="auto"/>
              <w:left w:val="nil"/>
              <w:bottom w:val="single" w:sz="4" w:space="0" w:color="auto"/>
              <w:right w:val="nil"/>
            </w:tcBorders>
          </w:tcPr>
          <w:p w14:paraId="6582D6F2" w14:textId="77777777" w:rsidR="006A3D52" w:rsidRPr="006A3D52" w:rsidRDefault="006A3D52" w:rsidP="00163172">
            <w:pPr>
              <w:jc w:val="both"/>
              <w:rPr>
                <w:rFonts w:cstheme="minorHAnsi"/>
                <w:sz w:val="12"/>
                <w:szCs w:val="16"/>
              </w:rPr>
            </w:pPr>
            <w:r w:rsidRPr="006A3D52">
              <w:rPr>
                <w:rFonts w:cstheme="minorHAnsi"/>
                <w:sz w:val="12"/>
                <w:szCs w:val="16"/>
              </w:rPr>
              <w:t>2027</w:t>
            </w:r>
          </w:p>
        </w:tc>
        <w:tc>
          <w:tcPr>
            <w:tcW w:w="460" w:type="dxa"/>
            <w:tcBorders>
              <w:top w:val="single" w:sz="4" w:space="0" w:color="auto"/>
              <w:left w:val="nil"/>
              <w:bottom w:val="single" w:sz="4" w:space="0" w:color="auto"/>
              <w:right w:val="nil"/>
            </w:tcBorders>
          </w:tcPr>
          <w:p w14:paraId="677CE292" w14:textId="77777777" w:rsidR="006A3D52" w:rsidRPr="006A3D52" w:rsidRDefault="006A3D52" w:rsidP="00163172">
            <w:pPr>
              <w:jc w:val="both"/>
              <w:rPr>
                <w:rFonts w:cstheme="minorHAnsi"/>
                <w:sz w:val="12"/>
                <w:szCs w:val="16"/>
              </w:rPr>
            </w:pPr>
            <w:r w:rsidRPr="006A3D52">
              <w:rPr>
                <w:rFonts w:cstheme="minorHAnsi"/>
                <w:sz w:val="12"/>
                <w:szCs w:val="16"/>
              </w:rPr>
              <w:t>2028</w:t>
            </w:r>
          </w:p>
        </w:tc>
        <w:tc>
          <w:tcPr>
            <w:tcW w:w="460" w:type="dxa"/>
            <w:tcBorders>
              <w:top w:val="single" w:sz="4" w:space="0" w:color="auto"/>
              <w:left w:val="nil"/>
              <w:bottom w:val="single" w:sz="4" w:space="0" w:color="auto"/>
              <w:right w:val="nil"/>
            </w:tcBorders>
          </w:tcPr>
          <w:p w14:paraId="3D0CE104" w14:textId="77777777" w:rsidR="006A3D52" w:rsidRPr="006A3D52" w:rsidRDefault="006A3D52" w:rsidP="00163172">
            <w:pPr>
              <w:jc w:val="both"/>
              <w:rPr>
                <w:rFonts w:cstheme="minorHAnsi"/>
                <w:sz w:val="12"/>
                <w:szCs w:val="16"/>
              </w:rPr>
            </w:pPr>
            <w:r w:rsidRPr="006A3D52">
              <w:rPr>
                <w:rFonts w:cstheme="minorHAnsi"/>
                <w:sz w:val="12"/>
                <w:szCs w:val="16"/>
              </w:rPr>
              <w:t>2029</w:t>
            </w:r>
          </w:p>
        </w:tc>
        <w:tc>
          <w:tcPr>
            <w:tcW w:w="460" w:type="dxa"/>
            <w:tcBorders>
              <w:top w:val="single" w:sz="4" w:space="0" w:color="auto"/>
              <w:left w:val="nil"/>
              <w:bottom w:val="single" w:sz="4" w:space="0" w:color="auto"/>
              <w:right w:val="nil"/>
            </w:tcBorders>
          </w:tcPr>
          <w:p w14:paraId="32213876" w14:textId="77777777" w:rsidR="006A3D52" w:rsidRPr="006A3D52" w:rsidRDefault="006A3D52" w:rsidP="00163172">
            <w:pPr>
              <w:jc w:val="both"/>
              <w:rPr>
                <w:rFonts w:cstheme="minorHAnsi"/>
                <w:sz w:val="12"/>
                <w:szCs w:val="16"/>
              </w:rPr>
            </w:pPr>
            <w:r w:rsidRPr="006A3D52">
              <w:rPr>
                <w:rFonts w:cstheme="minorHAnsi"/>
                <w:sz w:val="12"/>
                <w:szCs w:val="16"/>
              </w:rPr>
              <w:t>2030</w:t>
            </w:r>
          </w:p>
        </w:tc>
        <w:tc>
          <w:tcPr>
            <w:tcW w:w="460" w:type="dxa"/>
            <w:tcBorders>
              <w:top w:val="single" w:sz="4" w:space="0" w:color="auto"/>
              <w:left w:val="nil"/>
              <w:bottom w:val="single" w:sz="4" w:space="0" w:color="auto"/>
              <w:right w:val="nil"/>
            </w:tcBorders>
          </w:tcPr>
          <w:p w14:paraId="3F7FD0D2" w14:textId="77777777" w:rsidR="006A3D52" w:rsidRPr="006A3D52" w:rsidRDefault="006A3D52" w:rsidP="00163172">
            <w:pPr>
              <w:jc w:val="both"/>
              <w:rPr>
                <w:rFonts w:cstheme="minorHAnsi"/>
                <w:sz w:val="12"/>
                <w:szCs w:val="16"/>
              </w:rPr>
            </w:pPr>
            <w:r w:rsidRPr="006A3D52">
              <w:rPr>
                <w:rFonts w:cstheme="minorHAnsi"/>
                <w:sz w:val="12"/>
                <w:szCs w:val="16"/>
              </w:rPr>
              <w:t>2031</w:t>
            </w:r>
          </w:p>
        </w:tc>
        <w:tc>
          <w:tcPr>
            <w:tcW w:w="460" w:type="dxa"/>
            <w:tcBorders>
              <w:top w:val="single" w:sz="4" w:space="0" w:color="auto"/>
              <w:left w:val="nil"/>
              <w:bottom w:val="single" w:sz="4" w:space="0" w:color="auto"/>
              <w:right w:val="nil"/>
            </w:tcBorders>
          </w:tcPr>
          <w:p w14:paraId="257AECD8" w14:textId="77777777" w:rsidR="006A3D52" w:rsidRPr="006A3D52" w:rsidRDefault="006A3D52" w:rsidP="00163172">
            <w:pPr>
              <w:jc w:val="both"/>
              <w:rPr>
                <w:rFonts w:cstheme="minorHAnsi"/>
                <w:sz w:val="12"/>
                <w:szCs w:val="16"/>
              </w:rPr>
            </w:pPr>
            <w:r w:rsidRPr="006A3D52">
              <w:rPr>
                <w:rFonts w:cstheme="minorHAnsi"/>
                <w:sz w:val="12"/>
                <w:szCs w:val="16"/>
              </w:rPr>
              <w:t>2032</w:t>
            </w:r>
          </w:p>
        </w:tc>
        <w:tc>
          <w:tcPr>
            <w:tcW w:w="460" w:type="dxa"/>
            <w:tcBorders>
              <w:top w:val="single" w:sz="4" w:space="0" w:color="auto"/>
              <w:left w:val="nil"/>
              <w:bottom w:val="single" w:sz="4" w:space="0" w:color="auto"/>
              <w:right w:val="nil"/>
            </w:tcBorders>
          </w:tcPr>
          <w:p w14:paraId="77DCEB2A" w14:textId="77777777" w:rsidR="006A3D52" w:rsidRPr="006A3D52" w:rsidRDefault="006A3D52" w:rsidP="00163172">
            <w:pPr>
              <w:jc w:val="both"/>
              <w:rPr>
                <w:rFonts w:cstheme="minorHAnsi"/>
                <w:sz w:val="12"/>
                <w:szCs w:val="16"/>
              </w:rPr>
            </w:pPr>
            <w:r w:rsidRPr="006A3D52">
              <w:rPr>
                <w:rFonts w:cstheme="minorHAnsi"/>
                <w:sz w:val="12"/>
                <w:szCs w:val="16"/>
              </w:rPr>
              <w:t>2033</w:t>
            </w:r>
          </w:p>
        </w:tc>
        <w:tc>
          <w:tcPr>
            <w:tcW w:w="460" w:type="dxa"/>
            <w:tcBorders>
              <w:top w:val="single" w:sz="4" w:space="0" w:color="auto"/>
              <w:left w:val="nil"/>
              <w:bottom w:val="single" w:sz="4" w:space="0" w:color="auto"/>
              <w:right w:val="nil"/>
            </w:tcBorders>
          </w:tcPr>
          <w:p w14:paraId="71369C25" w14:textId="77777777" w:rsidR="006A3D52" w:rsidRPr="006A3D52" w:rsidRDefault="006A3D52" w:rsidP="00163172">
            <w:pPr>
              <w:jc w:val="both"/>
              <w:rPr>
                <w:rFonts w:cstheme="minorHAnsi"/>
                <w:sz w:val="12"/>
                <w:szCs w:val="16"/>
              </w:rPr>
            </w:pPr>
            <w:r w:rsidRPr="006A3D52">
              <w:rPr>
                <w:rFonts w:cstheme="minorHAnsi"/>
                <w:sz w:val="12"/>
                <w:szCs w:val="16"/>
              </w:rPr>
              <w:t>2034</w:t>
            </w:r>
          </w:p>
        </w:tc>
        <w:tc>
          <w:tcPr>
            <w:tcW w:w="460" w:type="dxa"/>
            <w:tcBorders>
              <w:top w:val="single" w:sz="4" w:space="0" w:color="auto"/>
              <w:left w:val="nil"/>
              <w:bottom w:val="single" w:sz="4" w:space="0" w:color="auto"/>
              <w:right w:val="nil"/>
            </w:tcBorders>
          </w:tcPr>
          <w:p w14:paraId="57113B3D" w14:textId="77777777" w:rsidR="006A3D52" w:rsidRPr="006A3D52" w:rsidRDefault="006A3D52" w:rsidP="00163172">
            <w:pPr>
              <w:jc w:val="both"/>
              <w:rPr>
                <w:rFonts w:cstheme="minorHAnsi"/>
                <w:sz w:val="12"/>
                <w:szCs w:val="16"/>
              </w:rPr>
            </w:pPr>
            <w:r>
              <w:rPr>
                <w:rFonts w:cstheme="minorHAnsi"/>
                <w:sz w:val="12"/>
                <w:szCs w:val="16"/>
              </w:rPr>
              <w:t>2035</w:t>
            </w:r>
          </w:p>
        </w:tc>
        <w:tc>
          <w:tcPr>
            <w:tcW w:w="460" w:type="dxa"/>
            <w:tcBorders>
              <w:top w:val="single" w:sz="4" w:space="0" w:color="auto"/>
              <w:left w:val="nil"/>
              <w:bottom w:val="single" w:sz="4" w:space="0" w:color="auto"/>
              <w:right w:val="nil"/>
            </w:tcBorders>
          </w:tcPr>
          <w:p w14:paraId="4B1A807B" w14:textId="77777777" w:rsidR="006A3D52" w:rsidRPr="006A3D52" w:rsidRDefault="006A3D52" w:rsidP="00163172">
            <w:pPr>
              <w:jc w:val="both"/>
              <w:rPr>
                <w:rFonts w:cstheme="minorHAnsi"/>
                <w:sz w:val="12"/>
                <w:szCs w:val="16"/>
              </w:rPr>
            </w:pPr>
            <w:r>
              <w:rPr>
                <w:rFonts w:cstheme="minorHAnsi"/>
                <w:sz w:val="12"/>
                <w:szCs w:val="16"/>
              </w:rPr>
              <w:t>2036</w:t>
            </w:r>
          </w:p>
        </w:tc>
        <w:tc>
          <w:tcPr>
            <w:tcW w:w="460" w:type="dxa"/>
            <w:tcBorders>
              <w:top w:val="single" w:sz="4" w:space="0" w:color="auto"/>
              <w:left w:val="nil"/>
              <w:bottom w:val="single" w:sz="4" w:space="0" w:color="auto"/>
              <w:right w:val="nil"/>
            </w:tcBorders>
          </w:tcPr>
          <w:p w14:paraId="52BFC90C" w14:textId="77777777" w:rsidR="006A3D52" w:rsidRPr="006A3D52" w:rsidRDefault="006A3D52" w:rsidP="00163172">
            <w:pPr>
              <w:jc w:val="both"/>
              <w:rPr>
                <w:rFonts w:cstheme="minorHAnsi"/>
                <w:sz w:val="12"/>
                <w:szCs w:val="16"/>
              </w:rPr>
            </w:pPr>
            <w:r>
              <w:rPr>
                <w:rFonts w:cstheme="minorHAnsi"/>
                <w:sz w:val="12"/>
                <w:szCs w:val="16"/>
              </w:rPr>
              <w:t>2037</w:t>
            </w:r>
          </w:p>
        </w:tc>
        <w:tc>
          <w:tcPr>
            <w:tcW w:w="460" w:type="dxa"/>
            <w:tcBorders>
              <w:top w:val="single" w:sz="4" w:space="0" w:color="auto"/>
              <w:left w:val="nil"/>
              <w:bottom w:val="single" w:sz="4" w:space="0" w:color="auto"/>
              <w:right w:val="nil"/>
            </w:tcBorders>
          </w:tcPr>
          <w:p w14:paraId="2290AD73" w14:textId="77777777" w:rsidR="006A3D52" w:rsidRPr="006A3D52" w:rsidRDefault="006A3D52" w:rsidP="00163172">
            <w:pPr>
              <w:jc w:val="both"/>
              <w:rPr>
                <w:rFonts w:cstheme="minorHAnsi"/>
                <w:sz w:val="12"/>
                <w:szCs w:val="16"/>
              </w:rPr>
            </w:pPr>
            <w:r>
              <w:rPr>
                <w:rFonts w:cstheme="minorHAnsi"/>
                <w:sz w:val="12"/>
                <w:szCs w:val="16"/>
              </w:rPr>
              <w:t>2038</w:t>
            </w:r>
          </w:p>
        </w:tc>
        <w:tc>
          <w:tcPr>
            <w:tcW w:w="460" w:type="dxa"/>
            <w:tcBorders>
              <w:top w:val="single" w:sz="4" w:space="0" w:color="auto"/>
              <w:left w:val="nil"/>
              <w:bottom w:val="single" w:sz="4" w:space="0" w:color="auto"/>
              <w:right w:val="nil"/>
            </w:tcBorders>
          </w:tcPr>
          <w:p w14:paraId="235AD152" w14:textId="77777777" w:rsidR="006A3D52" w:rsidRPr="006A3D52" w:rsidRDefault="006A3D52" w:rsidP="00163172">
            <w:pPr>
              <w:jc w:val="both"/>
              <w:rPr>
                <w:rFonts w:cstheme="minorHAnsi"/>
                <w:sz w:val="12"/>
                <w:szCs w:val="16"/>
              </w:rPr>
            </w:pPr>
            <w:r>
              <w:rPr>
                <w:rFonts w:cstheme="minorHAnsi"/>
                <w:sz w:val="12"/>
                <w:szCs w:val="16"/>
              </w:rPr>
              <w:t>2039</w:t>
            </w:r>
          </w:p>
        </w:tc>
        <w:tc>
          <w:tcPr>
            <w:tcW w:w="469" w:type="dxa"/>
            <w:tcBorders>
              <w:top w:val="single" w:sz="4" w:space="0" w:color="auto"/>
              <w:left w:val="nil"/>
              <w:bottom w:val="single" w:sz="4" w:space="0" w:color="auto"/>
              <w:right w:val="nil"/>
            </w:tcBorders>
          </w:tcPr>
          <w:p w14:paraId="6E1D07A2" w14:textId="77777777" w:rsidR="006A3D52" w:rsidRPr="006A3D52" w:rsidRDefault="006A3D52" w:rsidP="00163172">
            <w:pPr>
              <w:jc w:val="both"/>
              <w:rPr>
                <w:rFonts w:cstheme="minorHAnsi"/>
                <w:sz w:val="12"/>
                <w:szCs w:val="16"/>
              </w:rPr>
            </w:pPr>
            <w:r>
              <w:rPr>
                <w:rFonts w:cstheme="minorHAnsi"/>
                <w:sz w:val="12"/>
                <w:szCs w:val="16"/>
              </w:rPr>
              <w:t>2040</w:t>
            </w:r>
          </w:p>
        </w:tc>
      </w:tr>
      <w:tr w:rsidR="006A3D52" w14:paraId="7A474F0E" w14:textId="77777777" w:rsidTr="006A3D52">
        <w:tc>
          <w:tcPr>
            <w:tcW w:w="460" w:type="dxa"/>
            <w:tcBorders>
              <w:top w:val="single" w:sz="4" w:space="0" w:color="auto"/>
              <w:left w:val="nil"/>
              <w:bottom w:val="nil"/>
              <w:right w:val="nil"/>
            </w:tcBorders>
          </w:tcPr>
          <w:p w14:paraId="1C0AD58F" w14:textId="77777777" w:rsidR="006A3D52" w:rsidRPr="006A3D52" w:rsidRDefault="006A3D52" w:rsidP="006A3D52">
            <w:pPr>
              <w:jc w:val="right"/>
              <w:rPr>
                <w:rFonts w:cstheme="minorHAnsi"/>
                <w:sz w:val="12"/>
                <w:szCs w:val="16"/>
              </w:rPr>
            </w:pPr>
            <w:r>
              <w:rPr>
                <w:rFonts w:cstheme="minorHAnsi"/>
                <w:sz w:val="12"/>
                <w:szCs w:val="16"/>
              </w:rPr>
              <w:t xml:space="preserve">Market </w:t>
            </w:r>
          </w:p>
        </w:tc>
        <w:tc>
          <w:tcPr>
            <w:tcW w:w="460" w:type="dxa"/>
            <w:tcBorders>
              <w:top w:val="single" w:sz="4" w:space="0" w:color="auto"/>
              <w:left w:val="nil"/>
              <w:bottom w:val="nil"/>
              <w:right w:val="nil"/>
            </w:tcBorders>
            <w:shd w:val="clear" w:color="auto" w:fill="auto"/>
            <w:vAlign w:val="bottom"/>
          </w:tcPr>
          <w:p w14:paraId="66AF7E27"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758788A3"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6B91D9B0"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5559142C"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5567B0BA"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05F3BA1F"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7237F5F9"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67E452EE"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3D4E6FDE"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052677B6"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2FCB2F59"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20E445F2"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705C1BDE"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18A61461"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3668831D"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627ABA03"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193EF410"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1F25BDAA"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0" w:type="dxa"/>
            <w:tcBorders>
              <w:top w:val="single" w:sz="4" w:space="0" w:color="auto"/>
              <w:left w:val="nil"/>
              <w:bottom w:val="nil"/>
              <w:right w:val="nil"/>
            </w:tcBorders>
            <w:shd w:val="clear" w:color="auto" w:fill="auto"/>
            <w:vAlign w:val="bottom"/>
          </w:tcPr>
          <w:p w14:paraId="05E9F0E9" w14:textId="77777777" w:rsidR="006A3D52" w:rsidRPr="006A3D52" w:rsidRDefault="006A3D52" w:rsidP="006A3D52">
            <w:pPr>
              <w:jc w:val="right"/>
              <w:rPr>
                <w:rFonts w:cstheme="minorHAnsi"/>
                <w:sz w:val="12"/>
                <w:szCs w:val="16"/>
              </w:rPr>
            </w:pPr>
            <w:r w:rsidRPr="006A3D52">
              <w:rPr>
                <w:rFonts w:cstheme="minorHAnsi"/>
                <w:sz w:val="12"/>
                <w:szCs w:val="16"/>
              </w:rPr>
              <w:t>8</w:t>
            </w:r>
          </w:p>
        </w:tc>
        <w:tc>
          <w:tcPr>
            <w:tcW w:w="469" w:type="dxa"/>
            <w:tcBorders>
              <w:top w:val="single" w:sz="4" w:space="0" w:color="auto"/>
              <w:left w:val="nil"/>
              <w:bottom w:val="nil"/>
              <w:right w:val="nil"/>
            </w:tcBorders>
            <w:shd w:val="clear" w:color="auto" w:fill="auto"/>
            <w:vAlign w:val="bottom"/>
          </w:tcPr>
          <w:p w14:paraId="7ACBDF6D" w14:textId="77777777" w:rsidR="006A3D52" w:rsidRPr="006A3D52" w:rsidRDefault="006A3D52" w:rsidP="006A3D52">
            <w:pPr>
              <w:jc w:val="right"/>
              <w:rPr>
                <w:rFonts w:cstheme="minorHAnsi"/>
                <w:sz w:val="12"/>
                <w:szCs w:val="16"/>
              </w:rPr>
            </w:pPr>
            <w:r w:rsidRPr="006A3D52">
              <w:rPr>
                <w:rFonts w:cstheme="minorHAnsi"/>
                <w:sz w:val="12"/>
                <w:szCs w:val="16"/>
              </w:rPr>
              <w:t>8</w:t>
            </w:r>
          </w:p>
        </w:tc>
      </w:tr>
      <w:tr w:rsidR="006A3D52" w14:paraId="3C3239DD" w14:textId="77777777" w:rsidTr="006A3D52">
        <w:tc>
          <w:tcPr>
            <w:tcW w:w="460" w:type="dxa"/>
            <w:tcBorders>
              <w:top w:val="nil"/>
              <w:left w:val="nil"/>
              <w:bottom w:val="nil"/>
              <w:right w:val="nil"/>
            </w:tcBorders>
          </w:tcPr>
          <w:p w14:paraId="1CB0D309" w14:textId="77777777" w:rsidR="006A3D52" w:rsidRPr="006A3D52" w:rsidRDefault="006A3D52" w:rsidP="006A3D52">
            <w:pPr>
              <w:jc w:val="right"/>
              <w:rPr>
                <w:rFonts w:cstheme="minorHAnsi"/>
                <w:sz w:val="12"/>
                <w:szCs w:val="16"/>
              </w:rPr>
            </w:pPr>
            <w:r>
              <w:rPr>
                <w:rFonts w:cstheme="minorHAnsi"/>
                <w:sz w:val="12"/>
                <w:szCs w:val="16"/>
              </w:rPr>
              <w:t>Low</w:t>
            </w:r>
          </w:p>
        </w:tc>
        <w:tc>
          <w:tcPr>
            <w:tcW w:w="460" w:type="dxa"/>
            <w:tcBorders>
              <w:top w:val="nil"/>
              <w:left w:val="nil"/>
              <w:bottom w:val="nil"/>
              <w:right w:val="nil"/>
            </w:tcBorders>
            <w:shd w:val="clear" w:color="auto" w:fill="auto"/>
            <w:vAlign w:val="bottom"/>
          </w:tcPr>
          <w:p w14:paraId="469CB8FD" w14:textId="77777777" w:rsidR="006A3D52" w:rsidRPr="006A3D52" w:rsidRDefault="006A3D52" w:rsidP="006A3D52">
            <w:pPr>
              <w:jc w:val="right"/>
              <w:rPr>
                <w:rFonts w:cstheme="minorHAnsi"/>
                <w:sz w:val="12"/>
                <w:szCs w:val="16"/>
              </w:rPr>
            </w:pPr>
            <w:r w:rsidRPr="006A3D52">
              <w:rPr>
                <w:rFonts w:cstheme="minorHAnsi"/>
                <w:sz w:val="12"/>
                <w:szCs w:val="16"/>
              </w:rPr>
              <w:t>41</w:t>
            </w:r>
          </w:p>
        </w:tc>
        <w:tc>
          <w:tcPr>
            <w:tcW w:w="460" w:type="dxa"/>
            <w:tcBorders>
              <w:top w:val="nil"/>
              <w:left w:val="nil"/>
              <w:bottom w:val="nil"/>
              <w:right w:val="nil"/>
            </w:tcBorders>
            <w:shd w:val="clear" w:color="auto" w:fill="auto"/>
            <w:vAlign w:val="bottom"/>
          </w:tcPr>
          <w:p w14:paraId="0571AF02" w14:textId="77777777" w:rsidR="006A3D52" w:rsidRPr="006A3D52" w:rsidRDefault="006A3D52" w:rsidP="006A3D52">
            <w:pPr>
              <w:jc w:val="right"/>
              <w:rPr>
                <w:rFonts w:cstheme="minorHAnsi"/>
                <w:sz w:val="12"/>
                <w:szCs w:val="16"/>
              </w:rPr>
            </w:pPr>
            <w:r w:rsidRPr="006A3D52">
              <w:rPr>
                <w:rFonts w:cstheme="minorHAnsi"/>
                <w:sz w:val="12"/>
                <w:szCs w:val="16"/>
              </w:rPr>
              <w:t>42</w:t>
            </w:r>
          </w:p>
        </w:tc>
        <w:tc>
          <w:tcPr>
            <w:tcW w:w="460" w:type="dxa"/>
            <w:tcBorders>
              <w:top w:val="nil"/>
              <w:left w:val="nil"/>
              <w:bottom w:val="nil"/>
              <w:right w:val="nil"/>
            </w:tcBorders>
            <w:shd w:val="clear" w:color="auto" w:fill="auto"/>
            <w:vAlign w:val="bottom"/>
          </w:tcPr>
          <w:p w14:paraId="7553A52F" w14:textId="77777777" w:rsidR="006A3D52" w:rsidRPr="006A3D52" w:rsidRDefault="006A3D52" w:rsidP="006A3D52">
            <w:pPr>
              <w:jc w:val="right"/>
              <w:rPr>
                <w:rFonts w:cstheme="minorHAnsi"/>
                <w:sz w:val="12"/>
                <w:szCs w:val="16"/>
              </w:rPr>
            </w:pPr>
            <w:r w:rsidRPr="006A3D52">
              <w:rPr>
                <w:rFonts w:cstheme="minorHAnsi"/>
                <w:sz w:val="12"/>
                <w:szCs w:val="16"/>
              </w:rPr>
              <w:t>43</w:t>
            </w:r>
          </w:p>
        </w:tc>
        <w:tc>
          <w:tcPr>
            <w:tcW w:w="460" w:type="dxa"/>
            <w:tcBorders>
              <w:top w:val="nil"/>
              <w:left w:val="nil"/>
              <w:bottom w:val="nil"/>
              <w:right w:val="nil"/>
            </w:tcBorders>
            <w:shd w:val="clear" w:color="auto" w:fill="auto"/>
            <w:vAlign w:val="bottom"/>
          </w:tcPr>
          <w:p w14:paraId="24F4E487" w14:textId="77777777" w:rsidR="006A3D52" w:rsidRPr="006A3D52" w:rsidRDefault="006A3D52" w:rsidP="006A3D52">
            <w:pPr>
              <w:jc w:val="right"/>
              <w:rPr>
                <w:rFonts w:cstheme="minorHAnsi"/>
                <w:sz w:val="12"/>
                <w:szCs w:val="16"/>
              </w:rPr>
            </w:pPr>
            <w:r w:rsidRPr="006A3D52">
              <w:rPr>
                <w:rFonts w:cstheme="minorHAnsi"/>
                <w:sz w:val="12"/>
                <w:szCs w:val="16"/>
              </w:rPr>
              <w:t>44</w:t>
            </w:r>
          </w:p>
        </w:tc>
        <w:tc>
          <w:tcPr>
            <w:tcW w:w="460" w:type="dxa"/>
            <w:tcBorders>
              <w:top w:val="nil"/>
              <w:left w:val="nil"/>
              <w:bottom w:val="nil"/>
              <w:right w:val="nil"/>
            </w:tcBorders>
            <w:shd w:val="clear" w:color="auto" w:fill="auto"/>
            <w:vAlign w:val="bottom"/>
          </w:tcPr>
          <w:p w14:paraId="61EFCA9C" w14:textId="77777777" w:rsidR="006A3D52" w:rsidRPr="006A3D52" w:rsidRDefault="006A3D52" w:rsidP="006A3D52">
            <w:pPr>
              <w:jc w:val="right"/>
              <w:rPr>
                <w:rFonts w:cstheme="minorHAnsi"/>
                <w:sz w:val="12"/>
                <w:szCs w:val="16"/>
              </w:rPr>
            </w:pPr>
            <w:r w:rsidRPr="006A3D52">
              <w:rPr>
                <w:rFonts w:cstheme="minorHAnsi"/>
                <w:sz w:val="12"/>
                <w:szCs w:val="16"/>
              </w:rPr>
              <w:t>45</w:t>
            </w:r>
          </w:p>
        </w:tc>
        <w:tc>
          <w:tcPr>
            <w:tcW w:w="460" w:type="dxa"/>
            <w:tcBorders>
              <w:top w:val="nil"/>
              <w:left w:val="nil"/>
              <w:bottom w:val="nil"/>
              <w:right w:val="nil"/>
            </w:tcBorders>
            <w:shd w:val="clear" w:color="auto" w:fill="auto"/>
            <w:vAlign w:val="bottom"/>
          </w:tcPr>
          <w:p w14:paraId="473CAC05" w14:textId="77777777" w:rsidR="006A3D52" w:rsidRPr="006A3D52" w:rsidRDefault="006A3D52" w:rsidP="006A3D52">
            <w:pPr>
              <w:jc w:val="right"/>
              <w:rPr>
                <w:rFonts w:cstheme="minorHAnsi"/>
                <w:sz w:val="12"/>
                <w:szCs w:val="16"/>
              </w:rPr>
            </w:pPr>
            <w:r w:rsidRPr="006A3D52">
              <w:rPr>
                <w:rFonts w:cstheme="minorHAnsi"/>
                <w:sz w:val="12"/>
                <w:szCs w:val="16"/>
              </w:rPr>
              <w:t>46</w:t>
            </w:r>
          </w:p>
        </w:tc>
        <w:tc>
          <w:tcPr>
            <w:tcW w:w="460" w:type="dxa"/>
            <w:tcBorders>
              <w:top w:val="nil"/>
              <w:left w:val="nil"/>
              <w:bottom w:val="nil"/>
              <w:right w:val="nil"/>
            </w:tcBorders>
            <w:shd w:val="clear" w:color="auto" w:fill="auto"/>
            <w:vAlign w:val="bottom"/>
          </w:tcPr>
          <w:p w14:paraId="7DA0247D" w14:textId="77777777" w:rsidR="006A3D52" w:rsidRPr="006A3D52" w:rsidRDefault="006A3D52" w:rsidP="006A3D52">
            <w:pPr>
              <w:jc w:val="right"/>
              <w:rPr>
                <w:rFonts w:cstheme="minorHAnsi"/>
                <w:sz w:val="12"/>
                <w:szCs w:val="16"/>
              </w:rPr>
            </w:pPr>
            <w:r w:rsidRPr="006A3D52">
              <w:rPr>
                <w:rFonts w:cstheme="minorHAnsi"/>
                <w:sz w:val="12"/>
                <w:szCs w:val="16"/>
              </w:rPr>
              <w:t>47</w:t>
            </w:r>
          </w:p>
        </w:tc>
        <w:tc>
          <w:tcPr>
            <w:tcW w:w="460" w:type="dxa"/>
            <w:tcBorders>
              <w:top w:val="nil"/>
              <w:left w:val="nil"/>
              <w:bottom w:val="nil"/>
              <w:right w:val="nil"/>
            </w:tcBorders>
            <w:shd w:val="clear" w:color="auto" w:fill="auto"/>
            <w:vAlign w:val="bottom"/>
          </w:tcPr>
          <w:p w14:paraId="03A4C61A" w14:textId="77777777" w:rsidR="006A3D52" w:rsidRPr="006A3D52" w:rsidRDefault="006A3D52" w:rsidP="006A3D52">
            <w:pPr>
              <w:jc w:val="right"/>
              <w:rPr>
                <w:rFonts w:cstheme="minorHAnsi"/>
                <w:sz w:val="12"/>
                <w:szCs w:val="16"/>
              </w:rPr>
            </w:pPr>
            <w:r w:rsidRPr="006A3D52">
              <w:rPr>
                <w:rFonts w:cstheme="minorHAnsi"/>
                <w:sz w:val="12"/>
                <w:szCs w:val="16"/>
              </w:rPr>
              <w:t>48</w:t>
            </w:r>
          </w:p>
        </w:tc>
        <w:tc>
          <w:tcPr>
            <w:tcW w:w="460" w:type="dxa"/>
            <w:tcBorders>
              <w:top w:val="nil"/>
              <w:left w:val="nil"/>
              <w:bottom w:val="nil"/>
              <w:right w:val="nil"/>
            </w:tcBorders>
            <w:shd w:val="clear" w:color="auto" w:fill="auto"/>
            <w:vAlign w:val="bottom"/>
          </w:tcPr>
          <w:p w14:paraId="63507C21" w14:textId="77777777" w:rsidR="006A3D52" w:rsidRPr="006A3D52" w:rsidRDefault="006A3D52" w:rsidP="006A3D52">
            <w:pPr>
              <w:jc w:val="right"/>
              <w:rPr>
                <w:rFonts w:cstheme="minorHAnsi"/>
                <w:sz w:val="12"/>
                <w:szCs w:val="16"/>
              </w:rPr>
            </w:pPr>
            <w:r w:rsidRPr="006A3D52">
              <w:rPr>
                <w:rFonts w:cstheme="minorHAnsi"/>
                <w:sz w:val="12"/>
                <w:szCs w:val="16"/>
              </w:rPr>
              <w:t>49</w:t>
            </w:r>
          </w:p>
        </w:tc>
        <w:tc>
          <w:tcPr>
            <w:tcW w:w="460" w:type="dxa"/>
            <w:tcBorders>
              <w:top w:val="nil"/>
              <w:left w:val="nil"/>
              <w:bottom w:val="nil"/>
              <w:right w:val="nil"/>
            </w:tcBorders>
            <w:shd w:val="clear" w:color="auto" w:fill="auto"/>
            <w:vAlign w:val="bottom"/>
          </w:tcPr>
          <w:p w14:paraId="21B6F008" w14:textId="77777777" w:rsidR="006A3D52" w:rsidRPr="006A3D52" w:rsidRDefault="006A3D52" w:rsidP="006A3D52">
            <w:pPr>
              <w:jc w:val="right"/>
              <w:rPr>
                <w:rFonts w:cstheme="minorHAnsi"/>
                <w:sz w:val="12"/>
                <w:szCs w:val="16"/>
              </w:rPr>
            </w:pPr>
            <w:r w:rsidRPr="006A3D52">
              <w:rPr>
                <w:rFonts w:cstheme="minorHAnsi"/>
                <w:sz w:val="12"/>
                <w:szCs w:val="16"/>
              </w:rPr>
              <w:t>50</w:t>
            </w:r>
          </w:p>
        </w:tc>
        <w:tc>
          <w:tcPr>
            <w:tcW w:w="460" w:type="dxa"/>
            <w:tcBorders>
              <w:top w:val="nil"/>
              <w:left w:val="nil"/>
              <w:bottom w:val="nil"/>
              <w:right w:val="nil"/>
            </w:tcBorders>
            <w:shd w:val="clear" w:color="auto" w:fill="auto"/>
            <w:vAlign w:val="bottom"/>
          </w:tcPr>
          <w:p w14:paraId="022327EB" w14:textId="77777777" w:rsidR="006A3D52" w:rsidRPr="006A3D52" w:rsidRDefault="006A3D52" w:rsidP="006A3D52">
            <w:pPr>
              <w:jc w:val="right"/>
              <w:rPr>
                <w:rFonts w:cstheme="minorHAnsi"/>
                <w:sz w:val="12"/>
                <w:szCs w:val="16"/>
              </w:rPr>
            </w:pPr>
            <w:r w:rsidRPr="006A3D52">
              <w:rPr>
                <w:rFonts w:cstheme="minorHAnsi"/>
                <w:sz w:val="12"/>
                <w:szCs w:val="16"/>
              </w:rPr>
              <w:t>51</w:t>
            </w:r>
          </w:p>
        </w:tc>
        <w:tc>
          <w:tcPr>
            <w:tcW w:w="460" w:type="dxa"/>
            <w:tcBorders>
              <w:top w:val="nil"/>
              <w:left w:val="nil"/>
              <w:bottom w:val="nil"/>
              <w:right w:val="nil"/>
            </w:tcBorders>
            <w:shd w:val="clear" w:color="auto" w:fill="auto"/>
            <w:vAlign w:val="bottom"/>
          </w:tcPr>
          <w:p w14:paraId="19BF2104" w14:textId="77777777" w:rsidR="006A3D52" w:rsidRPr="006A3D52" w:rsidRDefault="006A3D52" w:rsidP="006A3D52">
            <w:pPr>
              <w:jc w:val="right"/>
              <w:rPr>
                <w:rFonts w:cstheme="minorHAnsi"/>
                <w:sz w:val="12"/>
                <w:szCs w:val="16"/>
              </w:rPr>
            </w:pPr>
            <w:r w:rsidRPr="006A3D52">
              <w:rPr>
                <w:rFonts w:cstheme="minorHAnsi"/>
                <w:sz w:val="12"/>
                <w:szCs w:val="16"/>
              </w:rPr>
              <w:t>52</w:t>
            </w:r>
          </w:p>
        </w:tc>
        <w:tc>
          <w:tcPr>
            <w:tcW w:w="460" w:type="dxa"/>
            <w:tcBorders>
              <w:top w:val="nil"/>
              <w:left w:val="nil"/>
              <w:bottom w:val="nil"/>
              <w:right w:val="nil"/>
            </w:tcBorders>
            <w:shd w:val="clear" w:color="auto" w:fill="auto"/>
            <w:vAlign w:val="bottom"/>
          </w:tcPr>
          <w:p w14:paraId="5462443C" w14:textId="77777777" w:rsidR="006A3D52" w:rsidRPr="006A3D52" w:rsidRDefault="006A3D52" w:rsidP="006A3D52">
            <w:pPr>
              <w:jc w:val="right"/>
              <w:rPr>
                <w:rFonts w:cstheme="minorHAnsi"/>
                <w:sz w:val="12"/>
                <w:szCs w:val="16"/>
              </w:rPr>
            </w:pPr>
            <w:r w:rsidRPr="006A3D52">
              <w:rPr>
                <w:rFonts w:cstheme="minorHAnsi"/>
                <w:sz w:val="12"/>
                <w:szCs w:val="16"/>
              </w:rPr>
              <w:t>53</w:t>
            </w:r>
          </w:p>
        </w:tc>
        <w:tc>
          <w:tcPr>
            <w:tcW w:w="460" w:type="dxa"/>
            <w:tcBorders>
              <w:top w:val="nil"/>
              <w:left w:val="nil"/>
              <w:bottom w:val="nil"/>
              <w:right w:val="nil"/>
            </w:tcBorders>
            <w:shd w:val="clear" w:color="auto" w:fill="auto"/>
            <w:vAlign w:val="bottom"/>
          </w:tcPr>
          <w:p w14:paraId="58E0A1F7" w14:textId="77777777" w:rsidR="006A3D52" w:rsidRPr="006A3D52" w:rsidRDefault="006A3D52" w:rsidP="006A3D52">
            <w:pPr>
              <w:jc w:val="right"/>
              <w:rPr>
                <w:rFonts w:cstheme="minorHAnsi"/>
                <w:sz w:val="12"/>
                <w:szCs w:val="16"/>
              </w:rPr>
            </w:pPr>
            <w:r w:rsidRPr="006A3D52">
              <w:rPr>
                <w:rFonts w:cstheme="minorHAnsi"/>
                <w:sz w:val="12"/>
                <w:szCs w:val="16"/>
              </w:rPr>
              <w:t>55</w:t>
            </w:r>
          </w:p>
        </w:tc>
        <w:tc>
          <w:tcPr>
            <w:tcW w:w="460" w:type="dxa"/>
            <w:tcBorders>
              <w:top w:val="nil"/>
              <w:left w:val="nil"/>
              <w:bottom w:val="nil"/>
              <w:right w:val="nil"/>
            </w:tcBorders>
            <w:shd w:val="clear" w:color="auto" w:fill="auto"/>
            <w:vAlign w:val="bottom"/>
          </w:tcPr>
          <w:p w14:paraId="3CB25759" w14:textId="77777777" w:rsidR="006A3D52" w:rsidRPr="006A3D52" w:rsidRDefault="006A3D52" w:rsidP="006A3D52">
            <w:pPr>
              <w:jc w:val="right"/>
              <w:rPr>
                <w:rFonts w:cstheme="minorHAnsi"/>
                <w:sz w:val="12"/>
                <w:szCs w:val="16"/>
              </w:rPr>
            </w:pPr>
            <w:r w:rsidRPr="006A3D52">
              <w:rPr>
                <w:rFonts w:cstheme="minorHAnsi"/>
                <w:sz w:val="12"/>
                <w:szCs w:val="16"/>
              </w:rPr>
              <w:t>56</w:t>
            </w:r>
          </w:p>
        </w:tc>
        <w:tc>
          <w:tcPr>
            <w:tcW w:w="460" w:type="dxa"/>
            <w:tcBorders>
              <w:top w:val="nil"/>
              <w:left w:val="nil"/>
              <w:bottom w:val="nil"/>
              <w:right w:val="nil"/>
            </w:tcBorders>
            <w:shd w:val="clear" w:color="auto" w:fill="auto"/>
            <w:vAlign w:val="bottom"/>
          </w:tcPr>
          <w:p w14:paraId="20CDCA46" w14:textId="77777777" w:rsidR="006A3D52" w:rsidRPr="006A3D52" w:rsidRDefault="006A3D52" w:rsidP="006A3D52">
            <w:pPr>
              <w:jc w:val="right"/>
              <w:rPr>
                <w:rFonts w:cstheme="minorHAnsi"/>
                <w:sz w:val="12"/>
                <w:szCs w:val="16"/>
              </w:rPr>
            </w:pPr>
            <w:r w:rsidRPr="006A3D52">
              <w:rPr>
                <w:rFonts w:cstheme="minorHAnsi"/>
                <w:sz w:val="12"/>
                <w:szCs w:val="16"/>
              </w:rPr>
              <w:t>57</w:t>
            </w:r>
          </w:p>
        </w:tc>
        <w:tc>
          <w:tcPr>
            <w:tcW w:w="460" w:type="dxa"/>
            <w:tcBorders>
              <w:top w:val="nil"/>
              <w:left w:val="nil"/>
              <w:bottom w:val="nil"/>
              <w:right w:val="nil"/>
            </w:tcBorders>
            <w:shd w:val="clear" w:color="auto" w:fill="auto"/>
            <w:vAlign w:val="bottom"/>
          </w:tcPr>
          <w:p w14:paraId="11D5AA36" w14:textId="77777777" w:rsidR="006A3D52" w:rsidRPr="006A3D52" w:rsidRDefault="006A3D52" w:rsidP="006A3D52">
            <w:pPr>
              <w:jc w:val="right"/>
              <w:rPr>
                <w:rFonts w:cstheme="minorHAnsi"/>
                <w:sz w:val="12"/>
                <w:szCs w:val="16"/>
              </w:rPr>
            </w:pPr>
            <w:r w:rsidRPr="006A3D52">
              <w:rPr>
                <w:rFonts w:cstheme="minorHAnsi"/>
                <w:sz w:val="12"/>
                <w:szCs w:val="16"/>
              </w:rPr>
              <w:t>58</w:t>
            </w:r>
          </w:p>
        </w:tc>
        <w:tc>
          <w:tcPr>
            <w:tcW w:w="460" w:type="dxa"/>
            <w:tcBorders>
              <w:top w:val="nil"/>
              <w:left w:val="nil"/>
              <w:bottom w:val="nil"/>
              <w:right w:val="nil"/>
            </w:tcBorders>
            <w:shd w:val="clear" w:color="auto" w:fill="auto"/>
            <w:vAlign w:val="bottom"/>
          </w:tcPr>
          <w:p w14:paraId="4CEF97BB" w14:textId="77777777" w:rsidR="006A3D52" w:rsidRPr="006A3D52" w:rsidRDefault="006A3D52" w:rsidP="006A3D52">
            <w:pPr>
              <w:jc w:val="right"/>
              <w:rPr>
                <w:rFonts w:cstheme="minorHAnsi"/>
                <w:sz w:val="12"/>
                <w:szCs w:val="16"/>
              </w:rPr>
            </w:pPr>
            <w:r w:rsidRPr="006A3D52">
              <w:rPr>
                <w:rFonts w:cstheme="minorHAnsi"/>
                <w:sz w:val="12"/>
                <w:szCs w:val="16"/>
              </w:rPr>
              <w:t>60</w:t>
            </w:r>
          </w:p>
        </w:tc>
        <w:tc>
          <w:tcPr>
            <w:tcW w:w="460" w:type="dxa"/>
            <w:tcBorders>
              <w:top w:val="nil"/>
              <w:left w:val="nil"/>
              <w:bottom w:val="nil"/>
              <w:right w:val="nil"/>
            </w:tcBorders>
            <w:shd w:val="clear" w:color="auto" w:fill="auto"/>
            <w:vAlign w:val="bottom"/>
          </w:tcPr>
          <w:p w14:paraId="1E9CD107" w14:textId="77777777" w:rsidR="006A3D52" w:rsidRPr="006A3D52" w:rsidRDefault="006A3D52" w:rsidP="006A3D52">
            <w:pPr>
              <w:jc w:val="right"/>
              <w:rPr>
                <w:rFonts w:cstheme="minorHAnsi"/>
                <w:sz w:val="12"/>
                <w:szCs w:val="16"/>
              </w:rPr>
            </w:pPr>
            <w:r w:rsidRPr="006A3D52">
              <w:rPr>
                <w:rFonts w:cstheme="minorHAnsi"/>
                <w:sz w:val="12"/>
                <w:szCs w:val="16"/>
              </w:rPr>
              <w:t>61</w:t>
            </w:r>
          </w:p>
        </w:tc>
        <w:tc>
          <w:tcPr>
            <w:tcW w:w="469" w:type="dxa"/>
            <w:tcBorders>
              <w:top w:val="nil"/>
              <w:left w:val="nil"/>
              <w:bottom w:val="nil"/>
              <w:right w:val="nil"/>
            </w:tcBorders>
            <w:shd w:val="clear" w:color="auto" w:fill="auto"/>
            <w:vAlign w:val="bottom"/>
          </w:tcPr>
          <w:p w14:paraId="010BC932" w14:textId="77777777" w:rsidR="006A3D52" w:rsidRPr="006A3D52" w:rsidRDefault="006A3D52" w:rsidP="006A3D52">
            <w:pPr>
              <w:jc w:val="right"/>
              <w:rPr>
                <w:rFonts w:cstheme="minorHAnsi"/>
                <w:sz w:val="12"/>
                <w:szCs w:val="16"/>
              </w:rPr>
            </w:pPr>
            <w:r w:rsidRPr="006A3D52">
              <w:rPr>
                <w:rFonts w:cstheme="minorHAnsi"/>
                <w:sz w:val="12"/>
                <w:szCs w:val="16"/>
              </w:rPr>
              <w:t>63</w:t>
            </w:r>
          </w:p>
        </w:tc>
      </w:tr>
      <w:tr w:rsidR="006A3D52" w14:paraId="2C7191A7" w14:textId="77777777" w:rsidTr="006A3D52">
        <w:tc>
          <w:tcPr>
            <w:tcW w:w="460" w:type="dxa"/>
            <w:tcBorders>
              <w:top w:val="nil"/>
              <w:left w:val="nil"/>
              <w:bottom w:val="single" w:sz="4" w:space="0" w:color="auto"/>
              <w:right w:val="nil"/>
            </w:tcBorders>
          </w:tcPr>
          <w:p w14:paraId="6DE29DB0" w14:textId="77777777" w:rsidR="006A3D52" w:rsidRPr="006A3D52" w:rsidRDefault="006A3D52" w:rsidP="006A3D52">
            <w:pPr>
              <w:jc w:val="right"/>
              <w:rPr>
                <w:rFonts w:cstheme="minorHAnsi"/>
                <w:sz w:val="12"/>
                <w:szCs w:val="16"/>
              </w:rPr>
            </w:pPr>
            <w:r>
              <w:rPr>
                <w:rFonts w:cstheme="minorHAnsi"/>
                <w:sz w:val="12"/>
                <w:szCs w:val="16"/>
              </w:rPr>
              <w:t>High</w:t>
            </w:r>
          </w:p>
        </w:tc>
        <w:tc>
          <w:tcPr>
            <w:tcW w:w="460" w:type="dxa"/>
            <w:tcBorders>
              <w:top w:val="nil"/>
              <w:left w:val="nil"/>
              <w:bottom w:val="single" w:sz="4" w:space="0" w:color="auto"/>
              <w:right w:val="nil"/>
            </w:tcBorders>
            <w:shd w:val="clear" w:color="auto" w:fill="auto"/>
            <w:vAlign w:val="bottom"/>
          </w:tcPr>
          <w:p w14:paraId="29C85C67" w14:textId="77777777" w:rsidR="006A3D52" w:rsidRPr="006A3D52" w:rsidRDefault="006A3D52" w:rsidP="006A3D52">
            <w:pPr>
              <w:jc w:val="right"/>
              <w:rPr>
                <w:rFonts w:cstheme="minorHAnsi"/>
                <w:sz w:val="12"/>
                <w:szCs w:val="16"/>
              </w:rPr>
            </w:pPr>
            <w:r w:rsidRPr="006A3D52">
              <w:rPr>
                <w:rFonts w:cstheme="minorHAnsi"/>
                <w:sz w:val="12"/>
                <w:szCs w:val="16"/>
              </w:rPr>
              <w:t>82</w:t>
            </w:r>
          </w:p>
        </w:tc>
        <w:tc>
          <w:tcPr>
            <w:tcW w:w="460" w:type="dxa"/>
            <w:tcBorders>
              <w:top w:val="nil"/>
              <w:left w:val="nil"/>
              <w:bottom w:val="single" w:sz="4" w:space="0" w:color="auto"/>
              <w:right w:val="nil"/>
            </w:tcBorders>
            <w:shd w:val="clear" w:color="auto" w:fill="auto"/>
            <w:vAlign w:val="bottom"/>
          </w:tcPr>
          <w:p w14:paraId="068DB1D0" w14:textId="77777777" w:rsidR="006A3D52" w:rsidRPr="006A3D52" w:rsidRDefault="006A3D52" w:rsidP="006A3D52">
            <w:pPr>
              <w:jc w:val="right"/>
              <w:rPr>
                <w:rFonts w:cstheme="minorHAnsi"/>
                <w:sz w:val="12"/>
                <w:szCs w:val="16"/>
              </w:rPr>
            </w:pPr>
            <w:r w:rsidRPr="006A3D52">
              <w:rPr>
                <w:rFonts w:cstheme="minorHAnsi"/>
                <w:sz w:val="12"/>
                <w:szCs w:val="16"/>
              </w:rPr>
              <w:t>84</w:t>
            </w:r>
          </w:p>
        </w:tc>
        <w:tc>
          <w:tcPr>
            <w:tcW w:w="460" w:type="dxa"/>
            <w:tcBorders>
              <w:top w:val="nil"/>
              <w:left w:val="nil"/>
              <w:bottom w:val="single" w:sz="4" w:space="0" w:color="auto"/>
              <w:right w:val="nil"/>
            </w:tcBorders>
            <w:shd w:val="clear" w:color="auto" w:fill="auto"/>
            <w:vAlign w:val="bottom"/>
          </w:tcPr>
          <w:p w14:paraId="04EB3C9A" w14:textId="77777777" w:rsidR="006A3D52" w:rsidRPr="006A3D52" w:rsidRDefault="006A3D52" w:rsidP="006A3D52">
            <w:pPr>
              <w:jc w:val="right"/>
              <w:rPr>
                <w:rFonts w:cstheme="minorHAnsi"/>
                <w:sz w:val="12"/>
                <w:szCs w:val="16"/>
              </w:rPr>
            </w:pPr>
            <w:r w:rsidRPr="006A3D52">
              <w:rPr>
                <w:rFonts w:cstheme="minorHAnsi"/>
                <w:sz w:val="12"/>
                <w:szCs w:val="16"/>
              </w:rPr>
              <w:t>86</w:t>
            </w:r>
          </w:p>
        </w:tc>
        <w:tc>
          <w:tcPr>
            <w:tcW w:w="460" w:type="dxa"/>
            <w:tcBorders>
              <w:top w:val="nil"/>
              <w:left w:val="nil"/>
              <w:bottom w:val="single" w:sz="4" w:space="0" w:color="auto"/>
              <w:right w:val="nil"/>
            </w:tcBorders>
            <w:shd w:val="clear" w:color="auto" w:fill="auto"/>
            <w:vAlign w:val="bottom"/>
          </w:tcPr>
          <w:p w14:paraId="4F8090B9" w14:textId="77777777" w:rsidR="006A3D52" w:rsidRPr="006A3D52" w:rsidRDefault="006A3D52" w:rsidP="006A3D52">
            <w:pPr>
              <w:jc w:val="right"/>
              <w:rPr>
                <w:rFonts w:cstheme="minorHAnsi"/>
                <w:sz w:val="12"/>
                <w:szCs w:val="16"/>
              </w:rPr>
            </w:pPr>
            <w:r w:rsidRPr="006A3D52">
              <w:rPr>
                <w:rFonts w:cstheme="minorHAnsi"/>
                <w:sz w:val="12"/>
                <w:szCs w:val="16"/>
              </w:rPr>
              <w:t>87</w:t>
            </w:r>
          </w:p>
        </w:tc>
        <w:tc>
          <w:tcPr>
            <w:tcW w:w="460" w:type="dxa"/>
            <w:tcBorders>
              <w:top w:val="nil"/>
              <w:left w:val="nil"/>
              <w:bottom w:val="single" w:sz="4" w:space="0" w:color="auto"/>
              <w:right w:val="nil"/>
            </w:tcBorders>
            <w:shd w:val="clear" w:color="auto" w:fill="auto"/>
            <w:vAlign w:val="bottom"/>
          </w:tcPr>
          <w:p w14:paraId="123CEC91" w14:textId="77777777" w:rsidR="006A3D52" w:rsidRPr="006A3D52" w:rsidRDefault="006A3D52" w:rsidP="006A3D52">
            <w:pPr>
              <w:jc w:val="right"/>
              <w:rPr>
                <w:rFonts w:cstheme="minorHAnsi"/>
                <w:sz w:val="12"/>
                <w:szCs w:val="16"/>
              </w:rPr>
            </w:pPr>
            <w:r w:rsidRPr="006A3D52">
              <w:rPr>
                <w:rFonts w:cstheme="minorHAnsi"/>
                <w:sz w:val="12"/>
                <w:szCs w:val="16"/>
              </w:rPr>
              <w:t>89</w:t>
            </w:r>
          </w:p>
        </w:tc>
        <w:tc>
          <w:tcPr>
            <w:tcW w:w="460" w:type="dxa"/>
            <w:tcBorders>
              <w:top w:val="nil"/>
              <w:left w:val="nil"/>
              <w:bottom w:val="single" w:sz="4" w:space="0" w:color="auto"/>
              <w:right w:val="nil"/>
            </w:tcBorders>
            <w:shd w:val="clear" w:color="auto" w:fill="auto"/>
            <w:vAlign w:val="bottom"/>
          </w:tcPr>
          <w:p w14:paraId="464C249B" w14:textId="77777777" w:rsidR="006A3D52" w:rsidRPr="006A3D52" w:rsidRDefault="006A3D52" w:rsidP="006A3D52">
            <w:pPr>
              <w:jc w:val="right"/>
              <w:rPr>
                <w:rFonts w:cstheme="minorHAnsi"/>
                <w:sz w:val="12"/>
                <w:szCs w:val="16"/>
              </w:rPr>
            </w:pPr>
            <w:r w:rsidRPr="006A3D52">
              <w:rPr>
                <w:rFonts w:cstheme="minorHAnsi"/>
                <w:sz w:val="12"/>
                <w:szCs w:val="16"/>
              </w:rPr>
              <w:t>91</w:t>
            </w:r>
          </w:p>
        </w:tc>
        <w:tc>
          <w:tcPr>
            <w:tcW w:w="460" w:type="dxa"/>
            <w:tcBorders>
              <w:top w:val="nil"/>
              <w:left w:val="nil"/>
              <w:bottom w:val="single" w:sz="4" w:space="0" w:color="auto"/>
              <w:right w:val="nil"/>
            </w:tcBorders>
            <w:shd w:val="clear" w:color="auto" w:fill="auto"/>
            <w:vAlign w:val="bottom"/>
          </w:tcPr>
          <w:p w14:paraId="72253568" w14:textId="77777777" w:rsidR="006A3D52" w:rsidRPr="006A3D52" w:rsidRDefault="006A3D52" w:rsidP="006A3D52">
            <w:pPr>
              <w:jc w:val="right"/>
              <w:rPr>
                <w:rFonts w:cstheme="minorHAnsi"/>
                <w:sz w:val="12"/>
                <w:szCs w:val="16"/>
              </w:rPr>
            </w:pPr>
            <w:r w:rsidRPr="006A3D52">
              <w:rPr>
                <w:rFonts w:cstheme="minorHAnsi"/>
                <w:sz w:val="12"/>
                <w:szCs w:val="16"/>
              </w:rPr>
              <w:t>94</w:t>
            </w:r>
          </w:p>
        </w:tc>
        <w:tc>
          <w:tcPr>
            <w:tcW w:w="460" w:type="dxa"/>
            <w:tcBorders>
              <w:top w:val="nil"/>
              <w:left w:val="nil"/>
              <w:bottom w:val="single" w:sz="4" w:space="0" w:color="auto"/>
              <w:right w:val="nil"/>
            </w:tcBorders>
            <w:shd w:val="clear" w:color="auto" w:fill="auto"/>
            <w:vAlign w:val="bottom"/>
          </w:tcPr>
          <w:p w14:paraId="187ED497" w14:textId="77777777" w:rsidR="006A3D52" w:rsidRPr="006A3D52" w:rsidRDefault="006A3D52" w:rsidP="006A3D52">
            <w:pPr>
              <w:jc w:val="right"/>
              <w:rPr>
                <w:rFonts w:cstheme="minorHAnsi"/>
                <w:sz w:val="12"/>
                <w:szCs w:val="16"/>
              </w:rPr>
            </w:pPr>
            <w:r w:rsidRPr="006A3D52">
              <w:rPr>
                <w:rFonts w:cstheme="minorHAnsi"/>
                <w:sz w:val="12"/>
                <w:szCs w:val="16"/>
              </w:rPr>
              <w:t>96</w:t>
            </w:r>
          </w:p>
        </w:tc>
        <w:tc>
          <w:tcPr>
            <w:tcW w:w="460" w:type="dxa"/>
            <w:tcBorders>
              <w:top w:val="nil"/>
              <w:left w:val="nil"/>
              <w:bottom w:val="single" w:sz="4" w:space="0" w:color="auto"/>
              <w:right w:val="nil"/>
            </w:tcBorders>
            <w:shd w:val="clear" w:color="auto" w:fill="auto"/>
            <w:vAlign w:val="bottom"/>
          </w:tcPr>
          <w:p w14:paraId="54AE576E" w14:textId="77777777" w:rsidR="006A3D52" w:rsidRPr="006A3D52" w:rsidRDefault="006A3D52" w:rsidP="006A3D52">
            <w:pPr>
              <w:jc w:val="right"/>
              <w:rPr>
                <w:rFonts w:cstheme="minorHAnsi"/>
                <w:sz w:val="12"/>
                <w:szCs w:val="16"/>
              </w:rPr>
            </w:pPr>
            <w:r w:rsidRPr="006A3D52">
              <w:rPr>
                <w:rFonts w:cstheme="minorHAnsi"/>
                <w:sz w:val="12"/>
                <w:szCs w:val="16"/>
              </w:rPr>
              <w:t>98</w:t>
            </w:r>
          </w:p>
        </w:tc>
        <w:tc>
          <w:tcPr>
            <w:tcW w:w="460" w:type="dxa"/>
            <w:tcBorders>
              <w:top w:val="nil"/>
              <w:left w:val="nil"/>
              <w:bottom w:val="single" w:sz="4" w:space="0" w:color="auto"/>
              <w:right w:val="nil"/>
            </w:tcBorders>
            <w:shd w:val="clear" w:color="auto" w:fill="auto"/>
            <w:vAlign w:val="bottom"/>
          </w:tcPr>
          <w:p w14:paraId="3F5D081A" w14:textId="77777777" w:rsidR="006A3D52" w:rsidRPr="006A3D52" w:rsidRDefault="006A3D52" w:rsidP="006A3D52">
            <w:pPr>
              <w:jc w:val="right"/>
              <w:rPr>
                <w:rFonts w:cstheme="minorHAnsi"/>
                <w:sz w:val="12"/>
                <w:szCs w:val="16"/>
              </w:rPr>
            </w:pPr>
            <w:r w:rsidRPr="006A3D52">
              <w:rPr>
                <w:rFonts w:cstheme="minorHAnsi"/>
                <w:sz w:val="12"/>
                <w:szCs w:val="16"/>
              </w:rPr>
              <w:t>100</w:t>
            </w:r>
          </w:p>
        </w:tc>
        <w:tc>
          <w:tcPr>
            <w:tcW w:w="460" w:type="dxa"/>
            <w:tcBorders>
              <w:top w:val="nil"/>
              <w:left w:val="nil"/>
              <w:bottom w:val="single" w:sz="4" w:space="0" w:color="auto"/>
              <w:right w:val="nil"/>
            </w:tcBorders>
            <w:shd w:val="clear" w:color="auto" w:fill="auto"/>
            <w:vAlign w:val="bottom"/>
          </w:tcPr>
          <w:p w14:paraId="6F0CB1EC" w14:textId="77777777" w:rsidR="006A3D52" w:rsidRPr="006A3D52" w:rsidRDefault="006A3D52" w:rsidP="006A3D52">
            <w:pPr>
              <w:jc w:val="right"/>
              <w:rPr>
                <w:rFonts w:cstheme="minorHAnsi"/>
                <w:sz w:val="12"/>
                <w:szCs w:val="16"/>
              </w:rPr>
            </w:pPr>
            <w:r w:rsidRPr="006A3D52">
              <w:rPr>
                <w:rFonts w:cstheme="minorHAnsi"/>
                <w:sz w:val="12"/>
                <w:szCs w:val="16"/>
              </w:rPr>
              <w:t>102</w:t>
            </w:r>
          </w:p>
        </w:tc>
        <w:tc>
          <w:tcPr>
            <w:tcW w:w="460" w:type="dxa"/>
            <w:tcBorders>
              <w:top w:val="nil"/>
              <w:left w:val="nil"/>
              <w:bottom w:val="single" w:sz="4" w:space="0" w:color="auto"/>
              <w:right w:val="nil"/>
            </w:tcBorders>
            <w:shd w:val="clear" w:color="auto" w:fill="auto"/>
            <w:vAlign w:val="bottom"/>
          </w:tcPr>
          <w:p w14:paraId="55129AD3" w14:textId="77777777" w:rsidR="006A3D52" w:rsidRPr="006A3D52" w:rsidRDefault="006A3D52" w:rsidP="006A3D52">
            <w:pPr>
              <w:jc w:val="right"/>
              <w:rPr>
                <w:rFonts w:cstheme="minorHAnsi"/>
                <w:sz w:val="12"/>
                <w:szCs w:val="16"/>
              </w:rPr>
            </w:pPr>
            <w:r w:rsidRPr="006A3D52">
              <w:rPr>
                <w:rFonts w:cstheme="minorHAnsi"/>
                <w:sz w:val="12"/>
                <w:szCs w:val="16"/>
              </w:rPr>
              <w:t>105</w:t>
            </w:r>
          </w:p>
        </w:tc>
        <w:tc>
          <w:tcPr>
            <w:tcW w:w="460" w:type="dxa"/>
            <w:tcBorders>
              <w:top w:val="nil"/>
              <w:left w:val="nil"/>
              <w:bottom w:val="single" w:sz="4" w:space="0" w:color="auto"/>
              <w:right w:val="nil"/>
            </w:tcBorders>
            <w:shd w:val="clear" w:color="auto" w:fill="auto"/>
            <w:vAlign w:val="bottom"/>
          </w:tcPr>
          <w:p w14:paraId="45CA86AA" w14:textId="77777777" w:rsidR="006A3D52" w:rsidRPr="006A3D52" w:rsidRDefault="006A3D52" w:rsidP="006A3D52">
            <w:pPr>
              <w:jc w:val="right"/>
              <w:rPr>
                <w:rFonts w:cstheme="minorHAnsi"/>
                <w:sz w:val="12"/>
                <w:szCs w:val="16"/>
              </w:rPr>
            </w:pPr>
            <w:r w:rsidRPr="006A3D52">
              <w:rPr>
                <w:rFonts w:cstheme="minorHAnsi"/>
                <w:sz w:val="12"/>
                <w:szCs w:val="16"/>
              </w:rPr>
              <w:t>105</w:t>
            </w:r>
          </w:p>
        </w:tc>
        <w:tc>
          <w:tcPr>
            <w:tcW w:w="460" w:type="dxa"/>
            <w:tcBorders>
              <w:top w:val="nil"/>
              <w:left w:val="nil"/>
              <w:bottom w:val="single" w:sz="4" w:space="0" w:color="auto"/>
              <w:right w:val="nil"/>
            </w:tcBorders>
            <w:shd w:val="clear" w:color="auto" w:fill="auto"/>
            <w:vAlign w:val="bottom"/>
          </w:tcPr>
          <w:p w14:paraId="059D04D3" w14:textId="77777777" w:rsidR="006A3D52" w:rsidRPr="006A3D52" w:rsidRDefault="006A3D52" w:rsidP="006A3D52">
            <w:pPr>
              <w:jc w:val="right"/>
              <w:rPr>
                <w:rFonts w:cstheme="minorHAnsi"/>
                <w:sz w:val="12"/>
                <w:szCs w:val="16"/>
              </w:rPr>
            </w:pPr>
            <w:r w:rsidRPr="006A3D52">
              <w:rPr>
                <w:rFonts w:cstheme="minorHAnsi"/>
                <w:sz w:val="12"/>
                <w:szCs w:val="16"/>
              </w:rPr>
              <w:t>109</w:t>
            </w:r>
          </w:p>
        </w:tc>
        <w:tc>
          <w:tcPr>
            <w:tcW w:w="460" w:type="dxa"/>
            <w:tcBorders>
              <w:top w:val="nil"/>
              <w:left w:val="nil"/>
              <w:bottom w:val="single" w:sz="4" w:space="0" w:color="auto"/>
              <w:right w:val="nil"/>
            </w:tcBorders>
            <w:shd w:val="clear" w:color="auto" w:fill="auto"/>
            <w:vAlign w:val="bottom"/>
          </w:tcPr>
          <w:p w14:paraId="73CEB6B1" w14:textId="77777777" w:rsidR="006A3D52" w:rsidRPr="006A3D52" w:rsidRDefault="006A3D52" w:rsidP="006A3D52">
            <w:pPr>
              <w:jc w:val="right"/>
              <w:rPr>
                <w:rFonts w:cstheme="minorHAnsi"/>
                <w:sz w:val="12"/>
                <w:szCs w:val="16"/>
              </w:rPr>
            </w:pPr>
            <w:r w:rsidRPr="006A3D52">
              <w:rPr>
                <w:rFonts w:cstheme="minorHAnsi"/>
                <w:sz w:val="12"/>
                <w:szCs w:val="16"/>
              </w:rPr>
              <w:t>112</w:t>
            </w:r>
          </w:p>
        </w:tc>
        <w:tc>
          <w:tcPr>
            <w:tcW w:w="460" w:type="dxa"/>
            <w:tcBorders>
              <w:top w:val="nil"/>
              <w:left w:val="nil"/>
              <w:bottom w:val="single" w:sz="4" w:space="0" w:color="auto"/>
              <w:right w:val="nil"/>
            </w:tcBorders>
            <w:shd w:val="clear" w:color="auto" w:fill="auto"/>
            <w:vAlign w:val="bottom"/>
          </w:tcPr>
          <w:p w14:paraId="5C438C4D" w14:textId="77777777" w:rsidR="006A3D52" w:rsidRPr="006A3D52" w:rsidRDefault="006A3D52" w:rsidP="006A3D52">
            <w:pPr>
              <w:jc w:val="right"/>
              <w:rPr>
                <w:rFonts w:cstheme="minorHAnsi"/>
                <w:sz w:val="12"/>
                <w:szCs w:val="16"/>
              </w:rPr>
            </w:pPr>
            <w:r w:rsidRPr="006A3D52">
              <w:rPr>
                <w:rFonts w:cstheme="minorHAnsi"/>
                <w:sz w:val="12"/>
                <w:szCs w:val="16"/>
              </w:rPr>
              <w:t>114</w:t>
            </w:r>
          </w:p>
        </w:tc>
        <w:tc>
          <w:tcPr>
            <w:tcW w:w="460" w:type="dxa"/>
            <w:tcBorders>
              <w:top w:val="nil"/>
              <w:left w:val="nil"/>
              <w:bottom w:val="single" w:sz="4" w:space="0" w:color="auto"/>
              <w:right w:val="nil"/>
            </w:tcBorders>
            <w:shd w:val="clear" w:color="auto" w:fill="auto"/>
            <w:vAlign w:val="bottom"/>
          </w:tcPr>
          <w:p w14:paraId="266A444F" w14:textId="77777777" w:rsidR="006A3D52" w:rsidRPr="006A3D52" w:rsidRDefault="006A3D52" w:rsidP="006A3D52">
            <w:pPr>
              <w:jc w:val="right"/>
              <w:rPr>
                <w:rFonts w:cstheme="minorHAnsi"/>
                <w:sz w:val="12"/>
                <w:szCs w:val="16"/>
              </w:rPr>
            </w:pPr>
            <w:r w:rsidRPr="006A3D52">
              <w:rPr>
                <w:rFonts w:cstheme="minorHAnsi"/>
                <w:sz w:val="12"/>
                <w:szCs w:val="16"/>
              </w:rPr>
              <w:t>117</w:t>
            </w:r>
          </w:p>
        </w:tc>
        <w:tc>
          <w:tcPr>
            <w:tcW w:w="460" w:type="dxa"/>
            <w:tcBorders>
              <w:top w:val="nil"/>
              <w:left w:val="nil"/>
              <w:bottom w:val="single" w:sz="4" w:space="0" w:color="auto"/>
              <w:right w:val="nil"/>
            </w:tcBorders>
            <w:shd w:val="clear" w:color="auto" w:fill="auto"/>
            <w:vAlign w:val="bottom"/>
          </w:tcPr>
          <w:p w14:paraId="55CB5879" w14:textId="77777777" w:rsidR="006A3D52" w:rsidRPr="006A3D52" w:rsidRDefault="006A3D52" w:rsidP="006A3D52">
            <w:pPr>
              <w:jc w:val="right"/>
              <w:rPr>
                <w:rFonts w:cstheme="minorHAnsi"/>
                <w:sz w:val="12"/>
                <w:szCs w:val="16"/>
              </w:rPr>
            </w:pPr>
            <w:r w:rsidRPr="006A3D52">
              <w:rPr>
                <w:rFonts w:cstheme="minorHAnsi"/>
                <w:sz w:val="12"/>
                <w:szCs w:val="16"/>
              </w:rPr>
              <w:t>120</w:t>
            </w:r>
          </w:p>
        </w:tc>
        <w:tc>
          <w:tcPr>
            <w:tcW w:w="460" w:type="dxa"/>
            <w:tcBorders>
              <w:top w:val="nil"/>
              <w:left w:val="nil"/>
              <w:bottom w:val="single" w:sz="4" w:space="0" w:color="auto"/>
              <w:right w:val="nil"/>
            </w:tcBorders>
            <w:shd w:val="clear" w:color="auto" w:fill="auto"/>
            <w:vAlign w:val="bottom"/>
          </w:tcPr>
          <w:p w14:paraId="750E08A0" w14:textId="77777777" w:rsidR="006A3D52" w:rsidRPr="006A3D52" w:rsidRDefault="006A3D52" w:rsidP="006A3D52">
            <w:pPr>
              <w:jc w:val="right"/>
              <w:rPr>
                <w:rFonts w:cstheme="minorHAnsi"/>
                <w:sz w:val="12"/>
                <w:szCs w:val="16"/>
              </w:rPr>
            </w:pPr>
            <w:r w:rsidRPr="006A3D52">
              <w:rPr>
                <w:rFonts w:cstheme="minorHAnsi"/>
                <w:sz w:val="12"/>
                <w:szCs w:val="16"/>
              </w:rPr>
              <w:t>122</w:t>
            </w:r>
          </w:p>
        </w:tc>
        <w:tc>
          <w:tcPr>
            <w:tcW w:w="469" w:type="dxa"/>
            <w:tcBorders>
              <w:top w:val="nil"/>
              <w:left w:val="nil"/>
              <w:bottom w:val="single" w:sz="4" w:space="0" w:color="auto"/>
              <w:right w:val="nil"/>
            </w:tcBorders>
            <w:shd w:val="clear" w:color="auto" w:fill="auto"/>
            <w:vAlign w:val="bottom"/>
          </w:tcPr>
          <w:p w14:paraId="366DC6D4" w14:textId="77777777" w:rsidR="006A3D52" w:rsidRPr="006A3D52" w:rsidRDefault="006A3D52" w:rsidP="006A3D52">
            <w:pPr>
              <w:jc w:val="right"/>
              <w:rPr>
                <w:rFonts w:cstheme="minorHAnsi"/>
                <w:sz w:val="12"/>
                <w:szCs w:val="16"/>
              </w:rPr>
            </w:pPr>
            <w:r w:rsidRPr="006A3D52">
              <w:rPr>
                <w:rFonts w:cstheme="minorHAnsi"/>
                <w:sz w:val="12"/>
                <w:szCs w:val="16"/>
              </w:rPr>
              <w:t>125</w:t>
            </w:r>
          </w:p>
        </w:tc>
      </w:tr>
    </w:tbl>
    <w:p w14:paraId="1BED76F5" w14:textId="77777777" w:rsidR="000415E0" w:rsidRDefault="00052E6C" w:rsidP="00163172">
      <w:pPr>
        <w:jc w:val="both"/>
        <w:rPr>
          <w:rFonts w:cstheme="minorHAnsi"/>
          <w:sz w:val="16"/>
        </w:rPr>
      </w:pPr>
      <w:r w:rsidRPr="00052E6C">
        <w:rPr>
          <w:rFonts w:cstheme="minorHAnsi"/>
          <w:sz w:val="16"/>
        </w:rPr>
        <w:t>Source: World Bank</w:t>
      </w:r>
      <w:r>
        <w:rPr>
          <w:rFonts w:cstheme="minorHAnsi"/>
          <w:sz w:val="16"/>
        </w:rPr>
        <w:t>,</w:t>
      </w:r>
      <w:r w:rsidRPr="00052E6C">
        <w:rPr>
          <w:rFonts w:cstheme="minorHAnsi"/>
          <w:sz w:val="16"/>
        </w:rPr>
        <w:t xml:space="preserve"> </w:t>
      </w:r>
      <w:r>
        <w:rPr>
          <w:rFonts w:cstheme="minorHAnsi"/>
          <w:sz w:val="16"/>
        </w:rPr>
        <w:t>‘</w:t>
      </w:r>
      <w:r w:rsidRPr="00052E6C">
        <w:rPr>
          <w:rFonts w:cstheme="minorHAnsi"/>
          <w:sz w:val="16"/>
        </w:rPr>
        <w:t>Guidance note on shadow price of carbon in economic analysis</w:t>
      </w:r>
      <w:r>
        <w:rPr>
          <w:rFonts w:cstheme="minorHAnsi"/>
          <w:sz w:val="16"/>
        </w:rPr>
        <w:t>’</w:t>
      </w:r>
      <w:r w:rsidRPr="00052E6C">
        <w:rPr>
          <w:rFonts w:cstheme="minorHAnsi"/>
          <w:sz w:val="16"/>
        </w:rPr>
        <w:t xml:space="preserve">, November 2017, </w:t>
      </w:r>
    </w:p>
    <w:p w14:paraId="7FF94CD2" w14:textId="77777777" w:rsidR="0035513D" w:rsidRDefault="0035513D" w:rsidP="00163172">
      <w:pPr>
        <w:jc w:val="both"/>
        <w:rPr>
          <w:rFonts w:eastAsiaTheme="minorEastAsia" w:cstheme="minorHAnsi"/>
          <w:color w:val="000000"/>
        </w:rPr>
      </w:pPr>
    </w:p>
    <w:p w14:paraId="1A0520DB" w14:textId="77777777" w:rsidR="0035513D" w:rsidRDefault="0035513D">
      <w:pPr>
        <w:rPr>
          <w:rFonts w:eastAsiaTheme="minorEastAsia" w:cstheme="minorHAnsi"/>
          <w:color w:val="000000"/>
        </w:rPr>
      </w:pPr>
      <w:r>
        <w:rPr>
          <w:rFonts w:eastAsiaTheme="minorEastAsia" w:cstheme="minorHAnsi"/>
          <w:color w:val="000000"/>
        </w:rPr>
        <w:br w:type="page"/>
      </w:r>
    </w:p>
    <w:p w14:paraId="51CA421B" w14:textId="77777777" w:rsidR="0035513D" w:rsidRDefault="0035513D" w:rsidP="0035513D"/>
    <w:p w14:paraId="5756E9C3" w14:textId="77777777" w:rsidR="0035513D" w:rsidRDefault="0035513D" w:rsidP="0035513D"/>
    <w:p w14:paraId="3C52C385" w14:textId="77777777" w:rsidR="0035513D" w:rsidRDefault="0035513D" w:rsidP="0035513D"/>
    <w:p w14:paraId="4E238B73" w14:textId="77777777" w:rsidR="0035513D" w:rsidRDefault="0035513D" w:rsidP="0035513D"/>
    <w:p w14:paraId="44A99537" w14:textId="77777777" w:rsidR="0035513D" w:rsidRDefault="0035513D" w:rsidP="0035513D"/>
    <w:p w14:paraId="38CE4209" w14:textId="77777777" w:rsidR="0035513D" w:rsidRDefault="0035513D" w:rsidP="0035513D"/>
    <w:p w14:paraId="5BC8320D" w14:textId="77777777" w:rsidR="0035513D" w:rsidRDefault="0035513D" w:rsidP="0035513D"/>
    <w:p w14:paraId="2A35144F" w14:textId="77777777" w:rsidR="0035513D" w:rsidRDefault="0035513D" w:rsidP="0035513D"/>
    <w:p w14:paraId="5158F0A4" w14:textId="77777777" w:rsidR="0035513D" w:rsidRDefault="0035513D" w:rsidP="0035513D"/>
    <w:p w14:paraId="5C14AA87" w14:textId="77777777" w:rsidR="0035513D" w:rsidRDefault="0035513D" w:rsidP="0035513D"/>
    <w:p w14:paraId="1FDEECEA" w14:textId="77777777" w:rsidR="0035513D" w:rsidRDefault="0035513D" w:rsidP="0035513D"/>
    <w:p w14:paraId="463387C0" w14:textId="77777777" w:rsidR="0035513D" w:rsidRDefault="0035513D" w:rsidP="0035513D"/>
    <w:p w14:paraId="41EBBA2D" w14:textId="77777777" w:rsidR="0035513D" w:rsidRDefault="0035513D" w:rsidP="0035513D"/>
    <w:p w14:paraId="0B5219A2" w14:textId="77777777" w:rsidR="0035513D" w:rsidRDefault="0035513D" w:rsidP="0035513D">
      <w:pPr>
        <w:pStyle w:val="Heading2"/>
        <w:jc w:val="center"/>
        <w:rPr>
          <w:rFonts w:eastAsiaTheme="minorEastAsia"/>
        </w:rPr>
      </w:pPr>
      <w:bookmarkStart w:id="35" w:name="_Toc38031623"/>
      <w:r>
        <w:rPr>
          <w:rFonts w:eastAsiaTheme="minorEastAsia"/>
        </w:rPr>
        <w:t>Appendices</w:t>
      </w:r>
      <w:bookmarkEnd w:id="35"/>
    </w:p>
    <w:p w14:paraId="67AE01B0" w14:textId="77777777" w:rsidR="0035513D" w:rsidRPr="0035513D" w:rsidRDefault="0035513D" w:rsidP="00163172">
      <w:pPr>
        <w:jc w:val="both"/>
        <w:rPr>
          <w:rFonts w:eastAsiaTheme="minorEastAsia" w:cstheme="minorHAnsi"/>
          <w:color w:val="000000"/>
        </w:rPr>
      </w:pPr>
    </w:p>
    <w:p w14:paraId="1983B2BA" w14:textId="77777777" w:rsidR="0035513D" w:rsidRDefault="0035513D">
      <w:pPr>
        <w:rPr>
          <w:rFonts w:cstheme="minorHAnsi"/>
          <w:sz w:val="16"/>
        </w:rPr>
      </w:pPr>
      <w:r>
        <w:rPr>
          <w:rFonts w:cstheme="minorHAnsi"/>
          <w:sz w:val="16"/>
        </w:rPr>
        <w:br w:type="page"/>
      </w:r>
    </w:p>
    <w:p w14:paraId="6C6C51B9" w14:textId="77777777" w:rsidR="0035513D" w:rsidRDefault="00171DBE">
      <w:pPr>
        <w:pStyle w:val="Heading2"/>
      </w:pPr>
      <w:bookmarkStart w:id="36" w:name="_Toc38031624"/>
      <w:r>
        <w:lastRenderedPageBreak/>
        <w:t xml:space="preserve">Appendix 1: Financial </w:t>
      </w:r>
      <w:r w:rsidR="00233A15">
        <w:t xml:space="preserve">and Economic </w:t>
      </w:r>
      <w:r>
        <w:t>Analysis Tables</w:t>
      </w:r>
      <w:bookmarkEnd w:id="36"/>
    </w:p>
    <w:p w14:paraId="12882357" w14:textId="77777777" w:rsidR="00171DBE" w:rsidRDefault="00171DBE" w:rsidP="00171DBE"/>
    <w:p w14:paraId="0BC08146" w14:textId="77777777" w:rsidR="0072412E" w:rsidRDefault="0072412E" w:rsidP="00171DBE">
      <w:r>
        <w:t>Table 1: Conversion Factors</w:t>
      </w:r>
    </w:p>
    <w:p w14:paraId="732C0489" w14:textId="77777777" w:rsidR="0072412E" w:rsidRDefault="0072412E" w:rsidP="00171DBE">
      <w:r w:rsidRPr="0072412E">
        <w:rPr>
          <w:noProof/>
          <w:lang w:val="en-GB" w:eastAsia="en-GB"/>
        </w:rPr>
        <w:drawing>
          <wp:inline distT="0" distB="0" distL="0" distR="0" wp14:anchorId="2B2FE959" wp14:editId="6817B480">
            <wp:extent cx="3543300" cy="37242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543300" cy="3724275"/>
                    </a:xfrm>
                    <a:prstGeom prst="rect">
                      <a:avLst/>
                    </a:prstGeom>
                    <a:noFill/>
                    <a:ln>
                      <a:noFill/>
                    </a:ln>
                  </pic:spPr>
                </pic:pic>
              </a:graphicData>
            </a:graphic>
          </wp:inline>
        </w:drawing>
      </w:r>
    </w:p>
    <w:p w14:paraId="7AB6FF1E" w14:textId="77777777" w:rsidR="0072412E" w:rsidRPr="00171DBE" w:rsidRDefault="0072412E" w:rsidP="00171DBE"/>
    <w:p w14:paraId="59660BC5" w14:textId="77777777" w:rsidR="0072412E" w:rsidRDefault="0072412E">
      <w:r>
        <w:br w:type="page"/>
      </w:r>
    </w:p>
    <w:p w14:paraId="3ADE77BB" w14:textId="77777777" w:rsidR="0072412E" w:rsidRDefault="0072412E" w:rsidP="0035513D">
      <w:r>
        <w:lastRenderedPageBreak/>
        <w:t xml:space="preserve">Table 2: Financial </w:t>
      </w:r>
      <w:r w:rsidR="00335039">
        <w:t xml:space="preserve">and Economic </w:t>
      </w:r>
      <w:r>
        <w:t>Prices</w:t>
      </w:r>
    </w:p>
    <w:p w14:paraId="03A421BF" w14:textId="77777777" w:rsidR="0035513D" w:rsidRDefault="00335039" w:rsidP="0035513D">
      <w:r w:rsidRPr="00335039">
        <w:rPr>
          <w:noProof/>
          <w:lang w:val="en-GB" w:eastAsia="en-GB"/>
        </w:rPr>
        <w:drawing>
          <wp:inline distT="0" distB="0" distL="0" distR="0" wp14:anchorId="7074830A" wp14:editId="40D41018">
            <wp:extent cx="5732145" cy="6872370"/>
            <wp:effectExtent l="0" t="0" r="190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2145" cy="6872370"/>
                    </a:xfrm>
                    <a:prstGeom prst="rect">
                      <a:avLst/>
                    </a:prstGeom>
                    <a:noFill/>
                    <a:ln>
                      <a:noFill/>
                    </a:ln>
                  </pic:spPr>
                </pic:pic>
              </a:graphicData>
            </a:graphic>
          </wp:inline>
        </w:drawing>
      </w:r>
    </w:p>
    <w:p w14:paraId="4AAF4393" w14:textId="77777777" w:rsidR="005E69AC" w:rsidRDefault="005E69AC" w:rsidP="0035513D"/>
    <w:p w14:paraId="40C0382B" w14:textId="77777777" w:rsidR="005E69AC" w:rsidRDefault="005E69AC">
      <w:r>
        <w:br w:type="page"/>
      </w:r>
    </w:p>
    <w:p w14:paraId="29379454" w14:textId="77777777" w:rsidR="005E69AC" w:rsidRDefault="005E69AC" w:rsidP="0035513D">
      <w:r>
        <w:lastRenderedPageBreak/>
        <w:t>Table 3: Aggregation table</w:t>
      </w:r>
    </w:p>
    <w:p w14:paraId="544211A9" w14:textId="77777777" w:rsidR="005E69AC" w:rsidRDefault="005E69AC" w:rsidP="0035513D"/>
    <w:p w14:paraId="05AC749D" w14:textId="77777777" w:rsidR="005E69AC" w:rsidRDefault="00C6639E" w:rsidP="0035513D">
      <w:r w:rsidRPr="00C6639E">
        <w:rPr>
          <w:noProof/>
          <w:lang w:val="en-GB" w:eastAsia="en-GB"/>
        </w:rPr>
        <w:drawing>
          <wp:inline distT="0" distB="0" distL="0" distR="0" wp14:anchorId="227A2D21" wp14:editId="44221E9C">
            <wp:extent cx="4763135" cy="866775"/>
            <wp:effectExtent l="0" t="0" r="0" b="952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763135" cy="866775"/>
                    </a:xfrm>
                    <a:prstGeom prst="rect">
                      <a:avLst/>
                    </a:prstGeom>
                    <a:noFill/>
                    <a:ln>
                      <a:noFill/>
                    </a:ln>
                  </pic:spPr>
                </pic:pic>
              </a:graphicData>
            </a:graphic>
          </wp:inline>
        </w:drawing>
      </w:r>
    </w:p>
    <w:p w14:paraId="440253F2" w14:textId="77777777" w:rsidR="005E69AC" w:rsidRDefault="005E69AC" w:rsidP="0035513D"/>
    <w:p w14:paraId="285B4B80" w14:textId="77777777" w:rsidR="005E69AC" w:rsidRDefault="005E69AC" w:rsidP="0035513D"/>
    <w:p w14:paraId="516C2625" w14:textId="77777777" w:rsidR="005E69AC" w:rsidRDefault="005E69AC" w:rsidP="0035513D">
      <w:r>
        <w:t>Table 4: Livestock data</w:t>
      </w:r>
    </w:p>
    <w:p w14:paraId="3D003F92" w14:textId="77777777" w:rsidR="005E69AC" w:rsidRDefault="005E69AC" w:rsidP="0035513D">
      <w:r w:rsidRPr="005E69AC">
        <w:rPr>
          <w:noProof/>
          <w:lang w:val="en-GB" w:eastAsia="en-GB"/>
        </w:rPr>
        <w:drawing>
          <wp:inline distT="0" distB="0" distL="0" distR="0" wp14:anchorId="6BFD156B" wp14:editId="672BA666">
            <wp:extent cx="5732145" cy="2831851"/>
            <wp:effectExtent l="0" t="0" r="190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2145" cy="2831851"/>
                    </a:xfrm>
                    <a:prstGeom prst="rect">
                      <a:avLst/>
                    </a:prstGeom>
                    <a:noFill/>
                    <a:ln>
                      <a:noFill/>
                    </a:ln>
                  </pic:spPr>
                </pic:pic>
              </a:graphicData>
            </a:graphic>
          </wp:inline>
        </w:drawing>
      </w:r>
    </w:p>
    <w:p w14:paraId="4D938D9E" w14:textId="77777777" w:rsidR="005E69AC" w:rsidRDefault="005E69AC" w:rsidP="0035513D"/>
    <w:p w14:paraId="30ACCE7A" w14:textId="77777777" w:rsidR="005E69AC" w:rsidRDefault="005E69AC" w:rsidP="0035513D">
      <w:r>
        <w:t xml:space="preserve">Table 5: </w:t>
      </w:r>
      <w:r w:rsidR="00C6639E">
        <w:t xml:space="preserve">Financial </w:t>
      </w:r>
      <w:r>
        <w:t>Project Costs</w:t>
      </w:r>
    </w:p>
    <w:p w14:paraId="7079DD42" w14:textId="77777777" w:rsidR="005E69AC" w:rsidRDefault="005E69AC" w:rsidP="0035513D"/>
    <w:p w14:paraId="0E2A1CFF" w14:textId="5742766D" w:rsidR="005E69AC" w:rsidRDefault="006562C8" w:rsidP="00281552">
      <w:pPr>
        <w:jc w:val="center"/>
      </w:pPr>
      <w:r w:rsidRPr="006562C8">
        <w:rPr>
          <w:noProof/>
          <w:lang w:val="en-GB" w:eastAsia="en-GB"/>
        </w:rPr>
        <w:drawing>
          <wp:inline distT="0" distB="0" distL="0" distR="0" wp14:anchorId="53BB1711" wp14:editId="5182324E">
            <wp:extent cx="6082030" cy="223266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6082030" cy="2232660"/>
                    </a:xfrm>
                    <a:prstGeom prst="rect">
                      <a:avLst/>
                    </a:prstGeom>
                    <a:noFill/>
                    <a:ln>
                      <a:noFill/>
                    </a:ln>
                  </pic:spPr>
                </pic:pic>
              </a:graphicData>
            </a:graphic>
          </wp:inline>
        </w:drawing>
      </w:r>
      <w:r w:rsidRPr="006562C8" w:rsidDel="006562C8">
        <w:t xml:space="preserve"> </w:t>
      </w:r>
    </w:p>
    <w:p w14:paraId="00A72B65" w14:textId="77777777" w:rsidR="005E69AC" w:rsidRDefault="005E69AC">
      <w:pPr>
        <w:sectPr w:rsidR="005E69AC" w:rsidSect="005E69AC">
          <w:footerReference w:type="default" r:id="rId28"/>
          <w:pgSz w:w="11907" w:h="16840" w:code="9"/>
          <w:pgMar w:top="1276" w:right="1440" w:bottom="1440" w:left="1440" w:header="720" w:footer="458" w:gutter="0"/>
          <w:cols w:space="720"/>
          <w:docGrid w:linePitch="360"/>
        </w:sectPr>
      </w:pPr>
      <w:r>
        <w:br w:type="page"/>
      </w:r>
    </w:p>
    <w:p w14:paraId="2838837B" w14:textId="77777777" w:rsidR="005E69AC" w:rsidRDefault="005E69AC" w:rsidP="005E69AC">
      <w:r>
        <w:lastRenderedPageBreak/>
        <w:t xml:space="preserve">Table 6: </w:t>
      </w:r>
      <w:r w:rsidR="00C6639E">
        <w:t xml:space="preserve">Financial </w:t>
      </w:r>
      <w:r>
        <w:t>Project Summary</w:t>
      </w:r>
    </w:p>
    <w:p w14:paraId="1B18CB98" w14:textId="3BBD4E11" w:rsidR="005E69AC" w:rsidRDefault="005E69AC" w:rsidP="005E69AC">
      <w:r w:rsidRPr="005E69AC">
        <w:t xml:space="preserve"> </w:t>
      </w:r>
    </w:p>
    <w:p w14:paraId="21475742" w14:textId="1439D52A" w:rsidR="005E69AC" w:rsidRDefault="006562C8">
      <w:r w:rsidRPr="006562C8">
        <w:rPr>
          <w:noProof/>
          <w:lang w:val="en-GB" w:eastAsia="en-GB"/>
        </w:rPr>
        <w:drawing>
          <wp:inline distT="0" distB="0" distL="0" distR="0" wp14:anchorId="4FD29C35" wp14:editId="1B71650D">
            <wp:extent cx="9103995" cy="3434715"/>
            <wp:effectExtent l="0" t="0" r="190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9103995" cy="3434715"/>
                    </a:xfrm>
                    <a:prstGeom prst="rect">
                      <a:avLst/>
                    </a:prstGeom>
                    <a:noFill/>
                    <a:ln>
                      <a:noFill/>
                    </a:ln>
                  </pic:spPr>
                </pic:pic>
              </a:graphicData>
            </a:graphic>
          </wp:inline>
        </w:drawing>
      </w:r>
      <w:r w:rsidRPr="006562C8" w:rsidDel="006562C8">
        <w:t xml:space="preserve"> </w:t>
      </w:r>
    </w:p>
    <w:p w14:paraId="48EB3051" w14:textId="77777777" w:rsidR="00C6639E" w:rsidRDefault="00C6639E">
      <w:r>
        <w:br w:type="page"/>
      </w:r>
    </w:p>
    <w:p w14:paraId="01A97181" w14:textId="77777777" w:rsidR="00C6639E" w:rsidRDefault="00C6639E">
      <w:r>
        <w:lastRenderedPageBreak/>
        <w:t>Table 7: Economic Project Summary</w:t>
      </w:r>
    </w:p>
    <w:p w14:paraId="5C740407" w14:textId="77777777" w:rsidR="00C6639E" w:rsidRDefault="00C6639E"/>
    <w:p w14:paraId="69CB7A27" w14:textId="10EC6FE0" w:rsidR="00C6639E" w:rsidRDefault="006562C8">
      <w:r w:rsidRPr="006562C8">
        <w:rPr>
          <w:noProof/>
          <w:lang w:val="en-GB" w:eastAsia="en-GB"/>
        </w:rPr>
        <w:drawing>
          <wp:inline distT="0" distB="0" distL="0" distR="0" wp14:anchorId="30B9D22E" wp14:editId="77EF6AF9">
            <wp:extent cx="9103995" cy="3434715"/>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9103995" cy="3434715"/>
                    </a:xfrm>
                    <a:prstGeom prst="rect">
                      <a:avLst/>
                    </a:prstGeom>
                    <a:noFill/>
                    <a:ln>
                      <a:noFill/>
                    </a:ln>
                  </pic:spPr>
                </pic:pic>
              </a:graphicData>
            </a:graphic>
          </wp:inline>
        </w:drawing>
      </w:r>
      <w:r w:rsidRPr="006562C8" w:rsidDel="006562C8">
        <w:t xml:space="preserve"> </w:t>
      </w:r>
    </w:p>
    <w:p w14:paraId="3E1A07E7" w14:textId="77777777" w:rsidR="00B615F0" w:rsidRDefault="00B615F0">
      <w:pPr>
        <w:sectPr w:rsidR="00B615F0" w:rsidSect="005E69AC">
          <w:pgSz w:w="16840" w:h="11907" w:orient="landscape" w:code="9"/>
          <w:pgMar w:top="1440" w:right="1276" w:bottom="1440" w:left="1440" w:header="720" w:footer="458" w:gutter="0"/>
          <w:cols w:space="720"/>
          <w:docGrid w:linePitch="360"/>
        </w:sectPr>
      </w:pPr>
    </w:p>
    <w:p w14:paraId="07AE0BAD" w14:textId="77777777" w:rsidR="00B615F0" w:rsidRDefault="00B615F0">
      <w:r>
        <w:lastRenderedPageBreak/>
        <w:t xml:space="preserve">Table </w:t>
      </w:r>
      <w:r w:rsidR="002A2F54">
        <w:t>8</w:t>
      </w:r>
      <w:r>
        <w:t>: Environmental Co-Benefits</w:t>
      </w:r>
    </w:p>
    <w:p w14:paraId="3B02AEC2" w14:textId="2BFFA7E5" w:rsidR="00B615F0" w:rsidRDefault="006562C8">
      <w:r w:rsidRPr="006562C8">
        <w:rPr>
          <w:noProof/>
          <w:lang w:val="en-GB" w:eastAsia="en-GB"/>
        </w:rPr>
        <w:drawing>
          <wp:inline distT="0" distB="0" distL="0" distR="0" wp14:anchorId="50FD26EC" wp14:editId="484AF919">
            <wp:extent cx="9103995" cy="4293870"/>
            <wp:effectExtent l="0" t="0" r="190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9103995" cy="4293870"/>
                    </a:xfrm>
                    <a:prstGeom prst="rect">
                      <a:avLst/>
                    </a:prstGeom>
                    <a:noFill/>
                    <a:ln>
                      <a:noFill/>
                    </a:ln>
                  </pic:spPr>
                </pic:pic>
              </a:graphicData>
            </a:graphic>
          </wp:inline>
        </w:drawing>
      </w:r>
      <w:r w:rsidRPr="006562C8" w:rsidDel="006562C8">
        <w:t xml:space="preserve"> </w:t>
      </w:r>
    </w:p>
    <w:p w14:paraId="70F72A2E" w14:textId="77777777" w:rsidR="00B615F0" w:rsidRPr="00052E6C" w:rsidRDefault="00B615F0"/>
    <w:sectPr w:rsidR="00B615F0" w:rsidRPr="00052E6C" w:rsidSect="009B4997">
      <w:pgSz w:w="16840" w:h="11907" w:orient="landscape" w:code="9"/>
      <w:pgMar w:top="1440" w:right="1276" w:bottom="1440" w:left="1440" w:header="720" w:footer="458"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32D144" w14:textId="77777777" w:rsidR="001D7626" w:rsidRDefault="001D7626" w:rsidP="009020F6">
      <w:pPr>
        <w:spacing w:after="0" w:line="240" w:lineRule="auto"/>
      </w:pPr>
      <w:r>
        <w:separator/>
      </w:r>
    </w:p>
  </w:endnote>
  <w:endnote w:type="continuationSeparator" w:id="0">
    <w:p w14:paraId="5DD7813F" w14:textId="77777777" w:rsidR="001D7626" w:rsidRDefault="001D7626" w:rsidP="009020F6">
      <w:pPr>
        <w:spacing w:after="0" w:line="240" w:lineRule="auto"/>
      </w:pPr>
      <w:r>
        <w:continuationSeparator/>
      </w:r>
    </w:p>
  </w:endnote>
  <w:endnote w:type="continuationNotice" w:id="1">
    <w:p w14:paraId="4C4542F6" w14:textId="77777777" w:rsidR="001D7626" w:rsidRDefault="001D762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altName w:val="Calibri"/>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8027728"/>
      <w:docPartObj>
        <w:docPartGallery w:val="Page Numbers (Bottom of Page)"/>
        <w:docPartUnique/>
      </w:docPartObj>
    </w:sdtPr>
    <w:sdtEndPr>
      <w:rPr>
        <w:noProof/>
      </w:rPr>
    </w:sdtEndPr>
    <w:sdtContent>
      <w:p w14:paraId="77DDDF2B" w14:textId="0CF7A285" w:rsidR="001055C8" w:rsidRDefault="001055C8">
        <w:pPr>
          <w:pStyle w:val="Footer"/>
          <w:jc w:val="right"/>
        </w:pPr>
        <w:r w:rsidRPr="002F6C50">
          <w:rPr>
            <w:sz w:val="20"/>
          </w:rPr>
          <w:fldChar w:fldCharType="begin"/>
        </w:r>
        <w:r w:rsidRPr="002F6C50">
          <w:rPr>
            <w:sz w:val="20"/>
          </w:rPr>
          <w:instrText xml:space="preserve"> PAGE   \* MERGEFORMAT </w:instrText>
        </w:r>
        <w:r w:rsidRPr="002F6C50">
          <w:rPr>
            <w:sz w:val="20"/>
          </w:rPr>
          <w:fldChar w:fldCharType="separate"/>
        </w:r>
        <w:r w:rsidR="009E6F4F">
          <w:rPr>
            <w:noProof/>
            <w:sz w:val="20"/>
          </w:rPr>
          <w:t>17</w:t>
        </w:r>
        <w:r w:rsidRPr="002F6C50">
          <w:rPr>
            <w:noProof/>
            <w:sz w:val="20"/>
          </w:rPr>
          <w:fldChar w:fldCharType="end"/>
        </w:r>
      </w:p>
    </w:sdtContent>
  </w:sdt>
  <w:p w14:paraId="15C76B76" w14:textId="77777777" w:rsidR="001055C8" w:rsidRDefault="001055C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5AF034" w14:textId="77777777" w:rsidR="001D7626" w:rsidRDefault="001D7626" w:rsidP="009020F6">
      <w:pPr>
        <w:spacing w:after="0" w:line="240" w:lineRule="auto"/>
      </w:pPr>
      <w:r>
        <w:separator/>
      </w:r>
    </w:p>
  </w:footnote>
  <w:footnote w:type="continuationSeparator" w:id="0">
    <w:p w14:paraId="5E2C54E1" w14:textId="77777777" w:rsidR="001D7626" w:rsidRDefault="001D7626" w:rsidP="009020F6">
      <w:pPr>
        <w:spacing w:after="0" w:line="240" w:lineRule="auto"/>
      </w:pPr>
      <w:r>
        <w:continuationSeparator/>
      </w:r>
    </w:p>
  </w:footnote>
  <w:footnote w:type="continuationNotice" w:id="1">
    <w:p w14:paraId="3DB5C5CC" w14:textId="77777777" w:rsidR="001D7626" w:rsidRDefault="001D7626">
      <w:pPr>
        <w:spacing w:after="0" w:line="240" w:lineRule="auto"/>
      </w:pPr>
    </w:p>
  </w:footnote>
  <w:footnote w:id="2">
    <w:p w14:paraId="048A0629" w14:textId="77777777" w:rsidR="001055C8" w:rsidRPr="00BE7F4B" w:rsidRDefault="001055C8">
      <w:pPr>
        <w:pStyle w:val="FootnoteText"/>
      </w:pPr>
      <w:r>
        <w:rPr>
          <w:rStyle w:val="FootnoteReference"/>
        </w:rPr>
        <w:footnoteRef/>
      </w:r>
      <w:r>
        <w:t xml:space="preserve"> For this analysis, North and West Kordofan are lumped together for two reasons: (i) climate and farming systems in the two States are very similar (in contrast to South Kordofan); and (ii) there are no longer-term climate data for West Kordofan, which was created recently, and the project Localities in West Kordofan were formerly part of North Kordofan.</w:t>
      </w:r>
    </w:p>
  </w:footnote>
  <w:footnote w:id="3">
    <w:p w14:paraId="3E1B0B3E" w14:textId="6DB6F462" w:rsidR="001055C8" w:rsidRPr="007A2132" w:rsidRDefault="001055C8">
      <w:pPr>
        <w:pStyle w:val="FootnoteText"/>
        <w:rPr>
          <w:szCs w:val="18"/>
        </w:rPr>
      </w:pPr>
      <w:r w:rsidRPr="007A2132">
        <w:rPr>
          <w:rStyle w:val="FootnoteReference"/>
          <w:szCs w:val="18"/>
        </w:rPr>
        <w:footnoteRef/>
      </w:r>
      <w:r w:rsidRPr="007A2132">
        <w:rPr>
          <w:szCs w:val="18"/>
        </w:rPr>
        <w:t xml:space="preserve"> </w:t>
      </w:r>
      <w:r w:rsidRPr="00A5193C">
        <w:rPr>
          <w:rFonts w:cstheme="minorHAnsi"/>
          <w:szCs w:val="18"/>
        </w:rPr>
        <w:t>Th</w:t>
      </w:r>
      <w:r>
        <w:rPr>
          <w:rFonts w:cstheme="minorHAnsi"/>
          <w:szCs w:val="18"/>
        </w:rPr>
        <w:t xml:space="preserve">e adoption rate of 80 percent </w:t>
      </w:r>
      <w:r w:rsidRPr="00A5193C">
        <w:rPr>
          <w:rFonts w:cstheme="minorHAnsi"/>
          <w:szCs w:val="18"/>
        </w:rPr>
        <w:t xml:space="preserve">is considered conservative, given that a higher adoption rate of 84 percent was experienced under the </w:t>
      </w:r>
      <w:r>
        <w:rPr>
          <w:rFonts w:cstheme="minorHAnsi"/>
          <w:szCs w:val="18"/>
        </w:rPr>
        <w:t>AFD-funded SGAS</w:t>
      </w:r>
      <w:r w:rsidRPr="00A5193C">
        <w:rPr>
          <w:rFonts w:cstheme="minorHAnsi"/>
          <w:szCs w:val="18"/>
        </w:rPr>
        <w:t xml:space="preserve"> pilot project, where 16 out of 19 groups remained with the programme</w:t>
      </w:r>
      <w:r>
        <w:rPr>
          <w:rFonts w:cstheme="minorHAnsi"/>
          <w:szCs w:val="18"/>
        </w:rPr>
        <w:t>, so the project is likely to match and exceed this figure</w:t>
      </w:r>
      <w:r w:rsidRPr="00A5193C">
        <w:rPr>
          <w:rFonts w:cstheme="minorHAnsi"/>
          <w:szCs w:val="18"/>
        </w:rPr>
        <w:t>.</w:t>
      </w:r>
    </w:p>
  </w:footnote>
  <w:footnote w:id="4">
    <w:p w14:paraId="2E8B13C7" w14:textId="77777777" w:rsidR="001055C8" w:rsidRPr="007F0540" w:rsidRDefault="001055C8">
      <w:pPr>
        <w:pStyle w:val="FootnoteText"/>
        <w:rPr>
          <w:sz w:val="12"/>
        </w:rPr>
      </w:pPr>
      <w:r>
        <w:rPr>
          <w:rStyle w:val="FootnoteReference"/>
        </w:rPr>
        <w:footnoteRef/>
      </w:r>
      <w:r>
        <w:t xml:space="preserve"> I</w:t>
      </w:r>
      <w:r w:rsidRPr="00D43109">
        <w:rPr>
          <w:rFonts w:cstheme="minorHAnsi"/>
          <w:sz w:val="16"/>
          <w:szCs w:val="22"/>
        </w:rPr>
        <w:t>ncludes</w:t>
      </w:r>
      <w:r w:rsidRPr="007F0540">
        <w:rPr>
          <w:rFonts w:cstheme="minorHAnsi"/>
          <w:sz w:val="16"/>
          <w:szCs w:val="22"/>
        </w:rPr>
        <w:t xml:space="preserve"> a two-year gestation period</w:t>
      </w:r>
      <w:r>
        <w:rPr>
          <w:rFonts w:cstheme="minorHAnsi"/>
          <w:sz w:val="16"/>
          <w:szCs w:val="22"/>
        </w:rPr>
        <w:t xml:space="preserve"> before introduction of new trees.</w:t>
      </w:r>
    </w:p>
  </w:footnote>
  <w:footnote w:id="5">
    <w:p w14:paraId="2882935C" w14:textId="77777777" w:rsidR="001055C8" w:rsidRPr="007F0540" w:rsidRDefault="001055C8">
      <w:pPr>
        <w:pStyle w:val="FootnoteText"/>
        <w:rPr>
          <w:rFonts w:cstheme="minorHAnsi"/>
          <w:sz w:val="16"/>
          <w:szCs w:val="22"/>
        </w:rPr>
      </w:pPr>
      <w:r w:rsidRPr="007F0540">
        <w:rPr>
          <w:rFonts w:cstheme="minorHAnsi"/>
          <w:sz w:val="16"/>
          <w:szCs w:val="22"/>
        </w:rPr>
        <w:footnoteRef/>
      </w:r>
      <w:r w:rsidRPr="007F0540">
        <w:rPr>
          <w:rFonts w:cstheme="minorHAnsi"/>
          <w:sz w:val="16"/>
          <w:szCs w:val="22"/>
        </w:rPr>
        <w:t xml:space="preserve"> CARD has three basic yield reduction scenarios associated with optimistic, median and pessimistic emission scenarios. However,</w:t>
      </w:r>
      <w:r>
        <w:rPr>
          <w:rFonts w:cstheme="minorHAnsi"/>
          <w:sz w:val="16"/>
          <w:szCs w:val="22"/>
        </w:rPr>
        <w:t xml:space="preserve"> since GHG emission have increased rapidly in recent years, the pessimistic scenario appears most relevant. </w:t>
      </w:r>
      <w:r w:rsidRPr="007F0540">
        <w:rPr>
          <w:rFonts w:cstheme="minorHAnsi"/>
          <w:sz w:val="16"/>
          <w:szCs w:val="22"/>
        </w:rPr>
        <w:t xml:space="preserve"> </w:t>
      </w:r>
    </w:p>
  </w:footnote>
  <w:footnote w:id="6">
    <w:p w14:paraId="345BF0A3" w14:textId="77777777" w:rsidR="001055C8" w:rsidRPr="00D61694" w:rsidRDefault="001055C8">
      <w:pPr>
        <w:pStyle w:val="FootnoteText"/>
      </w:pPr>
      <w:r>
        <w:rPr>
          <w:rStyle w:val="FootnoteReference"/>
        </w:rPr>
        <w:footnoteRef/>
      </w:r>
      <w:r>
        <w:t xml:space="preserve"> </w:t>
      </w:r>
      <w:r w:rsidRPr="00D61694">
        <w:rPr>
          <w:i/>
        </w:rPr>
        <w:t>Sonki</w:t>
      </w:r>
      <w:r>
        <w:t xml:space="preserve"> is an improved hand tool that combines a chisel with a hook shape. It allows the tapper to strip just the bark of the tree to obtain the gum exudate, and avoid doing damage to the wood – which causes disease and reduces the productive lifespan of the tree – with the small axe that is used traditionally. The </w:t>
      </w:r>
      <w:r w:rsidRPr="00A5193C">
        <w:rPr>
          <w:i/>
        </w:rPr>
        <w:t>sonki</w:t>
      </w:r>
      <w:r>
        <w:t xml:space="preserve"> has the added advantage of being easier to use for women, and of reducing injury to the tapper from the long and sharp Acacia spines.  </w:t>
      </w:r>
    </w:p>
  </w:footnote>
  <w:footnote w:id="7">
    <w:p w14:paraId="462B6A3E" w14:textId="77777777" w:rsidR="001055C8" w:rsidRPr="00FD1929" w:rsidRDefault="001055C8">
      <w:pPr>
        <w:pStyle w:val="FootnoteText"/>
        <w:rPr>
          <w:lang w:val="en-GB"/>
        </w:rPr>
      </w:pPr>
      <w:r>
        <w:rPr>
          <w:rStyle w:val="FootnoteReference"/>
        </w:rPr>
        <w:footnoteRef/>
      </w:r>
      <w:r>
        <w:t xml:space="preserve"> </w:t>
      </w:r>
      <w:r>
        <w:rPr>
          <w:lang w:val="en-GB"/>
        </w:rPr>
        <w:t xml:space="preserve">International Journal of Environmental Planning and Management; “Management of </w:t>
      </w:r>
      <w:r w:rsidRPr="009248B2">
        <w:rPr>
          <w:i/>
          <w:lang w:val="en-GB"/>
        </w:rPr>
        <w:t>Gum arabic</w:t>
      </w:r>
      <w:r>
        <w:rPr>
          <w:lang w:val="en-GB"/>
        </w:rPr>
        <w:t xml:space="preserve"> Production Potentialities in the Gum Belt in Kordofan, Sudan”, 2016.</w:t>
      </w:r>
    </w:p>
  </w:footnote>
  <w:footnote w:id="8">
    <w:p w14:paraId="0A979BE0" w14:textId="77777777" w:rsidR="001055C8" w:rsidRPr="00F15C1E" w:rsidRDefault="001055C8">
      <w:pPr>
        <w:pStyle w:val="FootnoteText"/>
      </w:pPr>
      <w:r>
        <w:rPr>
          <w:rStyle w:val="FootnoteReference"/>
        </w:rPr>
        <w:footnoteRef/>
      </w:r>
      <w:r>
        <w:t xml:space="preserve"> The resulting 40% increase in financial prices used in the analysis is conservative in comparison to the 50-55% price premium achieved by smallholder gum producer groups participating in the AFD-financed pilot project that GAMS intends to scale up.</w:t>
      </w:r>
    </w:p>
  </w:footnote>
  <w:footnote w:id="9">
    <w:p w14:paraId="7543A18F" w14:textId="77777777" w:rsidR="001055C8" w:rsidRPr="00DA6808" w:rsidRDefault="001055C8">
      <w:pPr>
        <w:pStyle w:val="FootnoteText"/>
      </w:pPr>
      <w:r>
        <w:rPr>
          <w:rStyle w:val="FootnoteReference"/>
        </w:rPr>
        <w:footnoteRef/>
      </w:r>
      <w:r>
        <w:t xml:space="preserve"> Notably SOS Sahel and IFAD’s Livestock and Rangeland Resilience Programme (2014-2021) and Western Sudan Resource Management Programme (2004-2016)</w:t>
      </w:r>
    </w:p>
  </w:footnote>
  <w:footnote w:id="10">
    <w:p w14:paraId="3E99EC33" w14:textId="77777777" w:rsidR="001055C8" w:rsidRPr="00D62756" w:rsidRDefault="001055C8" w:rsidP="00032643">
      <w:pPr>
        <w:pStyle w:val="FootnoteText"/>
      </w:pPr>
      <w:r>
        <w:rPr>
          <w:rStyle w:val="FootnoteReference"/>
        </w:rPr>
        <w:footnoteRef/>
      </w:r>
      <w:r>
        <w:t xml:space="preserve"> FAO 2018 Crop and Food Supply Assessment Mission, Sudan using the past three years (2015/2016, 2016/2017, 2017/2018) where available.</w:t>
      </w:r>
    </w:p>
  </w:footnote>
  <w:footnote w:id="11">
    <w:p w14:paraId="3207471B" w14:textId="77777777" w:rsidR="001055C8" w:rsidRPr="009248B2" w:rsidRDefault="001055C8">
      <w:pPr>
        <w:pStyle w:val="FootnoteText"/>
        <w:rPr>
          <w:lang w:val="en-GB"/>
        </w:rPr>
      </w:pPr>
      <w:r>
        <w:rPr>
          <w:rStyle w:val="FootnoteReference"/>
        </w:rPr>
        <w:footnoteRef/>
      </w:r>
      <w:r>
        <w:t xml:space="preserve"> </w:t>
      </w:r>
      <w:r>
        <w:rPr>
          <w:lang w:val="en-GB"/>
        </w:rPr>
        <w:t xml:space="preserve">International Journal of Environmental Planning and Management; “Recent Changes in Local Marketing Patterns of </w:t>
      </w:r>
      <w:r w:rsidRPr="009248B2">
        <w:rPr>
          <w:i/>
          <w:lang w:val="en-GB"/>
        </w:rPr>
        <w:t>Gum arabic</w:t>
      </w:r>
      <w:r>
        <w:rPr>
          <w:lang w:val="en-GB"/>
        </w:rPr>
        <w:t xml:space="preserve"> in Kordofan, Sudan”, 2016.</w:t>
      </w:r>
    </w:p>
  </w:footnote>
  <w:footnote w:id="12">
    <w:p w14:paraId="5C3FA3D5" w14:textId="77777777" w:rsidR="001055C8" w:rsidRPr="000A2158" w:rsidRDefault="001055C8">
      <w:pPr>
        <w:pStyle w:val="FootnoteText"/>
      </w:pPr>
      <w:r>
        <w:rPr>
          <w:rStyle w:val="FootnoteReference"/>
        </w:rPr>
        <w:footnoteRef/>
      </w:r>
      <w:r>
        <w:t xml:space="preserve"> The </w:t>
      </w:r>
      <w:r w:rsidRPr="009B4997">
        <w:rPr>
          <w:i/>
          <w:iCs/>
        </w:rPr>
        <w:t>taungya</w:t>
      </w:r>
      <w:r>
        <w:t xml:space="preserve"> system was first devised in India under colonial rule, as a way to reduce </w:t>
      </w:r>
      <w:proofErr w:type="spellStart"/>
      <w:r>
        <w:t>labour</w:t>
      </w:r>
      <w:proofErr w:type="spellEnd"/>
      <w:r>
        <w:t xml:space="preserve"> costs for reforestation of government land. In Sudan, the system has been modified so that farmers not only benefit from the right to cultivate crops as the trees grow, but also share in the subsequent gum proceeds. This is especially attractive to farmers with little or no land, who are among the most vulnerable to climate change.</w:t>
      </w:r>
    </w:p>
  </w:footnote>
  <w:footnote w:id="13">
    <w:p w14:paraId="107D1818" w14:textId="77777777" w:rsidR="001055C8" w:rsidRPr="007F0540" w:rsidRDefault="001055C8" w:rsidP="004201D7">
      <w:pPr>
        <w:pStyle w:val="FootnoteText"/>
        <w:rPr>
          <w:lang w:val="en-GB"/>
        </w:rPr>
      </w:pPr>
      <w:r>
        <w:rPr>
          <w:rStyle w:val="FootnoteReference"/>
        </w:rPr>
        <w:footnoteRef/>
      </w:r>
      <w:r>
        <w:t xml:space="preserve"> </w:t>
      </w:r>
      <w:r>
        <w:rPr>
          <w:lang w:val="en-GB"/>
        </w:rPr>
        <w:t xml:space="preserve">Livestock Marketing and Resilience Programme, IFAD (2014). While Sudan has remained cut-off from international lenders, past sovereign debt by </w:t>
      </w:r>
      <w:proofErr w:type="spellStart"/>
      <w:r>
        <w:rPr>
          <w:lang w:val="en-GB"/>
        </w:rPr>
        <w:t>bilaterals</w:t>
      </w:r>
      <w:proofErr w:type="spellEnd"/>
      <w:r>
        <w:rPr>
          <w:lang w:val="en-GB"/>
        </w:rPr>
        <w:t xml:space="preserve"> and multilaterals continues to be charged interest at around 10-12 percent per annum. </w:t>
      </w:r>
      <w:hyperlink r:id="rId1" w:history="1">
        <w:r>
          <w:rPr>
            <w:rStyle w:val="Hyperlink"/>
          </w:rPr>
          <w:t>https://jubileedebt.org.uk/countries/sudan</w:t>
        </w:r>
      </w:hyperlink>
    </w:p>
  </w:footnote>
  <w:footnote w:id="14">
    <w:p w14:paraId="2A1211E8" w14:textId="77777777" w:rsidR="001055C8" w:rsidRPr="004763C5" w:rsidRDefault="001055C8" w:rsidP="00695DE3">
      <w:pPr>
        <w:pStyle w:val="FootnoteText"/>
        <w:rPr>
          <w:lang w:val="en-GB"/>
        </w:rPr>
      </w:pPr>
      <w:r>
        <w:rPr>
          <w:rStyle w:val="FootnoteReference"/>
        </w:rPr>
        <w:footnoteRef/>
      </w:r>
      <w:r>
        <w:t xml:space="preserve"> The SDR rate is twelve percent. </w:t>
      </w:r>
    </w:p>
  </w:footnote>
  <w:footnote w:id="15">
    <w:p w14:paraId="644C9A0F" w14:textId="4DFBDD49" w:rsidR="001055C8" w:rsidRPr="00281552" w:rsidRDefault="001055C8">
      <w:pPr>
        <w:pStyle w:val="FootnoteText"/>
        <w:rPr>
          <w:lang w:val="en-GB"/>
        </w:rPr>
      </w:pPr>
      <w:r>
        <w:rPr>
          <w:rStyle w:val="FootnoteReference"/>
        </w:rPr>
        <w:footnoteRef/>
      </w:r>
      <w:r>
        <w:t xml:space="preserve"> </w:t>
      </w:r>
      <w:r>
        <w:rPr>
          <w:lang w:val="en-GB"/>
        </w:rPr>
        <w:t>Since these additional mitigation results are not directly attributable to the project, they have not been included in the Ex-ACT assessment.</w:t>
      </w:r>
    </w:p>
  </w:footnote>
  <w:footnote w:id="16">
    <w:p w14:paraId="1245CC2C" w14:textId="77777777" w:rsidR="001055C8" w:rsidRPr="00016B02" w:rsidRDefault="001055C8">
      <w:pPr>
        <w:pStyle w:val="FootnoteText"/>
      </w:pPr>
      <w:r>
        <w:rPr>
          <w:rStyle w:val="FootnoteReference"/>
        </w:rPr>
        <w:footnoteRef/>
      </w:r>
      <w:r>
        <w:t xml:space="preserve"> Hasan </w:t>
      </w:r>
      <w:proofErr w:type="spellStart"/>
      <w:r>
        <w:t>Mofadal</w:t>
      </w:r>
      <w:proofErr w:type="spellEnd"/>
      <w:r>
        <w:t>, ‘</w:t>
      </w:r>
      <w:r w:rsidRPr="00016B02">
        <w:t>Contract Farming Agreements between Gum Arabic Producers Associations (GAPAs) and Private Sector in Sudan: Cases and Experiences</w:t>
      </w:r>
      <w:r>
        <w:t>’, December 2017.</w:t>
      </w:r>
    </w:p>
  </w:footnote>
  <w:footnote w:id="17">
    <w:p w14:paraId="1AB67420" w14:textId="77777777" w:rsidR="001055C8" w:rsidRPr="009B4997" w:rsidRDefault="001055C8">
      <w:pPr>
        <w:pStyle w:val="FootnoteText"/>
        <w:rPr>
          <w:lang w:val="en-GB"/>
        </w:rPr>
      </w:pPr>
      <w:r>
        <w:rPr>
          <w:rStyle w:val="FootnoteReference"/>
        </w:rPr>
        <w:footnoteRef/>
      </w:r>
      <w:r>
        <w:t xml:space="preserve"> </w:t>
      </w:r>
      <w:hyperlink r:id="rId2" w:history="1">
        <w:r>
          <w:rPr>
            <w:rStyle w:val="Hyperlink"/>
          </w:rPr>
          <w:t>http://pubdocs.worldbank.org/en/911381516303509498/2017-Shadow-Price-of-Carbon-Guidance-Note-FINAL-CLEARED.pdf</w:t>
        </w:r>
      </w:hyperlink>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D8203D6"/>
    <w:multiLevelType w:val="hybridMultilevel"/>
    <w:tmpl w:val="E63C350A"/>
    <w:lvl w:ilvl="0" w:tplc="49887042">
      <w:start w:val="1"/>
      <w:numFmt w:val="decimal"/>
      <w:lvlText w:val="%1."/>
      <w:lvlJc w:val="left"/>
      <w:pPr>
        <w:ind w:left="360" w:hanging="360"/>
      </w:pPr>
      <w:rPr>
        <w:rFonts w:asciiTheme="minorHAnsi" w:hAnsiTheme="minorHAnsi" w:cstheme="minorHAnsi" w:hint="default"/>
        <w:b w:val="0"/>
        <w:i w:val="0"/>
        <w:sz w:val="22"/>
        <w:szCs w:val="22"/>
      </w:rPr>
    </w:lvl>
    <w:lvl w:ilvl="1" w:tplc="EFB47362">
      <w:start w:val="1"/>
      <w:numFmt w:val="lowerLetter"/>
      <w:lvlText w:val="%2."/>
      <w:lvlJc w:val="left"/>
      <w:pPr>
        <w:ind w:left="1440" w:hanging="360"/>
      </w:pPr>
    </w:lvl>
    <w:lvl w:ilvl="2" w:tplc="07382ACE" w:tentative="1">
      <w:start w:val="1"/>
      <w:numFmt w:val="lowerRoman"/>
      <w:lvlText w:val="%3."/>
      <w:lvlJc w:val="right"/>
      <w:pPr>
        <w:ind w:left="2160" w:hanging="180"/>
      </w:pPr>
    </w:lvl>
    <w:lvl w:ilvl="3" w:tplc="AC20E096" w:tentative="1">
      <w:start w:val="1"/>
      <w:numFmt w:val="decimal"/>
      <w:lvlText w:val="%4."/>
      <w:lvlJc w:val="left"/>
      <w:pPr>
        <w:ind w:left="2880" w:hanging="360"/>
      </w:pPr>
    </w:lvl>
    <w:lvl w:ilvl="4" w:tplc="54908532" w:tentative="1">
      <w:start w:val="1"/>
      <w:numFmt w:val="lowerLetter"/>
      <w:lvlText w:val="%5."/>
      <w:lvlJc w:val="left"/>
      <w:pPr>
        <w:ind w:left="3600" w:hanging="360"/>
      </w:pPr>
    </w:lvl>
    <w:lvl w:ilvl="5" w:tplc="3C9EE450" w:tentative="1">
      <w:start w:val="1"/>
      <w:numFmt w:val="lowerRoman"/>
      <w:lvlText w:val="%6."/>
      <w:lvlJc w:val="right"/>
      <w:pPr>
        <w:ind w:left="4320" w:hanging="180"/>
      </w:pPr>
    </w:lvl>
    <w:lvl w:ilvl="6" w:tplc="707CDC34" w:tentative="1">
      <w:start w:val="1"/>
      <w:numFmt w:val="decimal"/>
      <w:lvlText w:val="%7."/>
      <w:lvlJc w:val="left"/>
      <w:pPr>
        <w:ind w:left="5040" w:hanging="360"/>
      </w:pPr>
    </w:lvl>
    <w:lvl w:ilvl="7" w:tplc="6C767D72" w:tentative="1">
      <w:start w:val="1"/>
      <w:numFmt w:val="lowerLetter"/>
      <w:lvlText w:val="%8."/>
      <w:lvlJc w:val="left"/>
      <w:pPr>
        <w:ind w:left="5760" w:hanging="360"/>
      </w:pPr>
    </w:lvl>
    <w:lvl w:ilvl="8" w:tplc="19AAFCEC"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F6"/>
    <w:rsid w:val="000007B2"/>
    <w:rsid w:val="0000086C"/>
    <w:rsid w:val="00003D7C"/>
    <w:rsid w:val="00007195"/>
    <w:rsid w:val="0001040F"/>
    <w:rsid w:val="0001276A"/>
    <w:rsid w:val="00015187"/>
    <w:rsid w:val="000162AE"/>
    <w:rsid w:val="00016B02"/>
    <w:rsid w:val="00031A86"/>
    <w:rsid w:val="00032643"/>
    <w:rsid w:val="000346A5"/>
    <w:rsid w:val="00036313"/>
    <w:rsid w:val="000413DB"/>
    <w:rsid w:val="000415E0"/>
    <w:rsid w:val="00045AAC"/>
    <w:rsid w:val="00050EF3"/>
    <w:rsid w:val="0005287B"/>
    <w:rsid w:val="00052E6C"/>
    <w:rsid w:val="00057394"/>
    <w:rsid w:val="000603DF"/>
    <w:rsid w:val="00060BF4"/>
    <w:rsid w:val="000626FF"/>
    <w:rsid w:val="000652FE"/>
    <w:rsid w:val="00067607"/>
    <w:rsid w:val="00083B77"/>
    <w:rsid w:val="0008674F"/>
    <w:rsid w:val="000965B7"/>
    <w:rsid w:val="000A002B"/>
    <w:rsid w:val="000A1D28"/>
    <w:rsid w:val="000A2158"/>
    <w:rsid w:val="000A61F3"/>
    <w:rsid w:val="000A748A"/>
    <w:rsid w:val="000A76BA"/>
    <w:rsid w:val="000B04C1"/>
    <w:rsid w:val="000C1A1C"/>
    <w:rsid w:val="000C3311"/>
    <w:rsid w:val="000C3335"/>
    <w:rsid w:val="000C77A5"/>
    <w:rsid w:val="000D1879"/>
    <w:rsid w:val="000E272C"/>
    <w:rsid w:val="000E46F5"/>
    <w:rsid w:val="000E5E9F"/>
    <w:rsid w:val="000F7A3A"/>
    <w:rsid w:val="001000A3"/>
    <w:rsid w:val="001005C7"/>
    <w:rsid w:val="001055C8"/>
    <w:rsid w:val="0011195B"/>
    <w:rsid w:val="00111DF1"/>
    <w:rsid w:val="00112AAD"/>
    <w:rsid w:val="00113277"/>
    <w:rsid w:val="00122D8F"/>
    <w:rsid w:val="00124784"/>
    <w:rsid w:val="00124982"/>
    <w:rsid w:val="00125CD5"/>
    <w:rsid w:val="00130649"/>
    <w:rsid w:val="0014015D"/>
    <w:rsid w:val="0014226F"/>
    <w:rsid w:val="00146FD1"/>
    <w:rsid w:val="00150CBB"/>
    <w:rsid w:val="00156AE1"/>
    <w:rsid w:val="00163172"/>
    <w:rsid w:val="0016636D"/>
    <w:rsid w:val="00171DBE"/>
    <w:rsid w:val="0018314C"/>
    <w:rsid w:val="00192D0F"/>
    <w:rsid w:val="00192FBA"/>
    <w:rsid w:val="001A2903"/>
    <w:rsid w:val="001A638A"/>
    <w:rsid w:val="001B28DD"/>
    <w:rsid w:val="001B5C8F"/>
    <w:rsid w:val="001C099C"/>
    <w:rsid w:val="001C0FBC"/>
    <w:rsid w:val="001C4DB3"/>
    <w:rsid w:val="001D71F7"/>
    <w:rsid w:val="001D7626"/>
    <w:rsid w:val="001E5A48"/>
    <w:rsid w:val="001F27AC"/>
    <w:rsid w:val="001F6D53"/>
    <w:rsid w:val="001F79EF"/>
    <w:rsid w:val="00202705"/>
    <w:rsid w:val="00206F90"/>
    <w:rsid w:val="00210723"/>
    <w:rsid w:val="00217D27"/>
    <w:rsid w:val="00221B9F"/>
    <w:rsid w:val="00222BFC"/>
    <w:rsid w:val="0022792A"/>
    <w:rsid w:val="00233A15"/>
    <w:rsid w:val="0023582D"/>
    <w:rsid w:val="002439AC"/>
    <w:rsid w:val="00244EE2"/>
    <w:rsid w:val="00250054"/>
    <w:rsid w:val="00251797"/>
    <w:rsid w:val="002519DA"/>
    <w:rsid w:val="0025494A"/>
    <w:rsid w:val="00257EDD"/>
    <w:rsid w:val="00261524"/>
    <w:rsid w:val="00261C6E"/>
    <w:rsid w:val="00270A05"/>
    <w:rsid w:val="0027137A"/>
    <w:rsid w:val="00275C18"/>
    <w:rsid w:val="00281552"/>
    <w:rsid w:val="00283E5E"/>
    <w:rsid w:val="002855A7"/>
    <w:rsid w:val="00285912"/>
    <w:rsid w:val="002859EE"/>
    <w:rsid w:val="002950D2"/>
    <w:rsid w:val="00295F45"/>
    <w:rsid w:val="002A1128"/>
    <w:rsid w:val="002A2E51"/>
    <w:rsid w:val="002A2F54"/>
    <w:rsid w:val="002B2D50"/>
    <w:rsid w:val="002B3D69"/>
    <w:rsid w:val="002B4601"/>
    <w:rsid w:val="002C667E"/>
    <w:rsid w:val="002D11DA"/>
    <w:rsid w:val="002D26BE"/>
    <w:rsid w:val="002D6372"/>
    <w:rsid w:val="002D7A14"/>
    <w:rsid w:val="002D7F05"/>
    <w:rsid w:val="002E0A7A"/>
    <w:rsid w:val="002E16E2"/>
    <w:rsid w:val="002E192F"/>
    <w:rsid w:val="002F0E0C"/>
    <w:rsid w:val="002F3981"/>
    <w:rsid w:val="002F4828"/>
    <w:rsid w:val="002F6C50"/>
    <w:rsid w:val="00300AA0"/>
    <w:rsid w:val="00304882"/>
    <w:rsid w:val="00304E6C"/>
    <w:rsid w:val="00305DBD"/>
    <w:rsid w:val="0030624D"/>
    <w:rsid w:val="0031308C"/>
    <w:rsid w:val="003132F3"/>
    <w:rsid w:val="0031375A"/>
    <w:rsid w:val="00315AE2"/>
    <w:rsid w:val="0031666C"/>
    <w:rsid w:val="0031688D"/>
    <w:rsid w:val="00316B6A"/>
    <w:rsid w:val="00321247"/>
    <w:rsid w:val="00322497"/>
    <w:rsid w:val="00326BFE"/>
    <w:rsid w:val="00335039"/>
    <w:rsid w:val="0033783E"/>
    <w:rsid w:val="003435CD"/>
    <w:rsid w:val="003462A6"/>
    <w:rsid w:val="00347CE0"/>
    <w:rsid w:val="00350D0E"/>
    <w:rsid w:val="00351417"/>
    <w:rsid w:val="003547B3"/>
    <w:rsid w:val="0035513D"/>
    <w:rsid w:val="003551AC"/>
    <w:rsid w:val="00362065"/>
    <w:rsid w:val="00370E77"/>
    <w:rsid w:val="003734CA"/>
    <w:rsid w:val="0037441F"/>
    <w:rsid w:val="00381C56"/>
    <w:rsid w:val="00384ADD"/>
    <w:rsid w:val="00391E4C"/>
    <w:rsid w:val="003A1C97"/>
    <w:rsid w:val="003A73CA"/>
    <w:rsid w:val="003B2580"/>
    <w:rsid w:val="003B3971"/>
    <w:rsid w:val="003B71EB"/>
    <w:rsid w:val="003D4382"/>
    <w:rsid w:val="003E2D91"/>
    <w:rsid w:val="003E7878"/>
    <w:rsid w:val="003F05C4"/>
    <w:rsid w:val="003F2E50"/>
    <w:rsid w:val="003F38CE"/>
    <w:rsid w:val="003F4399"/>
    <w:rsid w:val="003F5215"/>
    <w:rsid w:val="003F5E35"/>
    <w:rsid w:val="004118F1"/>
    <w:rsid w:val="004201D7"/>
    <w:rsid w:val="0042372A"/>
    <w:rsid w:val="0042520A"/>
    <w:rsid w:val="00431F90"/>
    <w:rsid w:val="00434696"/>
    <w:rsid w:val="00443313"/>
    <w:rsid w:val="00445E5B"/>
    <w:rsid w:val="004517CD"/>
    <w:rsid w:val="00451C26"/>
    <w:rsid w:val="004763C5"/>
    <w:rsid w:val="00485B3F"/>
    <w:rsid w:val="00487AD2"/>
    <w:rsid w:val="00487AD6"/>
    <w:rsid w:val="004907F4"/>
    <w:rsid w:val="004957F3"/>
    <w:rsid w:val="00496846"/>
    <w:rsid w:val="004A2E04"/>
    <w:rsid w:val="004A3472"/>
    <w:rsid w:val="004A4540"/>
    <w:rsid w:val="004A5EB2"/>
    <w:rsid w:val="004A674F"/>
    <w:rsid w:val="004B1072"/>
    <w:rsid w:val="004B6785"/>
    <w:rsid w:val="004B726C"/>
    <w:rsid w:val="004C0BAD"/>
    <w:rsid w:val="004C692E"/>
    <w:rsid w:val="004D32E1"/>
    <w:rsid w:val="004E39B1"/>
    <w:rsid w:val="004E73E8"/>
    <w:rsid w:val="004E7BB6"/>
    <w:rsid w:val="004F1484"/>
    <w:rsid w:val="004F16CD"/>
    <w:rsid w:val="004F340A"/>
    <w:rsid w:val="005002A2"/>
    <w:rsid w:val="00503283"/>
    <w:rsid w:val="005032D4"/>
    <w:rsid w:val="0051110F"/>
    <w:rsid w:val="005127A2"/>
    <w:rsid w:val="005168A2"/>
    <w:rsid w:val="00516BA4"/>
    <w:rsid w:val="005251CE"/>
    <w:rsid w:val="00532FA0"/>
    <w:rsid w:val="00536415"/>
    <w:rsid w:val="005423AC"/>
    <w:rsid w:val="00553093"/>
    <w:rsid w:val="00556336"/>
    <w:rsid w:val="00561C89"/>
    <w:rsid w:val="005662D7"/>
    <w:rsid w:val="005678C5"/>
    <w:rsid w:val="005764CE"/>
    <w:rsid w:val="005843C9"/>
    <w:rsid w:val="005900AD"/>
    <w:rsid w:val="00590C2B"/>
    <w:rsid w:val="005A0D53"/>
    <w:rsid w:val="005A6904"/>
    <w:rsid w:val="005B3469"/>
    <w:rsid w:val="005B3705"/>
    <w:rsid w:val="005C2D31"/>
    <w:rsid w:val="005C3759"/>
    <w:rsid w:val="005C3931"/>
    <w:rsid w:val="005C3CC9"/>
    <w:rsid w:val="005C4B78"/>
    <w:rsid w:val="005C773A"/>
    <w:rsid w:val="005D158D"/>
    <w:rsid w:val="005E6864"/>
    <w:rsid w:val="005E69AC"/>
    <w:rsid w:val="005F7286"/>
    <w:rsid w:val="00601D69"/>
    <w:rsid w:val="0060569F"/>
    <w:rsid w:val="006063F2"/>
    <w:rsid w:val="006103C5"/>
    <w:rsid w:val="00611FE3"/>
    <w:rsid w:val="0061413B"/>
    <w:rsid w:val="0061463B"/>
    <w:rsid w:val="00616AD8"/>
    <w:rsid w:val="006172E5"/>
    <w:rsid w:val="00620E26"/>
    <w:rsid w:val="00623F95"/>
    <w:rsid w:val="00627EAE"/>
    <w:rsid w:val="006340E9"/>
    <w:rsid w:val="006357A1"/>
    <w:rsid w:val="0064099B"/>
    <w:rsid w:val="00651D78"/>
    <w:rsid w:val="0065290F"/>
    <w:rsid w:val="00652E79"/>
    <w:rsid w:val="00653CE3"/>
    <w:rsid w:val="006562C8"/>
    <w:rsid w:val="00660BBA"/>
    <w:rsid w:val="00661305"/>
    <w:rsid w:val="0066218B"/>
    <w:rsid w:val="00666CF9"/>
    <w:rsid w:val="006712FA"/>
    <w:rsid w:val="00676BE9"/>
    <w:rsid w:val="0067753F"/>
    <w:rsid w:val="00683F63"/>
    <w:rsid w:val="00684C7D"/>
    <w:rsid w:val="0069149C"/>
    <w:rsid w:val="00695DE3"/>
    <w:rsid w:val="00696A24"/>
    <w:rsid w:val="006A0A3B"/>
    <w:rsid w:val="006A1792"/>
    <w:rsid w:val="006A3D52"/>
    <w:rsid w:val="006A42E4"/>
    <w:rsid w:val="006A7251"/>
    <w:rsid w:val="006C2825"/>
    <w:rsid w:val="006C5C82"/>
    <w:rsid w:val="006D07C2"/>
    <w:rsid w:val="006D762C"/>
    <w:rsid w:val="006E478B"/>
    <w:rsid w:val="006E7895"/>
    <w:rsid w:val="006F039F"/>
    <w:rsid w:val="006F10A3"/>
    <w:rsid w:val="006F4B41"/>
    <w:rsid w:val="007053CF"/>
    <w:rsid w:val="00721785"/>
    <w:rsid w:val="0072412E"/>
    <w:rsid w:val="007251C0"/>
    <w:rsid w:val="00731F0F"/>
    <w:rsid w:val="00733AFF"/>
    <w:rsid w:val="0073758B"/>
    <w:rsid w:val="00740303"/>
    <w:rsid w:val="00740B5D"/>
    <w:rsid w:val="007422AC"/>
    <w:rsid w:val="00754DC8"/>
    <w:rsid w:val="007558A2"/>
    <w:rsid w:val="00757A33"/>
    <w:rsid w:val="00757E0D"/>
    <w:rsid w:val="00762BE2"/>
    <w:rsid w:val="0076354E"/>
    <w:rsid w:val="00765789"/>
    <w:rsid w:val="007662ED"/>
    <w:rsid w:val="00766548"/>
    <w:rsid w:val="007676B4"/>
    <w:rsid w:val="00777388"/>
    <w:rsid w:val="00780091"/>
    <w:rsid w:val="00781C82"/>
    <w:rsid w:val="007858D5"/>
    <w:rsid w:val="007866DF"/>
    <w:rsid w:val="00787FC4"/>
    <w:rsid w:val="00796C95"/>
    <w:rsid w:val="007A018D"/>
    <w:rsid w:val="007A2132"/>
    <w:rsid w:val="007A3F60"/>
    <w:rsid w:val="007B1A1D"/>
    <w:rsid w:val="007B30CB"/>
    <w:rsid w:val="007B6BCB"/>
    <w:rsid w:val="007D0A3D"/>
    <w:rsid w:val="007E2FC7"/>
    <w:rsid w:val="007F0540"/>
    <w:rsid w:val="007F35AD"/>
    <w:rsid w:val="007F6EFE"/>
    <w:rsid w:val="00800468"/>
    <w:rsid w:val="00804B17"/>
    <w:rsid w:val="00812C05"/>
    <w:rsid w:val="00815569"/>
    <w:rsid w:val="0081595B"/>
    <w:rsid w:val="008204CE"/>
    <w:rsid w:val="00824DBA"/>
    <w:rsid w:val="00832521"/>
    <w:rsid w:val="00832E36"/>
    <w:rsid w:val="00840D0B"/>
    <w:rsid w:val="00840F79"/>
    <w:rsid w:val="00844CD3"/>
    <w:rsid w:val="008527A4"/>
    <w:rsid w:val="00856DE5"/>
    <w:rsid w:val="00862D30"/>
    <w:rsid w:val="00866710"/>
    <w:rsid w:val="00866BB4"/>
    <w:rsid w:val="00866BC9"/>
    <w:rsid w:val="0088193B"/>
    <w:rsid w:val="00884743"/>
    <w:rsid w:val="00886BBA"/>
    <w:rsid w:val="00886D5D"/>
    <w:rsid w:val="00892FBC"/>
    <w:rsid w:val="0089539F"/>
    <w:rsid w:val="008959CB"/>
    <w:rsid w:val="008A1E61"/>
    <w:rsid w:val="008A6873"/>
    <w:rsid w:val="008B6BC2"/>
    <w:rsid w:val="008B7D2A"/>
    <w:rsid w:val="008C0963"/>
    <w:rsid w:val="008C2773"/>
    <w:rsid w:val="008C2A83"/>
    <w:rsid w:val="008C7A24"/>
    <w:rsid w:val="008D06BA"/>
    <w:rsid w:val="008D098A"/>
    <w:rsid w:val="008D24AB"/>
    <w:rsid w:val="008D31C3"/>
    <w:rsid w:val="008D4274"/>
    <w:rsid w:val="008E541A"/>
    <w:rsid w:val="008F3D44"/>
    <w:rsid w:val="008F7F2C"/>
    <w:rsid w:val="009020F6"/>
    <w:rsid w:val="00905F12"/>
    <w:rsid w:val="00914152"/>
    <w:rsid w:val="00923622"/>
    <w:rsid w:val="009248B2"/>
    <w:rsid w:val="00925ADF"/>
    <w:rsid w:val="0092799E"/>
    <w:rsid w:val="009336B6"/>
    <w:rsid w:val="0093414C"/>
    <w:rsid w:val="009342A1"/>
    <w:rsid w:val="00944DDF"/>
    <w:rsid w:val="00946BB0"/>
    <w:rsid w:val="0095087B"/>
    <w:rsid w:val="009544C3"/>
    <w:rsid w:val="009673AC"/>
    <w:rsid w:val="00971E54"/>
    <w:rsid w:val="00973EC9"/>
    <w:rsid w:val="009766C9"/>
    <w:rsid w:val="00976CA2"/>
    <w:rsid w:val="00977D81"/>
    <w:rsid w:val="00981DEE"/>
    <w:rsid w:val="00983C57"/>
    <w:rsid w:val="009856F1"/>
    <w:rsid w:val="00985E86"/>
    <w:rsid w:val="00992E63"/>
    <w:rsid w:val="009979AF"/>
    <w:rsid w:val="009A161B"/>
    <w:rsid w:val="009A3276"/>
    <w:rsid w:val="009A5226"/>
    <w:rsid w:val="009B1C41"/>
    <w:rsid w:val="009B4997"/>
    <w:rsid w:val="009C1898"/>
    <w:rsid w:val="009C4415"/>
    <w:rsid w:val="009C6E09"/>
    <w:rsid w:val="009E2041"/>
    <w:rsid w:val="009E6F4F"/>
    <w:rsid w:val="009F078F"/>
    <w:rsid w:val="009F1101"/>
    <w:rsid w:val="009F539D"/>
    <w:rsid w:val="00A14918"/>
    <w:rsid w:val="00A151EF"/>
    <w:rsid w:val="00A275BF"/>
    <w:rsid w:val="00A34B6C"/>
    <w:rsid w:val="00A4141A"/>
    <w:rsid w:val="00A41CD0"/>
    <w:rsid w:val="00A43D1B"/>
    <w:rsid w:val="00A5193C"/>
    <w:rsid w:val="00A53EAA"/>
    <w:rsid w:val="00A540B5"/>
    <w:rsid w:val="00A649C2"/>
    <w:rsid w:val="00A67456"/>
    <w:rsid w:val="00A737B8"/>
    <w:rsid w:val="00A854FA"/>
    <w:rsid w:val="00A938E6"/>
    <w:rsid w:val="00A94D67"/>
    <w:rsid w:val="00A95304"/>
    <w:rsid w:val="00A96E3E"/>
    <w:rsid w:val="00A974A9"/>
    <w:rsid w:val="00AA3C19"/>
    <w:rsid w:val="00AA68B2"/>
    <w:rsid w:val="00AB19AA"/>
    <w:rsid w:val="00AB3268"/>
    <w:rsid w:val="00AB3E85"/>
    <w:rsid w:val="00AB4A57"/>
    <w:rsid w:val="00AC0695"/>
    <w:rsid w:val="00AC3789"/>
    <w:rsid w:val="00AC3BD5"/>
    <w:rsid w:val="00AC4B64"/>
    <w:rsid w:val="00AC6C7C"/>
    <w:rsid w:val="00AD2DB3"/>
    <w:rsid w:val="00AD3889"/>
    <w:rsid w:val="00AE1A28"/>
    <w:rsid w:val="00AF0B39"/>
    <w:rsid w:val="00AF2013"/>
    <w:rsid w:val="00B03B87"/>
    <w:rsid w:val="00B12FAA"/>
    <w:rsid w:val="00B14585"/>
    <w:rsid w:val="00B20597"/>
    <w:rsid w:val="00B216FD"/>
    <w:rsid w:val="00B21F34"/>
    <w:rsid w:val="00B21F8F"/>
    <w:rsid w:val="00B23AF0"/>
    <w:rsid w:val="00B252DE"/>
    <w:rsid w:val="00B26C29"/>
    <w:rsid w:val="00B30936"/>
    <w:rsid w:val="00B32D02"/>
    <w:rsid w:val="00B3627E"/>
    <w:rsid w:val="00B42B27"/>
    <w:rsid w:val="00B45A0B"/>
    <w:rsid w:val="00B548A0"/>
    <w:rsid w:val="00B55795"/>
    <w:rsid w:val="00B5635D"/>
    <w:rsid w:val="00B56A27"/>
    <w:rsid w:val="00B579C6"/>
    <w:rsid w:val="00B60610"/>
    <w:rsid w:val="00B615F0"/>
    <w:rsid w:val="00B667C9"/>
    <w:rsid w:val="00B75F78"/>
    <w:rsid w:val="00B80740"/>
    <w:rsid w:val="00B90A44"/>
    <w:rsid w:val="00B923F3"/>
    <w:rsid w:val="00BA15DF"/>
    <w:rsid w:val="00BB734D"/>
    <w:rsid w:val="00BC1B50"/>
    <w:rsid w:val="00BC53A2"/>
    <w:rsid w:val="00BD0833"/>
    <w:rsid w:val="00BD0B57"/>
    <w:rsid w:val="00BD30E1"/>
    <w:rsid w:val="00BE06D2"/>
    <w:rsid w:val="00BE3D57"/>
    <w:rsid w:val="00BE5807"/>
    <w:rsid w:val="00BE7375"/>
    <w:rsid w:val="00BE7F4B"/>
    <w:rsid w:val="00BF1027"/>
    <w:rsid w:val="00BF3420"/>
    <w:rsid w:val="00BF5F2A"/>
    <w:rsid w:val="00C00534"/>
    <w:rsid w:val="00C03C6D"/>
    <w:rsid w:val="00C07787"/>
    <w:rsid w:val="00C10062"/>
    <w:rsid w:val="00C1218A"/>
    <w:rsid w:val="00C16630"/>
    <w:rsid w:val="00C20F51"/>
    <w:rsid w:val="00C2193D"/>
    <w:rsid w:val="00C2732D"/>
    <w:rsid w:val="00C30E07"/>
    <w:rsid w:val="00C342E7"/>
    <w:rsid w:val="00C35F55"/>
    <w:rsid w:val="00C4113C"/>
    <w:rsid w:val="00C451ED"/>
    <w:rsid w:val="00C54F8C"/>
    <w:rsid w:val="00C57CBC"/>
    <w:rsid w:val="00C6169B"/>
    <w:rsid w:val="00C62CF8"/>
    <w:rsid w:val="00C65B4A"/>
    <w:rsid w:val="00C6639E"/>
    <w:rsid w:val="00C7016C"/>
    <w:rsid w:val="00C81E2C"/>
    <w:rsid w:val="00C8332C"/>
    <w:rsid w:val="00C871BF"/>
    <w:rsid w:val="00C9681D"/>
    <w:rsid w:val="00CA2649"/>
    <w:rsid w:val="00CA5FAA"/>
    <w:rsid w:val="00CB5163"/>
    <w:rsid w:val="00CC182A"/>
    <w:rsid w:val="00CD3518"/>
    <w:rsid w:val="00CD569A"/>
    <w:rsid w:val="00CE0F20"/>
    <w:rsid w:val="00CE2C19"/>
    <w:rsid w:val="00CE4732"/>
    <w:rsid w:val="00D0354C"/>
    <w:rsid w:val="00D035CD"/>
    <w:rsid w:val="00D116CD"/>
    <w:rsid w:val="00D2345B"/>
    <w:rsid w:val="00D240D5"/>
    <w:rsid w:val="00D24A3D"/>
    <w:rsid w:val="00D2508F"/>
    <w:rsid w:val="00D37E5A"/>
    <w:rsid w:val="00D43109"/>
    <w:rsid w:val="00D45B8D"/>
    <w:rsid w:val="00D56A9B"/>
    <w:rsid w:val="00D56AD2"/>
    <w:rsid w:val="00D61694"/>
    <w:rsid w:val="00D62756"/>
    <w:rsid w:val="00D628BD"/>
    <w:rsid w:val="00D73E82"/>
    <w:rsid w:val="00D73EEC"/>
    <w:rsid w:val="00D741E2"/>
    <w:rsid w:val="00D82A29"/>
    <w:rsid w:val="00D963CB"/>
    <w:rsid w:val="00DA0AD7"/>
    <w:rsid w:val="00DA3596"/>
    <w:rsid w:val="00DA4A48"/>
    <w:rsid w:val="00DA6748"/>
    <w:rsid w:val="00DA6808"/>
    <w:rsid w:val="00DB0587"/>
    <w:rsid w:val="00DB15D1"/>
    <w:rsid w:val="00DC3B3A"/>
    <w:rsid w:val="00DC4AFC"/>
    <w:rsid w:val="00DD1FA4"/>
    <w:rsid w:val="00DD4197"/>
    <w:rsid w:val="00DD5C58"/>
    <w:rsid w:val="00DE2EDB"/>
    <w:rsid w:val="00DE32AE"/>
    <w:rsid w:val="00DF0955"/>
    <w:rsid w:val="00DF50A0"/>
    <w:rsid w:val="00E03B48"/>
    <w:rsid w:val="00E1660A"/>
    <w:rsid w:val="00E20710"/>
    <w:rsid w:val="00E27D79"/>
    <w:rsid w:val="00E35089"/>
    <w:rsid w:val="00E350CE"/>
    <w:rsid w:val="00E415AE"/>
    <w:rsid w:val="00E41E4F"/>
    <w:rsid w:val="00E43392"/>
    <w:rsid w:val="00E472A3"/>
    <w:rsid w:val="00E47B86"/>
    <w:rsid w:val="00E5225A"/>
    <w:rsid w:val="00E55CC5"/>
    <w:rsid w:val="00E600FF"/>
    <w:rsid w:val="00E60300"/>
    <w:rsid w:val="00E701D2"/>
    <w:rsid w:val="00E718BC"/>
    <w:rsid w:val="00E86555"/>
    <w:rsid w:val="00E93B28"/>
    <w:rsid w:val="00E96BBA"/>
    <w:rsid w:val="00E97570"/>
    <w:rsid w:val="00EA2AB4"/>
    <w:rsid w:val="00EA3100"/>
    <w:rsid w:val="00EA463C"/>
    <w:rsid w:val="00EA50A9"/>
    <w:rsid w:val="00EB0E66"/>
    <w:rsid w:val="00EB37F7"/>
    <w:rsid w:val="00EB4180"/>
    <w:rsid w:val="00EB480E"/>
    <w:rsid w:val="00EB71F3"/>
    <w:rsid w:val="00EC4AE4"/>
    <w:rsid w:val="00EC4D94"/>
    <w:rsid w:val="00ED37E7"/>
    <w:rsid w:val="00ED4EBB"/>
    <w:rsid w:val="00ED7370"/>
    <w:rsid w:val="00EE2B5E"/>
    <w:rsid w:val="00EF0890"/>
    <w:rsid w:val="00EF4A2B"/>
    <w:rsid w:val="00EF556C"/>
    <w:rsid w:val="00F01E26"/>
    <w:rsid w:val="00F05E28"/>
    <w:rsid w:val="00F06E5E"/>
    <w:rsid w:val="00F074B6"/>
    <w:rsid w:val="00F10253"/>
    <w:rsid w:val="00F1230F"/>
    <w:rsid w:val="00F15C1E"/>
    <w:rsid w:val="00F160C8"/>
    <w:rsid w:val="00F17732"/>
    <w:rsid w:val="00F23BBC"/>
    <w:rsid w:val="00F247DB"/>
    <w:rsid w:val="00F443C2"/>
    <w:rsid w:val="00F53FDA"/>
    <w:rsid w:val="00F545B3"/>
    <w:rsid w:val="00F60730"/>
    <w:rsid w:val="00F66AA3"/>
    <w:rsid w:val="00F73E4D"/>
    <w:rsid w:val="00F81EA9"/>
    <w:rsid w:val="00F91696"/>
    <w:rsid w:val="00F928F8"/>
    <w:rsid w:val="00FA5C6D"/>
    <w:rsid w:val="00FB2781"/>
    <w:rsid w:val="00FB7C06"/>
    <w:rsid w:val="00FC6071"/>
    <w:rsid w:val="00FC6DF8"/>
    <w:rsid w:val="00FD1929"/>
    <w:rsid w:val="00FD2C7C"/>
    <w:rsid w:val="00FD46F4"/>
    <w:rsid w:val="00FD7D69"/>
    <w:rsid w:val="00FE1CDD"/>
    <w:rsid w:val="00FE4F22"/>
    <w:rsid w:val="00FE74B2"/>
    <w:rsid w:val="00FE7B73"/>
    <w:rsid w:val="00FF50C7"/>
    <w:rsid w:val="00FF61C1"/>
    <w:rsid w:val="00FF62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34632C"/>
  <w15:chartTrackingRefBased/>
  <w15:docId w15:val="{D45B08AA-71C3-4ADE-8CBC-C8C3F1250A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8074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8074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23582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20F6"/>
    <w:pPr>
      <w:widowControl w:val="0"/>
      <w:tabs>
        <w:tab w:val="center" w:pos="4680"/>
        <w:tab w:val="right" w:pos="9360"/>
      </w:tabs>
      <w:autoSpaceDE w:val="0"/>
      <w:autoSpaceDN w:val="0"/>
      <w:adjustRightInd w:val="0"/>
      <w:spacing w:after="0" w:line="240" w:lineRule="auto"/>
    </w:pPr>
    <w:rPr>
      <w:rFonts w:ascii="Arial" w:eastAsiaTheme="minorEastAsia" w:hAnsi="Arial" w:cs="Arial"/>
      <w:color w:val="000000"/>
      <w:sz w:val="24"/>
      <w:szCs w:val="24"/>
    </w:rPr>
  </w:style>
  <w:style w:type="character" w:customStyle="1" w:styleId="FooterChar">
    <w:name w:val="Footer Char"/>
    <w:basedOn w:val="DefaultParagraphFont"/>
    <w:link w:val="Footer"/>
    <w:uiPriority w:val="99"/>
    <w:rsid w:val="009020F6"/>
    <w:rPr>
      <w:rFonts w:ascii="Arial" w:eastAsiaTheme="minorEastAsia" w:hAnsi="Arial" w:cs="Arial"/>
      <w:color w:val="000000"/>
      <w:sz w:val="24"/>
      <w:szCs w:val="24"/>
    </w:rPr>
  </w:style>
  <w:style w:type="paragraph" w:styleId="ListParagraph">
    <w:name w:val="List Paragraph"/>
    <w:aliases w:val="Bullet,Bullets,H,Ha,Heading3,Indent Paragraph,LIST OF TABLES.,List Bullet Mary,List Paragraph (numbered (a)),List Paragraph nowy,List Paragraph1,List bullet,Numbered List Paragraph,References,WB List Paragraph,body bullets,heading 6,l,lp1"/>
    <w:basedOn w:val="Normal"/>
    <w:link w:val="ListParagraphChar"/>
    <w:uiPriority w:val="34"/>
    <w:qFormat/>
    <w:rsid w:val="009020F6"/>
    <w:pPr>
      <w:widowControl w:val="0"/>
      <w:autoSpaceDE w:val="0"/>
      <w:autoSpaceDN w:val="0"/>
      <w:adjustRightInd w:val="0"/>
      <w:spacing w:after="0" w:line="240" w:lineRule="auto"/>
      <w:ind w:left="720"/>
      <w:contextualSpacing/>
    </w:pPr>
    <w:rPr>
      <w:rFonts w:ascii="Arial" w:eastAsiaTheme="minorEastAsia" w:hAnsi="Arial" w:cs="Arial"/>
      <w:color w:val="000000"/>
      <w:sz w:val="24"/>
      <w:szCs w:val="24"/>
    </w:rPr>
  </w:style>
  <w:style w:type="character" w:customStyle="1" w:styleId="ListParagraphChar">
    <w:name w:val="List Paragraph Char"/>
    <w:aliases w:val="Bullet Char,Bullets Char,H Char,Ha Char,Heading3 Char,Indent Paragraph Char,LIST OF TABLES. Char,List Bullet Mary Char,List Paragraph (numbered (a)) Char,List Paragraph nowy Char,List Paragraph1 Char,List bullet Char,References Char"/>
    <w:basedOn w:val="DefaultParagraphFont"/>
    <w:link w:val="ListParagraph"/>
    <w:uiPriority w:val="34"/>
    <w:qFormat/>
    <w:rsid w:val="009020F6"/>
    <w:rPr>
      <w:rFonts w:ascii="Arial" w:eastAsiaTheme="minorEastAsia" w:hAnsi="Arial" w:cs="Arial"/>
      <w:color w:val="000000"/>
      <w:sz w:val="24"/>
      <w:szCs w:val="24"/>
    </w:rPr>
  </w:style>
  <w:style w:type="paragraph" w:styleId="FootnoteText">
    <w:name w:val="footnote text"/>
    <w:aliases w:val="AD,Boston 10,FOOTNOTES,Font: Geneva 9,Footnote Text Char Char Char Char Char,Footnote Text Char Char Char Char Char Char,Footnote Text Char Char Char Char Char1,Footnote Text Char Char Char Char1,Geneva 9,f,fn,footnote text,ft,single space"/>
    <w:basedOn w:val="Normal"/>
    <w:link w:val="FootnoteTextChar"/>
    <w:uiPriority w:val="99"/>
    <w:unhideWhenUsed/>
    <w:qFormat/>
    <w:rsid w:val="009020F6"/>
    <w:pPr>
      <w:widowControl w:val="0"/>
      <w:autoSpaceDE w:val="0"/>
      <w:autoSpaceDN w:val="0"/>
      <w:adjustRightInd w:val="0"/>
      <w:spacing w:after="0" w:line="240" w:lineRule="auto"/>
    </w:pPr>
    <w:rPr>
      <w:rFonts w:eastAsiaTheme="minorEastAsia" w:cs="Arial"/>
      <w:color w:val="000000"/>
      <w:sz w:val="18"/>
      <w:szCs w:val="20"/>
    </w:rPr>
  </w:style>
  <w:style w:type="character" w:customStyle="1" w:styleId="FootnoteTextChar">
    <w:name w:val="Footnote Text Char"/>
    <w:aliases w:val="AD Char,Boston 10 Char,FOOTNOTES Char,Font: Geneva 9 Char,Footnote Text Char Char Char Char Char Char1,Footnote Text Char Char Char Char Char Char Char,Footnote Text Char Char Char Char Char1 Char,Geneva 9 Char,f Char,fn Char,ft Char"/>
    <w:basedOn w:val="DefaultParagraphFont"/>
    <w:link w:val="FootnoteText"/>
    <w:uiPriority w:val="99"/>
    <w:qFormat/>
    <w:rsid w:val="009020F6"/>
    <w:rPr>
      <w:rFonts w:eastAsiaTheme="minorEastAsia" w:cs="Arial"/>
      <w:color w:val="000000"/>
      <w:sz w:val="18"/>
      <w:szCs w:val="20"/>
    </w:rPr>
  </w:style>
  <w:style w:type="character" w:styleId="FootnoteReference">
    <w:name w:val="footnote reference"/>
    <w:aliases w:val="16 Point,BVI fnr,Footnote Reference Number,Footnote Reference_LVL6,Footnote Reference_LVL61,Footnote Reference_LVL62,Footnote Reference_LVL63,Footnote Reference_LVL64,Ref,SUPERS,Superscript 6 Point,footnote ref,fr,ftref,Знак сноски 1"/>
    <w:basedOn w:val="DefaultParagraphFont"/>
    <w:link w:val="FNRefeCharChar"/>
    <w:uiPriority w:val="99"/>
    <w:qFormat/>
    <w:rsid w:val="009020F6"/>
    <w:rPr>
      <w:vertAlign w:val="superscript"/>
    </w:rPr>
  </w:style>
  <w:style w:type="paragraph" w:customStyle="1" w:styleId="FNRefeCharChar">
    <w:name w:val="FNRefe Char Char"/>
    <w:aliases w:val=" BVI fnr Car Car Car Car Char Char Char Char Char, BVI fnr Car Car Char Char Char, BVI fnr Char Char Char,BVI fnr Car Car Car Car Char Char Char Char Char,BVI fnr Car Car Char Char Char,BVI fnr Car Char Char Char,BVI fnr Char Char"/>
    <w:basedOn w:val="Normal"/>
    <w:link w:val="FootnoteReference"/>
    <w:uiPriority w:val="99"/>
    <w:qFormat/>
    <w:rsid w:val="009020F6"/>
    <w:pPr>
      <w:spacing w:line="240" w:lineRule="exact"/>
    </w:pPr>
    <w:rPr>
      <w:vertAlign w:val="superscript"/>
    </w:rPr>
  </w:style>
  <w:style w:type="table" w:styleId="TableGrid">
    <w:name w:val="Table Grid"/>
    <w:basedOn w:val="TableNormal"/>
    <w:uiPriority w:val="39"/>
    <w:rsid w:val="003166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80740"/>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80740"/>
    <w:pPr>
      <w:outlineLvl w:val="9"/>
    </w:pPr>
  </w:style>
  <w:style w:type="paragraph" w:styleId="NoSpacing">
    <w:name w:val="No Spacing"/>
    <w:link w:val="NoSpacingChar"/>
    <w:uiPriority w:val="1"/>
    <w:qFormat/>
    <w:rsid w:val="00B80740"/>
    <w:pPr>
      <w:spacing w:after="0" w:line="240" w:lineRule="auto"/>
    </w:pPr>
    <w:rPr>
      <w:rFonts w:eastAsiaTheme="minorEastAsia"/>
    </w:rPr>
  </w:style>
  <w:style w:type="character" w:customStyle="1" w:styleId="NoSpacingChar">
    <w:name w:val="No Spacing Char"/>
    <w:basedOn w:val="DefaultParagraphFont"/>
    <w:link w:val="NoSpacing"/>
    <w:uiPriority w:val="1"/>
    <w:rsid w:val="00B80740"/>
    <w:rPr>
      <w:rFonts w:eastAsiaTheme="minorEastAsia"/>
    </w:rPr>
  </w:style>
  <w:style w:type="character" w:customStyle="1" w:styleId="Heading2Char">
    <w:name w:val="Heading 2 Char"/>
    <w:basedOn w:val="DefaultParagraphFont"/>
    <w:link w:val="Heading2"/>
    <w:uiPriority w:val="9"/>
    <w:rsid w:val="00B80740"/>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23582D"/>
    <w:pPr>
      <w:tabs>
        <w:tab w:val="right" w:leader="dot" w:pos="9017"/>
      </w:tabs>
      <w:spacing w:after="0"/>
      <w:ind w:left="221"/>
    </w:pPr>
  </w:style>
  <w:style w:type="character" w:styleId="Hyperlink">
    <w:name w:val="Hyperlink"/>
    <w:basedOn w:val="DefaultParagraphFont"/>
    <w:uiPriority w:val="99"/>
    <w:unhideWhenUsed/>
    <w:rsid w:val="0023582D"/>
    <w:rPr>
      <w:color w:val="0563C1" w:themeColor="hyperlink"/>
      <w:u w:val="single"/>
    </w:rPr>
  </w:style>
  <w:style w:type="paragraph" w:styleId="TOC3">
    <w:name w:val="toc 3"/>
    <w:basedOn w:val="Normal"/>
    <w:next w:val="Normal"/>
    <w:autoRedefine/>
    <w:uiPriority w:val="39"/>
    <w:unhideWhenUsed/>
    <w:rsid w:val="0023582D"/>
    <w:pPr>
      <w:spacing w:after="100"/>
      <w:ind w:left="440"/>
    </w:pPr>
  </w:style>
  <w:style w:type="character" w:customStyle="1" w:styleId="Heading3Char">
    <w:name w:val="Heading 3 Char"/>
    <w:basedOn w:val="DefaultParagraphFont"/>
    <w:link w:val="Heading3"/>
    <w:uiPriority w:val="9"/>
    <w:rsid w:val="0023582D"/>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A540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40B5"/>
    <w:rPr>
      <w:rFonts w:ascii="Segoe UI" w:hAnsi="Segoe UI" w:cs="Segoe UI"/>
      <w:sz w:val="18"/>
      <w:szCs w:val="18"/>
    </w:rPr>
  </w:style>
  <w:style w:type="character" w:styleId="CommentReference">
    <w:name w:val="annotation reference"/>
    <w:basedOn w:val="DefaultParagraphFont"/>
    <w:uiPriority w:val="99"/>
    <w:semiHidden/>
    <w:unhideWhenUsed/>
    <w:rsid w:val="0033783E"/>
    <w:rPr>
      <w:sz w:val="16"/>
      <w:szCs w:val="16"/>
    </w:rPr>
  </w:style>
  <w:style w:type="paragraph" w:styleId="CommentText">
    <w:name w:val="annotation text"/>
    <w:basedOn w:val="Normal"/>
    <w:link w:val="CommentTextChar"/>
    <w:uiPriority w:val="99"/>
    <w:semiHidden/>
    <w:unhideWhenUsed/>
    <w:rsid w:val="0033783E"/>
    <w:pPr>
      <w:spacing w:line="240" w:lineRule="auto"/>
    </w:pPr>
    <w:rPr>
      <w:sz w:val="20"/>
      <w:szCs w:val="20"/>
    </w:rPr>
  </w:style>
  <w:style w:type="character" w:customStyle="1" w:styleId="CommentTextChar">
    <w:name w:val="Comment Text Char"/>
    <w:basedOn w:val="DefaultParagraphFont"/>
    <w:link w:val="CommentText"/>
    <w:uiPriority w:val="99"/>
    <w:semiHidden/>
    <w:rsid w:val="0033783E"/>
    <w:rPr>
      <w:sz w:val="20"/>
      <w:szCs w:val="20"/>
    </w:rPr>
  </w:style>
  <w:style w:type="paragraph" w:styleId="CommentSubject">
    <w:name w:val="annotation subject"/>
    <w:basedOn w:val="CommentText"/>
    <w:next w:val="CommentText"/>
    <w:link w:val="CommentSubjectChar"/>
    <w:uiPriority w:val="99"/>
    <w:semiHidden/>
    <w:unhideWhenUsed/>
    <w:rsid w:val="0033783E"/>
    <w:rPr>
      <w:b/>
      <w:bCs/>
    </w:rPr>
  </w:style>
  <w:style w:type="character" w:customStyle="1" w:styleId="CommentSubjectChar">
    <w:name w:val="Comment Subject Char"/>
    <w:basedOn w:val="CommentTextChar"/>
    <w:link w:val="CommentSubject"/>
    <w:uiPriority w:val="99"/>
    <w:semiHidden/>
    <w:rsid w:val="0033783E"/>
    <w:rPr>
      <w:b/>
      <w:bCs/>
      <w:sz w:val="20"/>
      <w:szCs w:val="20"/>
    </w:rPr>
  </w:style>
  <w:style w:type="paragraph" w:styleId="Header">
    <w:name w:val="header"/>
    <w:basedOn w:val="Normal"/>
    <w:link w:val="HeaderChar"/>
    <w:uiPriority w:val="99"/>
    <w:unhideWhenUsed/>
    <w:rsid w:val="007241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2412E"/>
  </w:style>
  <w:style w:type="paragraph" w:styleId="Revision">
    <w:name w:val="Revision"/>
    <w:hidden/>
    <w:uiPriority w:val="99"/>
    <w:semiHidden/>
    <w:rsid w:val="00BE7F4B"/>
    <w:pPr>
      <w:spacing w:after="0" w:line="240" w:lineRule="auto"/>
    </w:pPr>
  </w:style>
  <w:style w:type="paragraph" w:styleId="EndnoteText">
    <w:name w:val="endnote text"/>
    <w:basedOn w:val="Normal"/>
    <w:link w:val="EndnoteTextChar"/>
    <w:uiPriority w:val="99"/>
    <w:semiHidden/>
    <w:unhideWhenUsed/>
    <w:rsid w:val="00627E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27EAE"/>
    <w:rPr>
      <w:sz w:val="20"/>
      <w:szCs w:val="20"/>
    </w:rPr>
  </w:style>
  <w:style w:type="character" w:styleId="EndnoteReference">
    <w:name w:val="endnote reference"/>
    <w:basedOn w:val="DefaultParagraphFont"/>
    <w:uiPriority w:val="99"/>
    <w:semiHidden/>
    <w:unhideWhenUsed/>
    <w:rsid w:val="00627E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461179">
      <w:bodyDiv w:val="1"/>
      <w:marLeft w:val="0"/>
      <w:marRight w:val="0"/>
      <w:marTop w:val="0"/>
      <w:marBottom w:val="0"/>
      <w:divBdr>
        <w:top w:val="none" w:sz="0" w:space="0" w:color="auto"/>
        <w:left w:val="none" w:sz="0" w:space="0" w:color="auto"/>
        <w:bottom w:val="none" w:sz="0" w:space="0" w:color="auto"/>
        <w:right w:val="none" w:sz="0" w:space="0" w:color="auto"/>
      </w:divBdr>
    </w:div>
    <w:div w:id="694887436">
      <w:bodyDiv w:val="1"/>
      <w:marLeft w:val="0"/>
      <w:marRight w:val="0"/>
      <w:marTop w:val="0"/>
      <w:marBottom w:val="0"/>
      <w:divBdr>
        <w:top w:val="none" w:sz="0" w:space="0" w:color="auto"/>
        <w:left w:val="none" w:sz="0" w:space="0" w:color="auto"/>
        <w:bottom w:val="none" w:sz="0" w:space="0" w:color="auto"/>
        <w:right w:val="none" w:sz="0" w:space="0" w:color="auto"/>
      </w:divBdr>
    </w:div>
    <w:div w:id="856502784">
      <w:bodyDiv w:val="1"/>
      <w:marLeft w:val="0"/>
      <w:marRight w:val="0"/>
      <w:marTop w:val="0"/>
      <w:marBottom w:val="0"/>
      <w:divBdr>
        <w:top w:val="none" w:sz="0" w:space="0" w:color="auto"/>
        <w:left w:val="none" w:sz="0" w:space="0" w:color="auto"/>
        <w:bottom w:val="none" w:sz="0" w:space="0" w:color="auto"/>
        <w:right w:val="none" w:sz="0" w:space="0" w:color="auto"/>
      </w:divBdr>
    </w:div>
    <w:div w:id="1205406888">
      <w:bodyDiv w:val="1"/>
      <w:marLeft w:val="0"/>
      <w:marRight w:val="0"/>
      <w:marTop w:val="0"/>
      <w:marBottom w:val="0"/>
      <w:divBdr>
        <w:top w:val="none" w:sz="0" w:space="0" w:color="auto"/>
        <w:left w:val="none" w:sz="0" w:space="0" w:color="auto"/>
        <w:bottom w:val="none" w:sz="0" w:space="0" w:color="auto"/>
        <w:right w:val="none" w:sz="0" w:space="0" w:color="auto"/>
      </w:divBdr>
    </w:div>
    <w:div w:id="1220022746">
      <w:bodyDiv w:val="1"/>
      <w:marLeft w:val="0"/>
      <w:marRight w:val="0"/>
      <w:marTop w:val="0"/>
      <w:marBottom w:val="0"/>
      <w:divBdr>
        <w:top w:val="none" w:sz="0" w:space="0" w:color="auto"/>
        <w:left w:val="none" w:sz="0" w:space="0" w:color="auto"/>
        <w:bottom w:val="none" w:sz="0" w:space="0" w:color="auto"/>
        <w:right w:val="none" w:sz="0" w:space="0" w:color="auto"/>
      </w:divBdr>
    </w:div>
    <w:div w:id="1402560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image" Target="media/image10.emf"/><Relationship Id="rId21" Type="http://schemas.openxmlformats.org/officeDocument/2006/relationships/image" Target="media/image11.emf"/><Relationship Id="rId22" Type="http://schemas.openxmlformats.org/officeDocument/2006/relationships/image" Target="media/image12.emf"/><Relationship Id="rId23" Type="http://schemas.openxmlformats.org/officeDocument/2006/relationships/image" Target="media/image13.emf"/><Relationship Id="rId24" Type="http://schemas.openxmlformats.org/officeDocument/2006/relationships/image" Target="media/image14.emf"/><Relationship Id="rId25" Type="http://schemas.openxmlformats.org/officeDocument/2006/relationships/image" Target="media/image15.emf"/><Relationship Id="rId26" Type="http://schemas.openxmlformats.org/officeDocument/2006/relationships/image" Target="media/image16.emf"/><Relationship Id="rId27" Type="http://schemas.openxmlformats.org/officeDocument/2006/relationships/image" Target="media/image17.emf"/><Relationship Id="rId28" Type="http://schemas.openxmlformats.org/officeDocument/2006/relationships/footer" Target="footer1.xml"/><Relationship Id="rId29" Type="http://schemas.openxmlformats.org/officeDocument/2006/relationships/image" Target="media/image18.emf"/><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30" Type="http://schemas.openxmlformats.org/officeDocument/2006/relationships/image" Target="media/image19.emf"/><Relationship Id="rId31" Type="http://schemas.openxmlformats.org/officeDocument/2006/relationships/image" Target="media/image20.emf"/><Relationship Id="rId32" Type="http://schemas.openxmlformats.org/officeDocument/2006/relationships/fontTable" Target="fontTable.xml"/><Relationship Id="rId9" Type="http://schemas.openxmlformats.org/officeDocument/2006/relationships/footnotes" Target="footnotes.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 Id="rId33"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image" Target="media/image1.emf"/><Relationship Id="rId12" Type="http://schemas.openxmlformats.org/officeDocument/2006/relationships/image" Target="media/image2.emf"/><Relationship Id="rId13" Type="http://schemas.openxmlformats.org/officeDocument/2006/relationships/image" Target="media/image3.emf"/><Relationship Id="rId14" Type="http://schemas.openxmlformats.org/officeDocument/2006/relationships/image" Target="media/image4.emf"/><Relationship Id="rId15" Type="http://schemas.openxmlformats.org/officeDocument/2006/relationships/image" Target="media/image5.emf"/><Relationship Id="rId16" Type="http://schemas.openxmlformats.org/officeDocument/2006/relationships/image" Target="media/image6.emf"/><Relationship Id="rId17" Type="http://schemas.openxmlformats.org/officeDocument/2006/relationships/image" Target="media/image7.emf"/><Relationship Id="rId18" Type="http://schemas.openxmlformats.org/officeDocument/2006/relationships/image" Target="media/image8.emf"/><Relationship Id="rId19" Type="http://schemas.openxmlformats.org/officeDocument/2006/relationships/image" Target="media/image9.emf"/></Relationships>
</file>

<file path=word/_rels/footnotes.xml.rels><?xml version="1.0" encoding="UTF-8" standalone="yes"?>
<Relationships xmlns="http://schemas.openxmlformats.org/package/2006/relationships"><Relationship Id="rId1" Type="http://schemas.openxmlformats.org/officeDocument/2006/relationships/hyperlink" Target="https://jubileedebt.org.uk/countries/sudan" TargetMode="External"/><Relationship Id="rId2" Type="http://schemas.openxmlformats.org/officeDocument/2006/relationships/hyperlink" Target="http://pubdocs.worldbank.org/en/911381516303509498/2017-Shadow-Price-of-Carbon-Guidance-Note-FINAL-CLEARE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979F12F22C9E4F9273E32F354CEDB7" ma:contentTypeVersion="14" ma:contentTypeDescription="Create a new document." ma:contentTypeScope="" ma:versionID="20e30d4e9bb08fd08cde126d5a8214c5">
  <xsd:schema xmlns:xsd="http://www.w3.org/2001/XMLSchema" xmlns:xs="http://www.w3.org/2001/XMLSchema" xmlns:p="http://schemas.microsoft.com/office/2006/metadata/properties" xmlns:ns2="366ae72f-6d51-4737-8f6b-a9169c366b64" xmlns:ns3="a3cd7b71-671d-4139-9a97-5d1a7380fae4" targetNamespace="http://schemas.microsoft.com/office/2006/metadata/properties" ma:root="true" ma:fieldsID="1e4dae1d9d17e89866f720decb35dab9" ns2:_="" ns3:_="">
    <xsd:import namespace="366ae72f-6d51-4737-8f6b-a9169c366b64"/>
    <xsd:import namespace="a3cd7b71-671d-4139-9a97-5d1a7380fa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file_x0020_" minOccurs="0"/>
                <xsd:element ref="ns2:remark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ae72f-6d51-4737-8f6b-a9169c366b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description=""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file_x0020_" ma:index="16" nillable="true" ma:displayName="file " ma:format="Dropdown" ma:internalName="file_x0020_" ma:percentage="FALSE">
      <xsd:simpleType>
        <xsd:restriction base="dms:Number"/>
      </xsd:simpleType>
    </xsd:element>
    <xsd:element name="remarks" ma:index="17" nillable="true" ma:displayName="remarks" ma:format="Dropdown" ma:internalName="remarks">
      <xsd:simpleType>
        <xsd:restriction base="dms:Text">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cd7b71-671d-4139-9a97-5d1a7380fae4"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marks xmlns="366ae72f-6d51-4737-8f6b-a9169c366b64" xsi:nil="true"/>
    <file_x0020_ xmlns="366ae72f-6d51-4737-8f6b-a9169c366b6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0E1C3-488C-4A38-B427-E014963D738A}"/>
</file>

<file path=customXml/itemProps2.xml><?xml version="1.0" encoding="utf-8"?>
<ds:datastoreItem xmlns:ds="http://schemas.openxmlformats.org/officeDocument/2006/customXml" ds:itemID="{E7A17C05-B96E-438B-A97F-AA06FB1E4189}">
  <ds:schemaRefs>
    <ds:schemaRef ds:uri="http://schemas.microsoft.com/sharepoint/v3/contenttype/forms"/>
  </ds:schemaRefs>
</ds:datastoreItem>
</file>

<file path=customXml/itemProps3.xml><?xml version="1.0" encoding="utf-8"?>
<ds:datastoreItem xmlns:ds="http://schemas.openxmlformats.org/officeDocument/2006/customXml" ds:itemID="{435D6E89-B84C-4615-A4EB-FAB2521E76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4656F9-EB1F-F948-9218-7A34E41FA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3761</Words>
  <Characters>21442</Characters>
  <Application>Microsoft Macintosh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25153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Ozcelik, Erkan (DPIA)</dc:creator>
  <cp:keywords/>
  <dc:description/>
  <cp:lastModifiedBy>Anika Seggel</cp:lastModifiedBy>
  <cp:revision>2</cp:revision>
  <dcterms:created xsi:type="dcterms:W3CDTF">2020-07-16T16:08:00Z</dcterms:created>
  <dcterms:modified xsi:type="dcterms:W3CDTF">2020-07-16T16:08:00Z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0x01010000979F12F22C9E4F9273E32F354CEDB7</vt:lpwstr>
  </property>
</Properties>
</file>