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displacedByCustomXml="next"/>
    <w:bookmarkEnd w:id="0" w:displacedByCustomXml="next"/>
    <w:sdt>
      <w:sdtPr>
        <w:id w:val="-677736180"/>
        <w:docPartObj>
          <w:docPartGallery w:val="Cover Pages"/>
          <w:docPartUnique/>
        </w:docPartObj>
      </w:sdtPr>
      <w:sdtEndPr/>
      <w:sdtContent>
        <w:p w14:paraId="27D9CB18" w14:textId="77777777" w:rsidR="00E84B1B" w:rsidRDefault="00E84B1B" w:rsidP="00E84B1B">
          <w:pPr>
            <w:contextualSpacing/>
            <w:rPr>
              <w:rFonts w:asciiTheme="majorHAnsi" w:hAnsiTheme="majorHAnsi"/>
              <w:color w:val="808080" w:themeColor="background1" w:themeShade="80"/>
              <w:sz w:val="40"/>
              <w:szCs w:val="40"/>
            </w:rPr>
          </w:pPr>
          <w:r>
            <w:rPr>
              <w:noProof/>
              <w:lang w:val="es-EC" w:eastAsia="es-EC"/>
            </w:rPr>
            <mc:AlternateContent>
              <mc:Choice Requires="wpg">
                <w:drawing>
                  <wp:anchor distT="0" distB="0" distL="114300" distR="114300" simplePos="0" relativeHeight="251663360" behindDoc="0" locked="0" layoutInCell="1" allowOverlap="1" wp14:anchorId="7CE4727C" wp14:editId="6308FA27">
                    <wp:simplePos x="0" y="0"/>
                    <wp:positionH relativeFrom="column">
                      <wp:posOffset>4000500</wp:posOffset>
                    </wp:positionH>
                    <wp:positionV relativeFrom="paragraph">
                      <wp:posOffset>8255</wp:posOffset>
                    </wp:positionV>
                    <wp:extent cx="2057400" cy="1248982"/>
                    <wp:effectExtent l="0" t="0" r="25400" b="21590"/>
                    <wp:wrapNone/>
                    <wp:docPr id="91" name="Group 91"/>
                    <wp:cNvGraphicFramePr/>
                    <a:graphic xmlns:a="http://schemas.openxmlformats.org/drawingml/2006/main">
                      <a:graphicData uri="http://schemas.microsoft.com/office/word/2010/wordprocessingGroup">
                        <wpg:wgp>
                          <wpg:cNvGrpSpPr/>
                          <wpg:grpSpPr>
                            <a:xfrm>
                              <a:off x="0" y="0"/>
                              <a:ext cx="2057400" cy="1248982"/>
                              <a:chOff x="0" y="123825"/>
                              <a:chExt cx="1333500" cy="652780"/>
                            </a:xfrm>
                          </wpg:grpSpPr>
                          <wps:wsp>
                            <wps:cNvPr id="92" name="Text Box 6"/>
                            <wps:cNvSpPr txBox="1">
                              <a:spLocks noChangeArrowheads="1"/>
                            </wps:cNvSpPr>
                            <wps:spPr bwMode="auto">
                              <a:xfrm>
                                <a:off x="0" y="123825"/>
                                <a:ext cx="1257935" cy="5175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808080"/>
                                    </a:solidFill>
                                    <a:miter lim="800000"/>
                                    <a:headEnd/>
                                    <a:tailEnd/>
                                  </a14:hiddenLine>
                                </a:ext>
                              </a:extLst>
                            </wps:spPr>
                            <wps:txbx>
                              <w:txbxContent>
                                <w:p w14:paraId="01586C5D" w14:textId="1217C9C0" w:rsidR="00785C0D" w:rsidRPr="007940F6" w:rsidRDefault="006A517A" w:rsidP="00E84B1B">
                                  <w:pPr>
                                    <w:contextualSpacing/>
                                    <w:jc w:val="right"/>
                                    <w:rPr>
                                      <w:rFonts w:ascii="Calibri" w:hAnsi="Calibri"/>
                                      <w:b/>
                                      <w:sz w:val="32"/>
                                      <w:szCs w:val="32"/>
                                    </w:rPr>
                                  </w:pPr>
                                  <w:r>
                                    <w:rPr>
                                      <w:rFonts w:ascii="Calibri" w:hAnsi="Calibri"/>
                                      <w:b/>
                                      <w:sz w:val="32"/>
                                      <w:szCs w:val="32"/>
                                    </w:rPr>
                                    <w:t>January 2020</w:t>
                                  </w:r>
                                </w:p>
                                <w:p w14:paraId="3841DB5E" w14:textId="77777777" w:rsidR="00785C0D" w:rsidRDefault="00785C0D" w:rsidP="00E84B1B">
                                  <w:pPr>
                                    <w:contextualSpacing/>
                                    <w:jc w:val="right"/>
                                    <w:rPr>
                                      <w:rFonts w:ascii="Calibri" w:hAnsi="Calibri"/>
                                      <w:b/>
                                      <w:color w:val="808080" w:themeColor="background1" w:themeShade="80"/>
                                      <w:sz w:val="32"/>
                                      <w:szCs w:val="32"/>
                                    </w:rPr>
                                  </w:pPr>
                                </w:p>
                              </w:txbxContent>
                            </wps:txbx>
                            <wps:bodyPr rot="0" vert="horz" wrap="square" lIns="0" tIns="0" rIns="0" bIns="0" anchor="t" anchorCtr="0" upright="1">
                              <a:noAutofit/>
                            </wps:bodyPr>
                          </wps:wsp>
                          <wps:wsp>
                            <wps:cNvPr id="101" name="AutoShape 8"/>
                            <wps:cNvCnPr>
                              <a:cxnSpLocks noChangeShapeType="1"/>
                            </wps:cNvCnPr>
                            <wps:spPr bwMode="auto">
                              <a:xfrm>
                                <a:off x="1333500" y="190500"/>
                                <a:ext cx="0" cy="586105"/>
                              </a:xfrm>
                              <a:prstGeom prst="straightConnector1">
                                <a:avLst/>
                              </a:prstGeom>
                              <a:noFill/>
                              <a:ln w="19050">
                                <a:solidFill>
                                  <a:srgbClr val="80808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7CE4727C" id="Group 91" o:spid="_x0000_s1026" style="position:absolute;margin-left:315pt;margin-top:.65pt;width:162pt;height:98.35pt;z-index:251663360;mso-width-relative:margin;mso-height-relative:margin" coordorigin=",1238" coordsize="13335,65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">
                    <v:shapetype id="_x0000_t202" coordsize="21600,21600" o:spt="202" path="m,l,21600r21600,l21600,xe">
                      <v:stroke joinstyle="miter"/>
                      <v:path gradientshapeok="t" o:connecttype="rect"/>
                    </v:shapetype>
                    <v:shape id="Text Box 6" o:spid="_x0000_s1027" type="#_x0000_t202" style="position:absolute;top:1238;width:12579;height:5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" filled="f" stroked="f">
                      <v:textbox inset="0,0,0,0">
                        <w:txbxContent>
                          <w:p w14:paraId="01586C5D" w14:textId="1217C9C0" w:rsidR="00785C0D" w:rsidRPr="007940F6" w:rsidRDefault="006A517A" w:rsidP="00E84B1B">
                            <w:pPr>
                              <w:contextualSpacing/>
                              <w:jc w:val="right"/>
                              <w:rPr>
                                <w:rFonts w:ascii="Calibri" w:hAnsi="Calibri"/>
                                <w:b/>
                                <w:sz w:val="32"/>
                                <w:szCs w:val="32"/>
                              </w:rPr>
                            </w:pPr>
                            <w:r>
                              <w:rPr>
                                <w:rFonts w:ascii="Calibri" w:hAnsi="Calibri"/>
                                <w:b/>
                                <w:sz w:val="32"/>
                                <w:szCs w:val="32"/>
                              </w:rPr>
                              <w:t>January 2020</w:t>
                            </w:r>
                          </w:p>
                          <w:p w14:paraId="3841DB5E" w14:textId="77777777" w:rsidR="00785C0D" w:rsidRDefault="00785C0D" w:rsidP="00E84B1B">
                            <w:pPr>
                              <w:contextualSpacing/>
                              <w:jc w:val="right"/>
                              <w:rPr>
                                <w:rFonts w:ascii="Calibri" w:hAnsi="Calibri"/>
                                <w:b/>
                                <w:color w:val="808080" w:themeColor="background1" w:themeShade="80"/>
                                <w:sz w:val="32"/>
                                <w:szCs w:val="32"/>
                              </w:rPr>
                            </w:pPr>
                          </w:p>
                        </w:txbxContent>
                      </v:textbox>
                    </v:shape>
                    <v:shapetype id="_x0000_t32" coordsize="21600,21600" o:spt="32" o:oned="t" path="m,l21600,21600e" filled="f">
                      <v:path arrowok="t" fillok="f" o:connecttype="none"/>
                      <o:lock v:ext="edit" shapetype="t"/>
                    </v:shapetype>
                    <v:shape id="AutoShape 8" o:spid="_x0000_s1028" type="#_x0000_t32" style="position:absolute;left:13335;top:1905;width:0;height:586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" strokecolor="gray" strokeweight="1.5pt"/>
                  </v:group>
                </w:pict>
              </mc:Fallback>
            </mc:AlternateContent>
          </w:r>
          <w:r w:rsidRPr="006D03A2">
            <w:rPr>
              <w:rFonts w:asciiTheme="majorHAnsi" w:hAnsiTheme="majorHAnsi"/>
              <w:color w:val="808080" w:themeColor="background1" w:themeShade="80"/>
              <w:sz w:val="40"/>
              <w:szCs w:val="40"/>
            </w:rPr>
            <w:t xml:space="preserve"> </w:t>
          </w:r>
        </w:p>
        <w:p w14:paraId="69511E26" w14:textId="635079C8" w:rsidR="00E84B1B" w:rsidRDefault="00E84B1B" w:rsidP="00E84B1B">
          <w:r>
            <w:rPr>
              <w:noProof/>
            </w:rPr>
            <w:t xml:space="preserve"> </w:t>
          </w:r>
          <w:r>
            <w:rPr>
              <w:noProof/>
              <w:lang w:val="es-EC" w:eastAsia="es-EC"/>
            </w:rPr>
            <mc:AlternateContent>
              <mc:Choice Requires="wps">
                <w:drawing>
                  <wp:anchor distT="0" distB="0" distL="114300" distR="114300" simplePos="0" relativeHeight="251660288" behindDoc="0" locked="0" layoutInCell="1" allowOverlap="1" wp14:anchorId="6A7194CA" wp14:editId="2265F56E">
                    <wp:simplePos x="0" y="0"/>
                    <wp:positionH relativeFrom="page">
                      <wp:posOffset>429895</wp:posOffset>
                    </wp:positionH>
                    <wp:positionV relativeFrom="page">
                      <wp:posOffset>9107805</wp:posOffset>
                    </wp:positionV>
                    <wp:extent cx="6858000" cy="388620"/>
                    <wp:effectExtent l="0" t="1905" r="1905" b="3175"/>
                    <wp:wrapNone/>
                    <wp:docPr id="96"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38862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F10D8A2" w14:textId="6FFB1A96" w:rsidR="00785C0D" w:rsidRDefault="00785C0D" w:rsidP="00E84B1B">
                                <w:pPr>
                                  <w:contextualSpacing/>
                                  <w:rPr>
                                    <w:rFonts w:asciiTheme="majorHAnsi" w:hAnsiTheme="majorHAnsi"/>
                                    <w:b/>
                                    <w:bCs/>
                                    <w:color w:val="8496B0" w:themeColor="text2" w:themeTint="99"/>
                                    <w:spacing w:val="6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7194CA" id="Rectangle 2" o:spid="_x0000_s1029" style="position:absolute;margin-left:33.85pt;margin-top:717.15pt;width:540pt;height:30.6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" filled="f" stroked="f">
                    <v:textbox>
                      <w:txbxContent>
                        <w:p w14:paraId="1F10D8A2" w14:textId="6FFB1A96" w:rsidR="00785C0D" w:rsidRDefault="00785C0D" w:rsidP="00E84B1B">
                          <w:pPr>
                            <w:contextualSpacing/>
                            <w:rPr>
                              <w:rFonts w:asciiTheme="majorHAnsi" w:hAnsiTheme="majorHAnsi"/>
                              <w:b/>
                              <w:bCs/>
                              <w:color w:val="8496B0" w:themeColor="text2" w:themeTint="99"/>
                              <w:spacing w:val="60"/>
                            </w:rPr>
                          </w:pPr>
                        </w:p>
                      </w:txbxContent>
                    </v:textbox>
                    <w10:wrap anchorx="page" anchory="page"/>
                  </v:rect>
                </w:pict>
              </mc:Fallback>
            </mc:AlternateContent>
          </w:r>
          <w:r>
            <w:rPr>
              <w:noProof/>
              <w:lang w:val="es-EC" w:eastAsia="es-EC"/>
            </w:rPr>
            <mc:AlternateContent>
              <mc:Choice Requires="wpg">
                <w:drawing>
                  <wp:anchor distT="0" distB="0" distL="114300" distR="114300" simplePos="0" relativeHeight="251659264" behindDoc="1" locked="0" layoutInCell="1" allowOverlap="1" wp14:anchorId="311A54FD" wp14:editId="215CD283">
                    <wp:simplePos x="0" y="0"/>
                    <wp:positionH relativeFrom="page">
                      <wp:posOffset>274320</wp:posOffset>
                    </wp:positionH>
                    <wp:positionV relativeFrom="page">
                      <wp:posOffset>8915400</wp:posOffset>
                    </wp:positionV>
                    <wp:extent cx="7223760" cy="686435"/>
                    <wp:effectExtent l="0" t="0" r="7620" b="12065"/>
                    <wp:wrapNone/>
                    <wp:docPr id="87"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23760" cy="686435"/>
                              <a:chOff x="432" y="13608"/>
                              <a:chExt cx="11376" cy="1081"/>
                            </a:xfrm>
                          </wpg:grpSpPr>
                          <wps:wsp>
                            <wps:cNvPr id="88" name="AutoShape 10"/>
                            <wps:cNvCnPr>
                              <a:cxnSpLocks noChangeShapeType="1"/>
                            </wps:cNvCnPr>
                            <wps:spPr bwMode="auto">
                              <a:xfrm>
                                <a:off x="432" y="13608"/>
                                <a:ext cx="11376" cy="0"/>
                              </a:xfrm>
                              <a:prstGeom prst="straightConnector1">
                                <a:avLst/>
                              </a:prstGeom>
                              <a:noFill/>
                              <a:ln w="9525">
                                <a:solidFill>
                                  <a:srgbClr val="80808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89" name="AutoShape 11"/>
                            <wps:cNvCnPr>
                              <a:cxnSpLocks noChangeShapeType="1"/>
                            </wps:cNvCnPr>
                            <wps:spPr bwMode="auto">
                              <a:xfrm>
                                <a:off x="432" y="14689"/>
                                <a:ext cx="11376" cy="0"/>
                              </a:xfrm>
                              <a:prstGeom prst="straightConnector1">
                                <a:avLst/>
                              </a:prstGeom>
                              <a:noFill/>
                              <a:ln w="9525">
                                <a:solidFill>
                                  <a:srgbClr val="80808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AD2D33E" id="Group 9" o:spid="_x0000_s1026" style="position:absolute;margin-left:21.6pt;margin-top:702pt;width:568.8pt;height:54.05pt;z-index:-251657216;mso-position-horizontal-relative:page;mso-position-vertical-relative:page" coordorigin="432,13608" coordsize="11376,1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">
                    <v:shape id="AutoShape 10" o:spid="_x0000_s1027" type="#_x0000_t32" style="position:absolute;left:432;top:13608;width:113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" strokecolor="gray"/>
                    <v:shape id="AutoShape 11" o:spid="_x0000_s1028" type="#_x0000_t32" style="position:absolute;left:432;top:14689;width:113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" strokecolor="gray"/>
                    <w10:wrap anchorx="page" anchory="page"/>
                  </v:group>
                </w:pict>
              </mc:Fallback>
            </mc:AlternateContent>
          </w:r>
          <w:r>
            <w:rPr>
              <w:noProof/>
              <w:lang w:val="es-EC" w:eastAsia="es-EC"/>
            </w:rPr>
            <mc:AlternateContent>
              <mc:Choice Requires="wpg">
                <w:drawing>
                  <wp:anchor distT="0" distB="0" distL="114300" distR="114300" simplePos="0" relativeHeight="251664384" behindDoc="0" locked="0" layoutInCell="1" allowOverlap="1" wp14:anchorId="2B5CAF0A" wp14:editId="1DB3EE59">
                    <wp:simplePos x="0" y="0"/>
                    <wp:positionH relativeFrom="column">
                      <wp:posOffset>4629150</wp:posOffset>
                    </wp:positionH>
                    <wp:positionV relativeFrom="paragraph">
                      <wp:posOffset>-4898390</wp:posOffset>
                    </wp:positionV>
                    <wp:extent cx="1819275" cy="771525"/>
                    <wp:effectExtent l="6350" t="3810" r="3175" b="0"/>
                    <wp:wrapNone/>
                    <wp:docPr id="80"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19275" cy="771525"/>
                              <a:chOff x="8895" y="1230"/>
                              <a:chExt cx="2865" cy="1215"/>
                            </a:xfrm>
                          </wpg:grpSpPr>
                          <wps:wsp>
                            <wps:cNvPr id="81" name="Text Box 16"/>
                            <wps:cNvSpPr txBox="1">
                              <a:spLocks noChangeArrowheads="1"/>
                            </wps:cNvSpPr>
                            <wps:spPr bwMode="auto">
                              <a:xfrm>
                                <a:off x="10290" y="1230"/>
                                <a:ext cx="1470" cy="121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039137A" w14:textId="77777777" w:rsidR="00785C0D" w:rsidRDefault="00785C0D" w:rsidP="00E84B1B">
                                  <w:pPr>
                                    <w:rPr>
                                      <w:color w:val="FFFFFF"/>
                                      <w:sz w:val="92"/>
                                      <w:szCs w:val="92"/>
                                    </w:rPr>
                                  </w:pPr>
                                  <w:r>
                                    <w:rPr>
                                      <w:color w:val="FFFFFF"/>
                                      <w:sz w:val="92"/>
                                      <w:szCs w:val="92"/>
                                    </w:rPr>
                                    <w:t>08</w:t>
                                  </w:r>
                                </w:p>
                              </w:txbxContent>
                            </wps:txbx>
                            <wps:bodyPr rot="0" vert="horz" wrap="square" lIns="91440" tIns="45720" rIns="91440" bIns="45720" anchor="t" anchorCtr="0" upright="1">
                              <a:noAutofit/>
                            </wps:bodyPr>
                          </wps:wsp>
                          <wps:wsp>
                            <wps:cNvPr id="82" name="AutoShape 17"/>
                            <wps:cNvCnPr>
                              <a:cxnSpLocks noChangeShapeType="1"/>
                            </wps:cNvCnPr>
                            <wps:spPr bwMode="auto">
                              <a:xfrm>
                                <a:off x="10290" y="1590"/>
                                <a:ext cx="0" cy="630"/>
                              </a:xfrm>
                              <a:prstGeom prst="straightConnector1">
                                <a:avLst/>
                              </a:prstGeom>
                              <a:noFill/>
                              <a:ln w="19050">
                                <a:solidFill>
                                  <a:srgbClr val="FFFFFF"/>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83" name="Text Box 18"/>
                            <wps:cNvSpPr txBox="1">
                              <a:spLocks noChangeArrowheads="1"/>
                            </wps:cNvSpPr>
                            <wps:spPr bwMode="auto">
                              <a:xfrm>
                                <a:off x="8895" y="1455"/>
                                <a:ext cx="1365" cy="63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760F54B" w14:textId="77777777" w:rsidR="00785C0D" w:rsidRDefault="00785C0D" w:rsidP="00E84B1B">
                                  <w:pPr>
                                    <w:jc w:val="right"/>
                                    <w:rPr>
                                      <w:rFonts w:ascii="Calibri" w:hAnsi="Calibri"/>
                                      <w:b/>
                                      <w:color w:val="FFFFFF"/>
                                      <w:sz w:val="32"/>
                                      <w:szCs w:val="32"/>
                                    </w:rPr>
                                  </w:pPr>
                                  <w:r>
                                    <w:rPr>
                                      <w:rFonts w:ascii="Calibri" w:hAnsi="Calibri"/>
                                      <w:b/>
                                      <w:color w:val="FFFFFF"/>
                                      <w:sz w:val="32"/>
                                      <w:szCs w:val="32"/>
                                    </w:rPr>
                                    <w:t>Fall</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B5CAF0A" id="Group 15" o:spid="_x0000_s1030" style="position:absolute;margin-left:364.5pt;margin-top:-385.7pt;width:143.25pt;height:60.75pt;z-index:251664384" coordorigin="8895,1230" coordsize="2865,12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">
                    <v:shape id="Text Box 16" o:spid="_x0000_s1031" type="#_x0000_t202" style="position:absolute;left:10290;top:1230;width:1470;height:12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" filled="f" stroked="f">
                      <v:textbox>
                        <w:txbxContent>
                          <w:p w14:paraId="7039137A" w14:textId="77777777" w:rsidR="00785C0D" w:rsidRDefault="00785C0D" w:rsidP="00E84B1B">
                            <w:pPr>
                              <w:rPr>
                                <w:color w:val="FFFFFF"/>
                                <w:sz w:val="92"/>
                                <w:szCs w:val="92"/>
                              </w:rPr>
                            </w:pPr>
                            <w:r>
                              <w:rPr>
                                <w:color w:val="FFFFFF"/>
                                <w:sz w:val="92"/>
                                <w:szCs w:val="92"/>
                              </w:rPr>
                              <w:t>08</w:t>
                            </w:r>
                          </w:p>
                        </w:txbxContent>
                      </v:textbox>
                    </v:shape>
                    <v:shape id="AutoShape 17" o:spid="_x0000_s1032" type="#_x0000_t32" style="position:absolute;left:10290;top:1590;width:0;height:63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" strokecolor="white" strokeweight="1.5pt"/>
                    <v:shape id="Text Box 18" o:spid="_x0000_s1033" type="#_x0000_t202" style="position:absolute;left:8895;top:1455;width:1365;height:6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" filled="f" stroked="f">
                      <v:textbox>
                        <w:txbxContent>
                          <w:p w14:paraId="0760F54B" w14:textId="77777777" w:rsidR="00785C0D" w:rsidRDefault="00785C0D" w:rsidP="00E84B1B">
                            <w:pPr>
                              <w:jc w:val="right"/>
                              <w:rPr>
                                <w:rFonts w:ascii="Calibri" w:hAnsi="Calibri"/>
                                <w:b/>
                                <w:color w:val="FFFFFF"/>
                                <w:sz w:val="32"/>
                                <w:szCs w:val="32"/>
                              </w:rPr>
                            </w:pPr>
                            <w:r>
                              <w:rPr>
                                <w:rFonts w:ascii="Calibri" w:hAnsi="Calibri"/>
                                <w:b/>
                                <w:color w:val="FFFFFF"/>
                                <w:sz w:val="32"/>
                                <w:szCs w:val="32"/>
                              </w:rPr>
                              <w:t>Fall</w:t>
                            </w:r>
                          </w:p>
                        </w:txbxContent>
                      </v:textbox>
                    </v:shape>
                  </v:group>
                </w:pict>
              </mc:Fallback>
            </mc:AlternateContent>
          </w:r>
        </w:p>
        <w:p w14:paraId="67FE8E1D" w14:textId="77777777" w:rsidR="00E84B1B" w:rsidRDefault="00E84B1B" w:rsidP="00E84B1B">
          <w:pPr>
            <w:spacing w:before="0" w:after="0" w:line="240" w:lineRule="auto"/>
            <w:rPr>
              <w:rFonts w:asciiTheme="majorHAnsi" w:hAnsiTheme="majorHAnsi"/>
              <w:color w:val="808080" w:themeColor="background1" w:themeShade="80"/>
              <w:sz w:val="56"/>
              <w:szCs w:val="56"/>
            </w:rPr>
          </w:pPr>
        </w:p>
        <w:p w14:paraId="2B9EE779" w14:textId="77777777" w:rsidR="00E84B1B" w:rsidRDefault="00E84B1B" w:rsidP="00E84B1B">
          <w:pPr>
            <w:spacing w:before="0" w:after="0" w:line="240" w:lineRule="auto"/>
            <w:rPr>
              <w:rFonts w:asciiTheme="majorHAnsi" w:hAnsiTheme="majorHAnsi"/>
              <w:color w:val="808080" w:themeColor="background1" w:themeShade="80"/>
              <w:sz w:val="56"/>
              <w:szCs w:val="56"/>
            </w:rPr>
          </w:pPr>
        </w:p>
        <w:p w14:paraId="0A22C6E1" w14:textId="77777777" w:rsidR="00E84B1B" w:rsidRDefault="00E84B1B" w:rsidP="00E84B1B">
          <w:pPr>
            <w:spacing w:before="0" w:after="0" w:line="240" w:lineRule="auto"/>
            <w:rPr>
              <w:rFonts w:asciiTheme="majorHAnsi" w:hAnsiTheme="majorHAnsi"/>
              <w:color w:val="808080" w:themeColor="background1" w:themeShade="80"/>
              <w:sz w:val="56"/>
              <w:szCs w:val="56"/>
            </w:rPr>
          </w:pPr>
        </w:p>
        <w:p w14:paraId="733468DF" w14:textId="77777777" w:rsidR="00E84B1B" w:rsidRPr="007940F6" w:rsidRDefault="00E84B1B" w:rsidP="00E84B1B">
          <w:pPr>
            <w:spacing w:before="0" w:after="0" w:line="240" w:lineRule="auto"/>
            <w:rPr>
              <w:rFonts w:asciiTheme="majorHAnsi" w:hAnsiTheme="majorHAnsi"/>
              <w:b/>
              <w:sz w:val="56"/>
              <w:szCs w:val="56"/>
            </w:rPr>
          </w:pPr>
        </w:p>
        <w:p w14:paraId="41B41784" w14:textId="77777777" w:rsidR="00D943D5" w:rsidRDefault="00D943D5" w:rsidP="00D943D5">
          <w:pPr>
            <w:spacing w:before="0" w:after="0" w:line="240" w:lineRule="auto"/>
            <w:jc w:val="center"/>
            <w:rPr>
              <w:rFonts w:asciiTheme="majorHAnsi" w:hAnsiTheme="majorHAnsi"/>
              <w:b/>
              <w:sz w:val="48"/>
              <w:szCs w:val="48"/>
            </w:rPr>
          </w:pPr>
          <w:r w:rsidRPr="00D943D5">
            <w:rPr>
              <w:rFonts w:asciiTheme="majorHAnsi" w:hAnsiTheme="majorHAnsi"/>
              <w:b/>
              <w:noProof/>
              <w:sz w:val="48"/>
              <w:szCs w:val="48"/>
            </w:rPr>
            <mc:AlternateContent>
              <mc:Choice Requires="wps">
                <w:drawing>
                  <wp:anchor distT="0" distB="0" distL="114300" distR="114300" simplePos="0" relativeHeight="251666432" behindDoc="0" locked="0" layoutInCell="1" allowOverlap="1" wp14:anchorId="04B10DE0" wp14:editId="176E01F9">
                    <wp:simplePos x="0" y="0"/>
                    <wp:positionH relativeFrom="page">
                      <wp:posOffset>914400</wp:posOffset>
                    </wp:positionH>
                    <wp:positionV relativeFrom="page">
                      <wp:posOffset>6172200</wp:posOffset>
                    </wp:positionV>
                    <wp:extent cx="5600700" cy="22860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0700" cy="22860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51A6C28" w14:textId="77777777" w:rsidR="00785C0D" w:rsidRPr="00B80B26" w:rsidRDefault="00785C0D" w:rsidP="00D943D5">
                                <w:pPr>
                                  <w:contextualSpacing/>
                                  <w:rPr>
                                    <w:rFonts w:ascii="Cambria" w:hAnsi="Cambria"/>
                                    <w:b/>
                                    <w:sz w:val="36"/>
                                    <w:szCs w:val="3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B10DE0" id="Rectangle 3" o:spid="_x0000_s1034" style="position:absolute;left:0;text-align:left;margin-left:1in;margin-top:486pt;width:441pt;height:180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" filled="f" stroked="f">
                    <v:textbox>
                      <w:txbxContent>
                        <w:p w14:paraId="651A6C28" w14:textId="77777777" w:rsidR="00785C0D" w:rsidRPr="00B80B26" w:rsidRDefault="00785C0D" w:rsidP="00D943D5">
                          <w:pPr>
                            <w:contextualSpacing/>
                            <w:rPr>
                              <w:rFonts w:ascii="Cambria" w:hAnsi="Cambria"/>
                              <w:b/>
                              <w:sz w:val="36"/>
                              <w:szCs w:val="36"/>
                            </w:rPr>
                          </w:pPr>
                        </w:p>
                      </w:txbxContent>
                    </v:textbox>
                    <w10:wrap anchorx="page" anchory="page"/>
                  </v:rect>
                </w:pict>
              </mc:Fallback>
            </mc:AlternateContent>
          </w:r>
          <w:r w:rsidRPr="007940F6">
            <w:rPr>
              <w:rFonts w:asciiTheme="majorHAnsi" w:hAnsiTheme="majorHAnsi"/>
              <w:b/>
              <w:sz w:val="48"/>
              <w:szCs w:val="48"/>
            </w:rPr>
            <w:t>Environmental and Social Assessment</w:t>
          </w:r>
        </w:p>
        <w:p w14:paraId="34F70CC1" w14:textId="5755C299" w:rsidR="00D943D5" w:rsidRDefault="00D943D5" w:rsidP="00D943D5">
          <w:pPr>
            <w:spacing w:before="0" w:after="0" w:line="240" w:lineRule="auto"/>
            <w:jc w:val="center"/>
            <w:rPr>
              <w:rFonts w:asciiTheme="majorHAnsi" w:hAnsiTheme="majorHAnsi"/>
              <w:b/>
              <w:noProof/>
              <w:sz w:val="48"/>
              <w:szCs w:val="48"/>
            </w:rPr>
          </w:pPr>
          <w:r>
            <w:rPr>
              <w:rFonts w:asciiTheme="majorHAnsi" w:hAnsiTheme="majorHAnsi"/>
              <w:b/>
              <w:sz w:val="48"/>
              <w:szCs w:val="48"/>
            </w:rPr>
            <w:t>Costa Rica’s Payment for Environmental Services Program (</w:t>
          </w:r>
          <w:r w:rsidR="006A517A">
            <w:rPr>
              <w:rFonts w:asciiTheme="majorHAnsi" w:hAnsiTheme="majorHAnsi"/>
              <w:b/>
              <w:sz w:val="48"/>
              <w:szCs w:val="48"/>
            </w:rPr>
            <w:t>2014-</w:t>
          </w:r>
          <w:r>
            <w:rPr>
              <w:rFonts w:asciiTheme="majorHAnsi" w:hAnsiTheme="majorHAnsi"/>
              <w:b/>
              <w:sz w:val="48"/>
              <w:szCs w:val="48"/>
            </w:rPr>
            <w:t>201</w:t>
          </w:r>
          <w:r w:rsidR="001E3609">
            <w:rPr>
              <w:rFonts w:asciiTheme="majorHAnsi" w:hAnsiTheme="majorHAnsi"/>
              <w:b/>
              <w:sz w:val="48"/>
              <w:szCs w:val="48"/>
            </w:rPr>
            <w:t>5</w:t>
          </w:r>
          <w:r>
            <w:rPr>
              <w:rFonts w:asciiTheme="majorHAnsi" w:hAnsiTheme="majorHAnsi"/>
              <w:b/>
              <w:sz w:val="48"/>
              <w:szCs w:val="48"/>
            </w:rPr>
            <w:t>)</w:t>
          </w:r>
        </w:p>
        <w:p w14:paraId="1A51A749" w14:textId="281925E8" w:rsidR="00E84B1B" w:rsidRPr="007940F6" w:rsidRDefault="00D943D5" w:rsidP="00E84B1B">
          <w:pPr>
            <w:spacing w:before="0" w:after="0" w:line="240" w:lineRule="auto"/>
            <w:rPr>
              <w:rFonts w:asciiTheme="majorHAnsi" w:hAnsiTheme="majorHAnsi"/>
              <w:b/>
              <w:noProof/>
              <w:sz w:val="48"/>
              <w:szCs w:val="48"/>
            </w:rPr>
          </w:pPr>
          <w:r w:rsidRPr="00D943D5">
            <w:rPr>
              <w:rFonts w:asciiTheme="majorHAnsi" w:hAnsiTheme="majorHAnsi"/>
              <w:b/>
              <w:noProof/>
              <w:sz w:val="48"/>
              <w:szCs w:val="48"/>
            </w:rPr>
            <mc:AlternateContent>
              <mc:Choice Requires="wps">
                <w:drawing>
                  <wp:anchor distT="0" distB="0" distL="114300" distR="114300" simplePos="0" relativeHeight="251661312" behindDoc="0" locked="0" layoutInCell="1" allowOverlap="1" wp14:anchorId="619E3708" wp14:editId="53794834">
                    <wp:simplePos x="0" y="0"/>
                    <wp:positionH relativeFrom="page">
                      <wp:posOffset>807810</wp:posOffset>
                    </wp:positionH>
                    <wp:positionV relativeFrom="page">
                      <wp:posOffset>4418511</wp:posOffset>
                    </wp:positionV>
                    <wp:extent cx="5600700" cy="2286000"/>
                    <wp:effectExtent l="0" t="0" r="0" b="0"/>
                    <wp:wrapNone/>
                    <wp:docPr id="95"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0700" cy="22860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B149070" w14:textId="5BFEA644" w:rsidR="00785C0D" w:rsidRPr="007940F6" w:rsidRDefault="00785C0D" w:rsidP="00E84B1B">
                                <w:pPr>
                                  <w:spacing w:line="480" w:lineRule="auto"/>
                                  <w:contextualSpacing/>
                                  <w:rPr>
                                    <w:rFonts w:asciiTheme="majorHAnsi" w:hAnsiTheme="majorHAnsi"/>
                                    <w:b/>
                                    <w:sz w:val="48"/>
                                    <w:szCs w:val="4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9E3708" id="_x0000_s1035" style="position:absolute;margin-left:63.6pt;margin-top:347.9pt;width:441pt;height:180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" filled="f" stroked="f">
                    <v:textbox>
                      <w:txbxContent>
                        <w:p w14:paraId="0B149070" w14:textId="5BFEA644" w:rsidR="00785C0D" w:rsidRPr="007940F6" w:rsidRDefault="00785C0D" w:rsidP="00E84B1B">
                          <w:pPr>
                            <w:spacing w:line="480" w:lineRule="auto"/>
                            <w:contextualSpacing/>
                            <w:rPr>
                              <w:rFonts w:asciiTheme="majorHAnsi" w:hAnsiTheme="majorHAnsi"/>
                              <w:b/>
                              <w:sz w:val="48"/>
                              <w:szCs w:val="48"/>
                            </w:rPr>
                          </w:pPr>
                        </w:p>
                      </w:txbxContent>
                    </v:textbox>
                    <w10:wrap anchorx="page" anchory="page"/>
                  </v:rect>
                </w:pict>
              </mc:Fallback>
            </mc:AlternateContent>
          </w:r>
        </w:p>
        <w:p w14:paraId="498B4BEC" w14:textId="77777777" w:rsidR="00E84B1B" w:rsidRDefault="00E84B1B" w:rsidP="00E84B1B">
          <w:pPr>
            <w:spacing w:before="0" w:after="0" w:line="240" w:lineRule="auto"/>
          </w:pPr>
        </w:p>
        <w:p w14:paraId="7FEC839B" w14:textId="77777777" w:rsidR="00E84B1B" w:rsidRDefault="00E84B1B" w:rsidP="00E84B1B">
          <w:pPr>
            <w:spacing w:before="0" w:after="0" w:line="240" w:lineRule="auto"/>
          </w:pPr>
        </w:p>
        <w:p w14:paraId="2F81E093" w14:textId="77777777" w:rsidR="00E84B1B" w:rsidRDefault="00E84B1B" w:rsidP="00E84B1B">
          <w:pPr>
            <w:spacing w:before="0" w:after="0" w:line="240" w:lineRule="auto"/>
          </w:pPr>
        </w:p>
        <w:p w14:paraId="24912645" w14:textId="77777777" w:rsidR="00E84B1B" w:rsidRDefault="00E84B1B" w:rsidP="00E84B1B">
          <w:pPr>
            <w:spacing w:before="0" w:after="0" w:line="240" w:lineRule="auto"/>
          </w:pPr>
        </w:p>
        <w:p w14:paraId="6F75E7C0" w14:textId="77777777" w:rsidR="00E84B1B" w:rsidRDefault="00E84B1B" w:rsidP="00E84B1B">
          <w:pPr>
            <w:spacing w:before="0" w:after="0" w:line="240" w:lineRule="auto"/>
            <w:rPr>
              <w:rFonts w:eastAsiaTheme="majorEastAsia" w:cstheme="majorBidi"/>
              <w:b/>
              <w:color w:val="000000" w:themeColor="text1"/>
              <w:sz w:val="24"/>
              <w:szCs w:val="32"/>
            </w:rPr>
          </w:pPr>
          <w:r>
            <w:br w:type="page"/>
          </w:r>
        </w:p>
      </w:sdtContent>
    </w:sdt>
    <w:p w14:paraId="1948A3EB" w14:textId="77777777" w:rsidR="00E84B1B" w:rsidRPr="00FC68F4" w:rsidRDefault="00E84B1B" w:rsidP="00E84B1B">
      <w:pPr>
        <w:pStyle w:val="Heading1"/>
      </w:pPr>
      <w:r w:rsidRPr="00FC68F4">
        <w:lastRenderedPageBreak/>
        <w:t>Introduction</w:t>
      </w:r>
    </w:p>
    <w:p w14:paraId="12C528E5" w14:textId="77777777" w:rsidR="00E84B1B" w:rsidRDefault="00E84B1B" w:rsidP="00E84B1B">
      <w:pPr>
        <w:pStyle w:val="Heading2"/>
      </w:pPr>
      <w:r>
        <w:t>Context and Purpose</w:t>
      </w:r>
    </w:p>
    <w:p w14:paraId="30BE8759" w14:textId="1C6DEF56" w:rsidR="00E84B1B" w:rsidRDefault="00E84B1B" w:rsidP="00E84B1B">
      <w:pPr>
        <w:jc w:val="both"/>
      </w:pPr>
      <w:r>
        <w:t xml:space="preserve">The Green Climate Fund </w:t>
      </w:r>
      <w:r w:rsidRPr="00B637B7">
        <w:rPr>
          <w:b/>
          <w:i/>
        </w:rPr>
        <w:t>(</w:t>
      </w:r>
      <w:r w:rsidRPr="00D0074D">
        <w:rPr>
          <w:b/>
        </w:rPr>
        <w:t>GCF</w:t>
      </w:r>
      <w:r>
        <w:t xml:space="preserve">) has issued a </w:t>
      </w:r>
      <w:r w:rsidRPr="00461F38">
        <w:rPr>
          <w:lang w:val="en-GB"/>
        </w:rPr>
        <w:t>request for proposals for the Pilot Programme for REDD-plus results-based payments (Decision B.18/07)</w:t>
      </w:r>
      <w:r>
        <w:rPr>
          <w:lang w:val="en-GB"/>
        </w:rPr>
        <w:t xml:space="preserve">.  In this context, </w:t>
      </w:r>
      <w:r w:rsidR="00D22F8F">
        <w:rPr>
          <w:lang w:val="en-GB"/>
        </w:rPr>
        <w:t>Costa Rica’s</w:t>
      </w:r>
      <w:r w:rsidRPr="00461F38">
        <w:t xml:space="preserve"> government</w:t>
      </w:r>
      <w:r>
        <w:t xml:space="preserve"> and</w:t>
      </w:r>
      <w:r w:rsidR="00D22F8F">
        <w:t xml:space="preserve"> the</w:t>
      </w:r>
      <w:r>
        <w:t xml:space="preserve"> United Nations Development </w:t>
      </w:r>
      <w:proofErr w:type="spellStart"/>
      <w:r w:rsidR="00D22F8F">
        <w:t>Programme</w:t>
      </w:r>
      <w:proofErr w:type="spellEnd"/>
      <w:r>
        <w:t xml:space="preserve"> (</w:t>
      </w:r>
      <w:r w:rsidRPr="001244A6">
        <w:rPr>
          <w:b/>
        </w:rPr>
        <w:t>UNDP</w:t>
      </w:r>
      <w:r>
        <w:t>), as GCF accredited entity,</w:t>
      </w:r>
      <w:r w:rsidRPr="00461F38">
        <w:t xml:space="preserve"> </w:t>
      </w:r>
      <w:r>
        <w:t xml:space="preserve">are submitting a funding proposal for REDD+ actions undertaken as part of </w:t>
      </w:r>
      <w:r w:rsidR="00D22F8F">
        <w:t>Costa Rica’s National REDD+ Strategy and its Implementation Plan</w:t>
      </w:r>
      <w:r>
        <w:t xml:space="preserve"> (hereafter</w:t>
      </w:r>
      <w:r w:rsidRPr="00007481">
        <w:t xml:space="preserve"> </w:t>
      </w:r>
      <w:r w:rsidRPr="00B637B7">
        <w:rPr>
          <w:b/>
        </w:rPr>
        <w:t>National REDD+ AP</w:t>
      </w:r>
      <w:r w:rsidRPr="00B02EBB">
        <w:rPr>
          <w:i/>
        </w:rPr>
        <w:t>)</w:t>
      </w:r>
      <w:r>
        <w:t>.  A required element of the funding proposal is an Environmental and Social Assessment Report (</w:t>
      </w:r>
      <w:r w:rsidRPr="00D0074D">
        <w:rPr>
          <w:b/>
        </w:rPr>
        <w:t>ESA</w:t>
      </w:r>
      <w:r>
        <w:t xml:space="preserve">) that retroactively reviews the actions for which results-based payments are sought, in order to confirm that they were undertaken in a manner consistent with applicable GCF ESS standards. </w:t>
      </w:r>
      <w:r w:rsidRPr="00EF243D">
        <w:t xml:space="preserve">To be accredited to the GCF, </w:t>
      </w:r>
      <w:r>
        <w:t xml:space="preserve">accredited </w:t>
      </w:r>
      <w:r w:rsidRPr="00EF243D">
        <w:t>entities must demonstrate that their entity-level environmental and social safeguards are consistent with the GCF’s safeguard framework.</w:t>
      </w:r>
      <w:r w:rsidRPr="00EF243D">
        <w:rPr>
          <w:vertAlign w:val="superscript"/>
        </w:rPr>
        <w:footnoteReference w:id="1"/>
      </w:r>
      <w:r w:rsidRPr="00EF243D">
        <w:t xml:space="preserve"> Accredited Entities apply their own environmental and social safeguards to GCF-supported activities.</w:t>
      </w:r>
      <w:r>
        <w:t xml:space="preserve">  Therefore, this ESA reviews retroactive compliance, with a focus on policy alignment, with the UNDP SES.</w:t>
      </w:r>
      <w:r>
        <w:rPr>
          <w:rStyle w:val="FootnoteReference"/>
        </w:rPr>
        <w:footnoteReference w:id="2"/>
      </w:r>
      <w:r>
        <w:t xml:space="preserve"> The methodology for the assessment is further discussed below.</w:t>
      </w:r>
    </w:p>
    <w:p w14:paraId="185B36FA" w14:textId="77777777" w:rsidR="00E84B1B" w:rsidRDefault="00E84B1B" w:rsidP="00E84B1B">
      <w:pPr>
        <w:pStyle w:val="Heading1"/>
        <w:jc w:val="both"/>
      </w:pPr>
      <w:r>
        <w:t>Methodology and Scope of Assessment</w:t>
      </w:r>
    </w:p>
    <w:p w14:paraId="7E58DFE5" w14:textId="1ED3CD16" w:rsidR="00E84B1B" w:rsidRDefault="00E84B1B" w:rsidP="00E84B1B">
      <w:pPr>
        <w:jc w:val="both"/>
      </w:pPr>
      <w:r>
        <w:t xml:space="preserve">The ESA review of REDD+ actions focuses on whether applicable policy contains adequate </w:t>
      </w:r>
      <w:r w:rsidRPr="00042A01">
        <w:t>measures undertaken to identify, assess, and manage environment</w:t>
      </w:r>
      <w:r>
        <w:t xml:space="preserve">al and social risks and impacts.  These environmental and social risks are those encompassed by the UNDP SES (which is fully coherent with GCF’s Environmental and Social Standards).  The analysis also highlights policy alignment with the Cancun Safeguards and the application of the safeguards through policies, laws and regulations as established, which is the lens through which </w:t>
      </w:r>
      <w:r w:rsidR="003F58FA">
        <w:t>Costa Rica</w:t>
      </w:r>
      <w:r>
        <w:t xml:space="preserve"> defined its REDD+ safeguards approach and its first Summary of Information</w:t>
      </w:r>
      <w:r w:rsidR="00C05554">
        <w:rPr>
          <w:rStyle w:val="FootnoteReference"/>
        </w:rPr>
        <w:footnoteReference w:id="3"/>
      </w:r>
      <w:r>
        <w:t xml:space="preserve"> (</w:t>
      </w:r>
      <w:r w:rsidRPr="00D0074D">
        <w:rPr>
          <w:b/>
        </w:rPr>
        <w:t>SOI</w:t>
      </w:r>
      <w:r>
        <w:t>) and is gradually strengthening its Safeguards Information System (</w:t>
      </w:r>
      <w:r w:rsidRPr="001244A6">
        <w:rPr>
          <w:b/>
        </w:rPr>
        <w:t>SIS</w:t>
      </w:r>
      <w:r>
        <w:t xml:space="preserve">) for tracking and reporting of safeguards requirements.  </w:t>
      </w:r>
      <w:bookmarkStart w:id="1" w:name="_Hlk521582898"/>
    </w:p>
    <w:p w14:paraId="3292548B" w14:textId="77777777" w:rsidR="00E84B1B" w:rsidRDefault="00E84B1B" w:rsidP="00E84B1B">
      <w:pPr>
        <w:jc w:val="both"/>
      </w:pPr>
      <w:r>
        <w:t>The assessment includes an identification and assessment of those processes for stakeholder identification, consultation and participation in the REDD-plus actions, and accesses the existence and use of grievance redress mechanisms (</w:t>
      </w:r>
      <w:r w:rsidRPr="00533652">
        <w:rPr>
          <w:b/>
        </w:rPr>
        <w:t>GRMs</w:t>
      </w:r>
      <w:r>
        <w:t>) or analogous systems, as well as actions designed and implemented in a gender responsive and inclusive manner.</w:t>
      </w:r>
      <w:r w:rsidRPr="00FD5CAA">
        <w:t xml:space="preserve"> </w:t>
      </w:r>
    </w:p>
    <w:p w14:paraId="32C2382E" w14:textId="77777777" w:rsidR="00E84B1B" w:rsidRDefault="00E84B1B" w:rsidP="00E84B1B">
      <w:pPr>
        <w:jc w:val="both"/>
      </w:pPr>
      <w:r>
        <w:t>In more detail, the GCF decision regarding the completion of the ESA covers the following:</w:t>
      </w:r>
    </w:p>
    <w:p w14:paraId="5FF214D3" w14:textId="77777777" w:rsidR="00E84B1B" w:rsidRDefault="00E84B1B" w:rsidP="00E84B1B">
      <w:pPr>
        <w:ind w:left="720"/>
        <w:jc w:val="both"/>
      </w:pPr>
      <w:proofErr w:type="spellStart"/>
      <w:r>
        <w:t>i</w:t>
      </w:r>
      <w:proofErr w:type="spellEnd"/>
      <w:r>
        <w:t>.</w:t>
      </w:r>
      <w:r>
        <w:tab/>
      </w:r>
      <w:r w:rsidRPr="002D3492">
        <w:rPr>
          <w:i/>
        </w:rPr>
        <w:t>Due Diligence:</w:t>
      </w:r>
      <w:r>
        <w:t xml:space="preserve"> the AE, in collaboration with the Host Country (</w:t>
      </w:r>
      <w:proofErr w:type="spellStart"/>
      <w:r>
        <w:t>ies</w:t>
      </w:r>
      <w:proofErr w:type="spellEnd"/>
      <w:r>
        <w:t>), will prepare an environmental and social assessment (ESA) report describing the extent to which the measures undertaken to identify, assess, and manage environmental and social risks and impacts, in the context of the REDD-plus proposal, were consistent with the requirements of the applicable GCF ESS standards. The Secretariat, in its second-level due diligence, will take such assessment into account as part of its overall consideration of the funding proposal against the scorecard. This, along with the country’s own assessment of how the Cancun safeguards were addressed and respected during the REDD-plus activities, will provide the basis for recommending the proposal to the Board for approval.</w:t>
      </w:r>
    </w:p>
    <w:p w14:paraId="6515D3DE" w14:textId="77777777" w:rsidR="00E84B1B" w:rsidRDefault="00E84B1B" w:rsidP="00E84B1B">
      <w:pPr>
        <w:ind w:left="720"/>
        <w:jc w:val="both"/>
      </w:pPr>
      <w:r>
        <w:lastRenderedPageBreak/>
        <w:t>ii.</w:t>
      </w:r>
      <w:r>
        <w:tab/>
      </w:r>
      <w:r w:rsidRPr="002D3492">
        <w:rPr>
          <w:i/>
        </w:rPr>
        <w:t>Stakeholder Engagement</w:t>
      </w:r>
      <w:r>
        <w:t>: Description of stakeholder engagement will form part of the information provided by the countries through the UNFCCC summary of information as well as the ESA prepared by the AEs. The assessment by the AE described in section (</w:t>
      </w:r>
      <w:proofErr w:type="spellStart"/>
      <w:r>
        <w:t>i</w:t>
      </w:r>
      <w:proofErr w:type="spellEnd"/>
      <w:r>
        <w:t>) shall include a description of how the stakeholders were identified, informed, and consulted and how they have participated in the activities. The description by the AE shall also include summaries of consultations highlighting the concerns and issues that were put forward by the stakeholders and how these were responded to.</w:t>
      </w:r>
    </w:p>
    <w:p w14:paraId="116DD719" w14:textId="77777777" w:rsidR="00E84B1B" w:rsidRDefault="00E84B1B" w:rsidP="00E84B1B">
      <w:pPr>
        <w:ind w:left="720"/>
        <w:jc w:val="both"/>
      </w:pPr>
      <w:r>
        <w:t>iii.</w:t>
      </w:r>
      <w:r>
        <w:tab/>
      </w:r>
      <w:r w:rsidRPr="00D42984">
        <w:rPr>
          <w:i/>
        </w:rPr>
        <w:t>Grievance Redress</w:t>
      </w:r>
      <w:r>
        <w:t>: The ESA will include a description of the grievance redress mechanisms, or analogous system whether established as part of the REDD-plus activities or as integral to the system of the country. The ESA will also specify how the mechanisms were accessed, the complaints that were received, and how these were resolved.</w:t>
      </w:r>
    </w:p>
    <w:bookmarkEnd w:id="1"/>
    <w:p w14:paraId="3DE19FB1" w14:textId="052CE402" w:rsidR="00E84B1B" w:rsidRDefault="00E84B1B" w:rsidP="00E84B1B">
      <w:pPr>
        <w:jc w:val="both"/>
      </w:pPr>
      <w:r>
        <w:t>The assessment is focused on</w:t>
      </w:r>
      <w:r w:rsidR="00544EB7">
        <w:t xml:space="preserve"> Costa Rica’s National Forestry Financing Fund (</w:t>
      </w:r>
      <w:r w:rsidR="002D49D6">
        <w:t>FONAFIFO</w:t>
      </w:r>
      <w:r w:rsidR="00544EB7">
        <w:t>)</w:t>
      </w:r>
      <w:r w:rsidR="002D49D6">
        <w:t xml:space="preserve"> Payment for Environmental </w:t>
      </w:r>
      <w:r w:rsidR="00C05554">
        <w:t xml:space="preserve">Services </w:t>
      </w:r>
      <w:r w:rsidR="002D49D6">
        <w:t>Program</w:t>
      </w:r>
      <w:r w:rsidRPr="001244A6">
        <w:rPr>
          <w:b/>
          <w:i/>
        </w:rPr>
        <w:t xml:space="preserve"> </w:t>
      </w:r>
      <w:r w:rsidRPr="00A340B8">
        <w:t>(</w:t>
      </w:r>
      <w:r>
        <w:t xml:space="preserve">hereinafter, </w:t>
      </w:r>
      <w:r w:rsidR="002D49D6">
        <w:t>PES</w:t>
      </w:r>
      <w:r w:rsidR="003F58FA">
        <w:t xml:space="preserve"> Program</w:t>
      </w:r>
      <w:r w:rsidRPr="00A340B8">
        <w:t>)</w:t>
      </w:r>
      <w:r>
        <w:t xml:space="preserve"> which was a critical program for producing</w:t>
      </w:r>
      <w:r w:rsidRPr="00540549">
        <w:t xml:space="preserve"> the results</w:t>
      </w:r>
      <w:r>
        <w:t xml:space="preserve"> for which </w:t>
      </w:r>
      <w:r w:rsidR="002D49D6">
        <w:t>Costa Rica</w:t>
      </w:r>
      <w:r>
        <w:t xml:space="preserve"> is seeking payments</w:t>
      </w:r>
      <w:r w:rsidRPr="00A340B8">
        <w:t xml:space="preserve">.  </w:t>
      </w:r>
      <w:r>
        <w:t>The assessment covers the policies, laws and regulations (</w:t>
      </w:r>
      <w:r w:rsidRPr="00D0074D">
        <w:rPr>
          <w:b/>
        </w:rPr>
        <w:t>PLRs</w:t>
      </w:r>
      <w:r>
        <w:t xml:space="preserve">) applicable to the </w:t>
      </w:r>
      <w:r w:rsidR="002D49D6">
        <w:t>PES</w:t>
      </w:r>
      <w:r w:rsidR="003F58FA">
        <w:t xml:space="preserve"> Program</w:t>
      </w:r>
      <w:r w:rsidR="001D7B3B">
        <w:t xml:space="preserve"> from 2014-2015</w:t>
      </w:r>
      <w:r w:rsidRPr="001D7B3B">
        <w:rPr>
          <w:sz w:val="22"/>
          <w:szCs w:val="22"/>
        </w:rPr>
        <w:t xml:space="preserve">. </w:t>
      </w:r>
      <w:r w:rsidR="001D7B3B">
        <w:rPr>
          <w:sz w:val="22"/>
          <w:szCs w:val="22"/>
        </w:rPr>
        <w:t xml:space="preserve"> </w:t>
      </w:r>
      <w:r w:rsidR="001D7B3B" w:rsidRPr="00D42F37">
        <w:t>While the scope of the results period and therefore the ESA includes a process to start designing the PES modality for indigenous peoples territories, it does not include interventions or results from PES in those territories.</w:t>
      </w:r>
      <w:r w:rsidR="001D7B3B" w:rsidRPr="00D42F37">
        <w:rPr>
          <w:sz w:val="18"/>
          <w:szCs w:val="18"/>
        </w:rPr>
        <w:t xml:space="preserve"> </w:t>
      </w:r>
      <w:r>
        <w:t>The program has been implemented in the context of a broader applicable national policy on governance, sustainable rights-based development, conservation and restoration of forests and other ecosystems, and national</w:t>
      </w:r>
      <w:r w:rsidR="00C05554">
        <w:t xml:space="preserve"> policies and</w:t>
      </w:r>
      <w:r>
        <w:t xml:space="preserve"> strategies on </w:t>
      </w:r>
      <w:r w:rsidR="00C05554">
        <w:t>b</w:t>
      </w:r>
      <w:r>
        <w:t xml:space="preserve">iodiversity, </w:t>
      </w:r>
      <w:r w:rsidR="00C05554">
        <w:t>c</w:t>
      </w:r>
      <w:r>
        <w:t xml:space="preserve">limate </w:t>
      </w:r>
      <w:r w:rsidR="00C05554">
        <w:t>c</w:t>
      </w:r>
      <w:r>
        <w:t>hange, gender, indigenous peoples, and more.  This analysis has been carried out using a legal analysis matrix</w:t>
      </w:r>
      <w:r w:rsidR="00C05554">
        <w:t xml:space="preserve"> (Annex A)</w:t>
      </w:r>
      <w:r>
        <w:t>, which examines</w:t>
      </w:r>
      <w:r w:rsidR="00C05554">
        <w:t xml:space="preserve"> in detail</w:t>
      </w:r>
      <w:r>
        <w:t xml:space="preserve"> policy alignment, through the lens of the Cancun Safeguards, while ensuring the principles and standards of the UNDP SES.  The applicable safeguards policies, as well as the way that the legal matrix includes the applicable polices of the UNDP SES, is provided below.</w:t>
      </w:r>
    </w:p>
    <w:p w14:paraId="13B81954" w14:textId="62560415" w:rsidR="00E84B1B" w:rsidRDefault="00E84B1B" w:rsidP="00E84B1B">
      <w:pPr>
        <w:jc w:val="both"/>
      </w:pPr>
      <w:r>
        <w:t xml:space="preserve">In addition to policy alignment, the ESA strives to give a snapshot of how these policies are applied at the project level.  For this project-level assessment, </w:t>
      </w:r>
      <w:r w:rsidR="00D14D7A">
        <w:t>the PES</w:t>
      </w:r>
      <w:r w:rsidR="003F58FA">
        <w:t xml:space="preserve"> Program</w:t>
      </w:r>
      <w:r>
        <w:t xml:space="preserve"> has been chosen to assess alignment in application of the PLRs assessed. </w:t>
      </w:r>
    </w:p>
    <w:p w14:paraId="18B05EB2" w14:textId="77777777" w:rsidR="00E84B1B" w:rsidRDefault="00E84B1B" w:rsidP="00E84B1B">
      <w:pPr>
        <w:pStyle w:val="Heading1"/>
        <w:jc w:val="both"/>
      </w:pPr>
      <w:r>
        <w:t xml:space="preserve">Assessment of Policy-Level Alignment for Period of Achievement of Results </w:t>
      </w:r>
    </w:p>
    <w:p w14:paraId="36D45021" w14:textId="10EBC91E" w:rsidR="00D14D7A" w:rsidRPr="00212C42" w:rsidRDefault="004D48CD" w:rsidP="00574295">
      <w:pPr>
        <w:pStyle w:val="Heading2"/>
        <w:spacing w:after="120" w:line="240" w:lineRule="auto"/>
      </w:pPr>
      <w:r w:rsidRPr="00212C42">
        <w:t>The PES Program in Costa Rica</w:t>
      </w:r>
      <w:r w:rsidR="00E84B1B" w:rsidRPr="00212C42">
        <w:t xml:space="preserve"> </w:t>
      </w:r>
    </w:p>
    <w:p w14:paraId="7F9FCADB" w14:textId="1D2D9993" w:rsidR="00574295" w:rsidRDefault="00C22ADF" w:rsidP="00574295">
      <w:pPr>
        <w:spacing w:before="0" w:line="240" w:lineRule="auto"/>
        <w:jc w:val="both"/>
        <w:rPr>
          <w:lang w:eastAsia="ja-JP"/>
        </w:rPr>
      </w:pPr>
      <w:r>
        <w:rPr>
          <w:lang w:eastAsia="ja-JP"/>
        </w:rPr>
        <w:t>Costa Rica is a pioneer country on forests and biodiversity conservation, having implemented since 1997 a scheme</w:t>
      </w:r>
      <w:r w:rsidRPr="00C22ADF">
        <w:t xml:space="preserve"> </w:t>
      </w:r>
      <w:r w:rsidR="00544EB7">
        <w:t xml:space="preserve">administered by FONAFIFO </w:t>
      </w:r>
      <w:r>
        <w:t>that paid landowners to protect forests in return for the benefits they provide, such as conserving wild species, regulating river flows and storing carbon</w:t>
      </w:r>
      <w:r>
        <w:rPr>
          <w:lang w:eastAsia="ja-JP"/>
        </w:rPr>
        <w:t xml:space="preserve"> through a </w:t>
      </w:r>
      <w:r w:rsidR="00C05554" w:rsidRPr="00010D1A">
        <w:rPr>
          <w:lang w:eastAsia="ja-JP"/>
        </w:rPr>
        <w:t>system for payments for environmental services (PES</w:t>
      </w:r>
      <w:r>
        <w:rPr>
          <w:lang w:eastAsia="ja-JP"/>
        </w:rPr>
        <w:t xml:space="preserve">, </w:t>
      </w:r>
      <w:r w:rsidRPr="00C22ADF">
        <w:rPr>
          <w:i/>
          <w:iCs/>
          <w:lang w:eastAsia="ja-JP"/>
        </w:rPr>
        <w:t xml:space="preserve">Pago por </w:t>
      </w:r>
      <w:proofErr w:type="spellStart"/>
      <w:r w:rsidRPr="00C22ADF">
        <w:rPr>
          <w:i/>
          <w:iCs/>
          <w:lang w:eastAsia="ja-JP"/>
        </w:rPr>
        <w:t>Servicios</w:t>
      </w:r>
      <w:proofErr w:type="spellEnd"/>
      <w:r w:rsidRPr="00C22ADF">
        <w:rPr>
          <w:i/>
          <w:iCs/>
          <w:lang w:eastAsia="ja-JP"/>
        </w:rPr>
        <w:t xml:space="preserve"> </w:t>
      </w:r>
      <w:proofErr w:type="spellStart"/>
      <w:r w:rsidRPr="00C22ADF">
        <w:rPr>
          <w:i/>
          <w:iCs/>
          <w:lang w:eastAsia="ja-JP"/>
        </w:rPr>
        <w:t>Ambientales</w:t>
      </w:r>
      <w:proofErr w:type="spellEnd"/>
      <w:r>
        <w:rPr>
          <w:lang w:eastAsia="ja-JP"/>
        </w:rPr>
        <w:t xml:space="preserve"> in Spanish</w:t>
      </w:r>
      <w:r w:rsidR="00C05554" w:rsidRPr="00010D1A">
        <w:rPr>
          <w:lang w:eastAsia="ja-JP"/>
        </w:rPr>
        <w:t>)</w:t>
      </w:r>
      <w:r w:rsidR="00C05554" w:rsidRPr="00010D1A">
        <w:rPr>
          <w:rStyle w:val="FootnoteReference"/>
          <w:lang w:eastAsia="ja-JP"/>
        </w:rPr>
        <w:footnoteReference w:id="4"/>
      </w:r>
      <w:r>
        <w:rPr>
          <w:lang w:eastAsia="ja-JP"/>
        </w:rPr>
        <w:t xml:space="preserve">. </w:t>
      </w:r>
    </w:p>
    <w:p w14:paraId="4303CB66" w14:textId="408A356E" w:rsidR="00544EB7" w:rsidRDefault="00544EB7" w:rsidP="00574295">
      <w:pPr>
        <w:spacing w:before="0" w:line="240" w:lineRule="auto"/>
        <w:jc w:val="both"/>
        <w:rPr>
          <w:lang w:eastAsia="ja-JP"/>
        </w:rPr>
      </w:pPr>
      <w:r w:rsidRPr="00544EB7">
        <w:rPr>
          <w:lang w:eastAsia="ja-JP"/>
        </w:rPr>
        <w:t xml:space="preserve">The National Forestry Financing Fund, created by Forest Act 7575 in 1995, is the governmental institution where the </w:t>
      </w:r>
      <w:r>
        <w:rPr>
          <w:lang w:eastAsia="ja-JP"/>
        </w:rPr>
        <w:t xml:space="preserve">Costa Rica’s </w:t>
      </w:r>
      <w:r w:rsidRPr="00544EB7">
        <w:rPr>
          <w:lang w:eastAsia="ja-JP"/>
        </w:rPr>
        <w:t>REDD</w:t>
      </w:r>
      <w:r>
        <w:rPr>
          <w:lang w:eastAsia="ja-JP"/>
        </w:rPr>
        <w:t>+</w:t>
      </w:r>
      <w:r w:rsidRPr="00544EB7">
        <w:rPr>
          <w:lang w:eastAsia="ja-JP"/>
        </w:rPr>
        <w:t xml:space="preserve"> Secretariat is hosted</w:t>
      </w:r>
      <w:r>
        <w:rPr>
          <w:lang w:eastAsia="ja-JP"/>
        </w:rPr>
        <w:t>. T</w:t>
      </w:r>
      <w:r w:rsidRPr="00544EB7">
        <w:rPr>
          <w:lang w:eastAsia="ja-JP"/>
        </w:rPr>
        <w:t>he</w:t>
      </w:r>
      <w:r>
        <w:rPr>
          <w:lang w:eastAsia="ja-JP"/>
        </w:rPr>
        <w:t xml:space="preserve"> </w:t>
      </w:r>
      <w:r w:rsidRPr="00544EB7">
        <w:rPr>
          <w:lang w:eastAsia="ja-JP"/>
        </w:rPr>
        <w:t>general objective of F</w:t>
      </w:r>
      <w:r>
        <w:rPr>
          <w:lang w:eastAsia="ja-JP"/>
        </w:rPr>
        <w:t>ONAFIFO</w:t>
      </w:r>
      <w:r w:rsidRPr="00544EB7">
        <w:rPr>
          <w:lang w:eastAsia="ja-JP"/>
        </w:rPr>
        <w:t xml:space="preserve"> is to finance small and medium producers for the handling of processes of reforestation, forestation, greenhouses and agroforestry systems, and for the recovery of deforested areas and the necessary technological changes in the use and industrialization of forest resources.</w:t>
      </w:r>
      <w:r>
        <w:rPr>
          <w:lang w:eastAsia="ja-JP"/>
        </w:rPr>
        <w:t xml:space="preserve"> It </w:t>
      </w:r>
      <w:r w:rsidRPr="00544EB7">
        <w:rPr>
          <w:lang w:eastAsia="ja-JP"/>
        </w:rPr>
        <w:t>also has the responsibility to raise funds for financing the payment of environmental services provided by forests, forest plantations and other necessary activities to strengthen the development of the natural resources sector. These services are defined in the Forest Act.</w:t>
      </w:r>
    </w:p>
    <w:p w14:paraId="3F4293CE" w14:textId="4F5A5B38" w:rsidR="00574295" w:rsidRDefault="00C22ADF" w:rsidP="00544EB7">
      <w:pPr>
        <w:spacing w:before="0" w:line="240" w:lineRule="auto"/>
        <w:jc w:val="both"/>
      </w:pPr>
      <w:r>
        <w:t xml:space="preserve">More than one million hectares of forest in Costa Rica have been part of the PES program schemes at one time or another and as a result forest cover has returned to over 50 </w:t>
      </w:r>
      <w:r w:rsidR="00574295">
        <w:t xml:space="preserve">% </w:t>
      </w:r>
      <w:r>
        <w:t>of the country's land area, from a low of just over 20</w:t>
      </w:r>
      <w:r w:rsidR="00574295">
        <w:t xml:space="preserve">% </w:t>
      </w:r>
      <w:r>
        <w:t>in the 1980s.</w:t>
      </w:r>
      <w:r w:rsidR="00574295">
        <w:t xml:space="preserve"> </w:t>
      </w:r>
      <w:r w:rsidR="00574295" w:rsidRPr="00574295">
        <w:t>While deforestation and forest degradation continu</w:t>
      </w:r>
      <w:r w:rsidR="00574295">
        <w:t>ally increase</w:t>
      </w:r>
      <w:r w:rsidR="00574295" w:rsidRPr="00574295">
        <w:t xml:space="preserve">d globally, Costa Rica developed policies and incentives aimed at strengthening its National System of Protected Wild Areas (ASP) and its Payments for Environmental Services (PES) program, which together cover approximately 35% of the country and 70% of the </w:t>
      </w:r>
      <w:r w:rsidR="00574295" w:rsidRPr="00574295">
        <w:lastRenderedPageBreak/>
        <w:t xml:space="preserve">forests; while forest cover has grown by more than 20% in the last 25 years, currently being located in more than 52% of the country's territorial area (SINAC, 2013). Thanks to this, the forestry sector has become a net emission sink, but more importantly, </w:t>
      </w:r>
      <w:r w:rsidR="00574295">
        <w:t xml:space="preserve">it provided </w:t>
      </w:r>
      <w:r w:rsidR="00574295" w:rsidRPr="00574295">
        <w:t>a concrete example that demonstrates that developing countries can reduce emissions in the forestry sector while maintaining vital functions of critical ecosystems,</w:t>
      </w:r>
      <w:r w:rsidR="00574295">
        <w:t xml:space="preserve"> </w:t>
      </w:r>
      <w:r w:rsidR="00574295" w:rsidRPr="00574295">
        <w:t>improving its resilience to climate change</w:t>
      </w:r>
      <w:r w:rsidR="00574295">
        <w:t xml:space="preserve">, </w:t>
      </w:r>
      <w:r w:rsidR="00574295" w:rsidRPr="00574295">
        <w:t xml:space="preserve">and providing opportunities for access to key environmental and economic resources, especially to small and medium producers in the rural area. </w:t>
      </w:r>
      <w:r w:rsidR="00574295">
        <w:t>Costa Rica’s model</w:t>
      </w:r>
      <w:r w:rsidR="00574295" w:rsidRPr="00574295">
        <w:t xml:space="preserve"> served largely as a reference for the design of the REDD + political-strategic framework </w:t>
      </w:r>
      <w:r w:rsidR="00574295">
        <w:t xml:space="preserve">at a global level. </w:t>
      </w:r>
    </w:p>
    <w:p w14:paraId="03C0B6A1" w14:textId="7468C7A8" w:rsidR="00C05554" w:rsidRDefault="00C22ADF" w:rsidP="00574295">
      <w:pPr>
        <w:spacing w:before="0" w:after="0" w:line="240" w:lineRule="auto"/>
      </w:pPr>
      <w:r>
        <w:t xml:space="preserve">Costa Rica’s PES Program was created </w:t>
      </w:r>
      <w:r w:rsidR="00574295">
        <w:t xml:space="preserve">under 1996’s </w:t>
      </w:r>
      <w:r>
        <w:t>Forestry Law</w:t>
      </w:r>
      <w:r w:rsidR="00574295">
        <w:rPr>
          <w:sz w:val="18"/>
          <w:szCs w:val="18"/>
        </w:rPr>
        <w:t xml:space="preserve">. Its </w:t>
      </w:r>
      <w:r w:rsidR="00574295" w:rsidRPr="00574295">
        <w:t>main objective of is to provide incentives to small and medium producers and landowners to conserve, protect and better manage Costa Rica’s forests. The program is voluntary, and open to a broad number of stakeholders (17,3380 PES agreements are in place since 1997</w:t>
      </w:r>
      <w:r w:rsidR="00574295">
        <w:t xml:space="preserve">). The Program </w:t>
      </w:r>
      <w:r w:rsidRPr="00C22ADF">
        <w:t>is based on four fundamental pillars: Institutional</w:t>
      </w:r>
      <w:r w:rsidR="00574295">
        <w:t xml:space="preserve"> strengthening</w:t>
      </w:r>
      <w:r w:rsidRPr="00C22ADF">
        <w:t>, Legal Framework, Financing and Monitoring and evaluation</w:t>
      </w:r>
      <w:r w:rsidR="00660ADC">
        <w:t xml:space="preserve">. The </w:t>
      </w:r>
      <w:r w:rsidR="008F3D57">
        <w:t>Program</w:t>
      </w:r>
      <w:r w:rsidR="00660ADC">
        <w:t xml:space="preserve"> has detailed operation manuals</w:t>
      </w:r>
      <w:r w:rsidR="00660ADC">
        <w:rPr>
          <w:rStyle w:val="FootnoteReference"/>
        </w:rPr>
        <w:footnoteReference w:id="5"/>
      </w:r>
      <w:r w:rsidR="00660ADC">
        <w:t xml:space="preserve">, that have been updated and improved through time. </w:t>
      </w:r>
    </w:p>
    <w:p w14:paraId="33DE9181" w14:textId="7630E219" w:rsidR="00320485" w:rsidRDefault="005926C9" w:rsidP="00E84B1B">
      <w:pPr>
        <w:jc w:val="both"/>
      </w:pPr>
      <w:r>
        <w:t xml:space="preserve">The PES’s primary target were small and medium </w:t>
      </w:r>
      <w:r w:rsidRPr="00411A12">
        <w:t>forest</w:t>
      </w:r>
      <w:r>
        <w:t xml:space="preserve"> landholders. </w:t>
      </w:r>
      <w:r w:rsidR="00574295">
        <w:t xml:space="preserve">Until February 2019, </w:t>
      </w:r>
      <w:r w:rsidR="00574295" w:rsidRPr="00574295">
        <w:t>2,702.00 PES</w:t>
      </w:r>
      <w:r w:rsidR="00544EB7">
        <w:t xml:space="preserve"> </w:t>
      </w:r>
      <w:r w:rsidR="00574295" w:rsidRPr="00574295">
        <w:t>contracts</w:t>
      </w:r>
      <w:r w:rsidR="00544EB7">
        <w:t xml:space="preserve"> covering more than 1.1 million hectares</w:t>
      </w:r>
      <w:r w:rsidR="00574295" w:rsidRPr="00574295">
        <w:t xml:space="preserve"> have been signed </w:t>
      </w:r>
      <w:r>
        <w:t xml:space="preserve">by </w:t>
      </w:r>
      <w:r w:rsidR="00544EB7">
        <w:t>FONAFIFO</w:t>
      </w:r>
      <w:r w:rsidR="00570302">
        <w:t>.</w:t>
      </w:r>
      <w:r w:rsidR="00E84B1B">
        <w:t xml:space="preserve"> </w:t>
      </w:r>
      <w:r>
        <w:t xml:space="preserve">Per these agreements, the partners place all or part of their lands into a conservation, sustainable forest management, reforestation or agroforestry area in exchange annual incentive payments.  </w:t>
      </w:r>
    </w:p>
    <w:p w14:paraId="3A22D1BA" w14:textId="5C845815" w:rsidR="00320485" w:rsidRDefault="009E003E" w:rsidP="00320485">
      <w:pPr>
        <w:jc w:val="both"/>
      </w:pPr>
      <w:r>
        <w:t>During 2014-2015</w:t>
      </w:r>
      <w:r w:rsidR="00320485" w:rsidRPr="00320485">
        <w:t xml:space="preserve">, there </w:t>
      </w:r>
      <w:r>
        <w:t>were</w:t>
      </w:r>
      <w:r w:rsidR="00320485" w:rsidRPr="00320485">
        <w:t xml:space="preserve"> </w:t>
      </w:r>
      <w:r w:rsidR="00320485">
        <w:t xml:space="preserve">four </w:t>
      </w:r>
      <w:r w:rsidR="00320485" w:rsidRPr="00320485">
        <w:t>different types of PES contracts</w:t>
      </w:r>
      <w:r w:rsidR="00320485">
        <w:t>:</w:t>
      </w:r>
    </w:p>
    <w:p w14:paraId="294F460F" w14:textId="3B1495B8" w:rsidR="00570302" w:rsidRPr="009E003E" w:rsidRDefault="00320485" w:rsidP="00570302">
      <w:pPr>
        <w:pStyle w:val="ListParagraph"/>
        <w:numPr>
          <w:ilvl w:val="0"/>
          <w:numId w:val="39"/>
        </w:numPr>
        <w:jc w:val="both"/>
      </w:pPr>
      <w:r w:rsidRPr="009E003E">
        <w:t xml:space="preserve">Forest conservation contracts: </w:t>
      </w:r>
      <w:r w:rsidR="009E003E">
        <w:t xml:space="preserve">between </w:t>
      </w:r>
      <w:r w:rsidRPr="009E003E">
        <w:t>US$</w:t>
      </w:r>
      <w:r w:rsidR="009E003E">
        <w:t xml:space="preserve"> </w:t>
      </w:r>
      <w:r w:rsidRPr="009E003E">
        <w:t>2</w:t>
      </w:r>
      <w:r w:rsidR="009E003E">
        <w:t>97 US$ 316</w:t>
      </w:r>
      <w:r w:rsidRPr="009E003E">
        <w:t xml:space="preserve"> per hectare</w:t>
      </w:r>
      <w:r w:rsidR="009E003E">
        <w:rPr>
          <w:rStyle w:val="FootnoteReference"/>
        </w:rPr>
        <w:footnoteReference w:id="6"/>
      </w:r>
      <w:r w:rsidRPr="009E003E">
        <w:t xml:space="preserve"> (equivalent to $</w:t>
      </w:r>
      <w:r w:rsidR="009E003E">
        <w:t>59 and $ 63</w:t>
      </w:r>
      <w:r w:rsidRPr="009E003E">
        <w:t xml:space="preserve"> per year per hectare</w:t>
      </w:r>
      <w:r w:rsidR="009E003E">
        <w:t xml:space="preserve"> pending of the exchange rate</w:t>
      </w:r>
      <w:r w:rsidRPr="009E003E">
        <w:t xml:space="preserve">), disbursed evenly over a five-year period, for forest conservation easements. Eighty-five percent of contracts in the PES program to date support forest conservation easements which target the conservation of vegetative cover in primary and secondary forest areas. Contracts are for five </w:t>
      </w:r>
      <w:r w:rsidR="00570302" w:rsidRPr="009E003E">
        <w:t>years but</w:t>
      </w:r>
      <w:r w:rsidRPr="009E003E">
        <w:t xml:space="preserve"> can be renew depending upon funds availability. </w:t>
      </w:r>
    </w:p>
    <w:p w14:paraId="5C8C5B2F" w14:textId="0CC18AB5" w:rsidR="00570302" w:rsidRPr="009E003E" w:rsidRDefault="00320485" w:rsidP="00570302">
      <w:pPr>
        <w:pStyle w:val="ListParagraph"/>
        <w:numPr>
          <w:ilvl w:val="0"/>
          <w:numId w:val="39"/>
        </w:numPr>
        <w:jc w:val="both"/>
      </w:pPr>
      <w:r w:rsidRPr="009E003E">
        <w:t>Sustainable forest management contracts: US$</w:t>
      </w:r>
      <w:r w:rsidR="009E003E">
        <w:t xml:space="preserve"> 232 (2014) and US $247</w:t>
      </w:r>
      <w:r w:rsidRPr="009E003E">
        <w:t xml:space="preserve"> </w:t>
      </w:r>
      <w:r w:rsidR="009E003E">
        <w:t xml:space="preserve">(2015) </w:t>
      </w:r>
      <w:r w:rsidRPr="009E003E">
        <w:t xml:space="preserve">per hectare, disbursed over a five-year period, for sustainable forest management easements. Nine percent of contracts in the ESP program support sustainable forest management. </w:t>
      </w:r>
      <w:r w:rsidR="00570302" w:rsidRPr="009E003E">
        <w:t xml:space="preserve">Landowners must make a commitment to maintain forested areas for a period of 15 years. </w:t>
      </w:r>
    </w:p>
    <w:p w14:paraId="6B7D929D" w14:textId="77F2F155" w:rsidR="00320485" w:rsidRPr="009E003E" w:rsidRDefault="00570302" w:rsidP="00660ADC">
      <w:pPr>
        <w:pStyle w:val="ListParagraph"/>
        <w:numPr>
          <w:ilvl w:val="0"/>
          <w:numId w:val="39"/>
        </w:numPr>
        <w:spacing w:before="0" w:after="0" w:line="240" w:lineRule="auto"/>
        <w:rPr>
          <w:rFonts w:ascii="Times New Roman" w:eastAsia="Times New Roman" w:hAnsi="Times New Roman" w:cs="Times New Roman"/>
          <w:sz w:val="24"/>
          <w:szCs w:val="24"/>
        </w:rPr>
      </w:pPr>
      <w:r w:rsidRPr="009E003E">
        <w:t xml:space="preserve">Reforestation contracts: </w:t>
      </w:r>
      <w:r w:rsidR="009E003E">
        <w:t xml:space="preserve">Between </w:t>
      </w:r>
      <w:r w:rsidRPr="009E003E">
        <w:t>US$</w:t>
      </w:r>
      <w:r w:rsidR="009E003E">
        <w:t xml:space="preserve"> 910 and </w:t>
      </w:r>
      <w:r w:rsidR="009E003E" w:rsidRPr="009E003E">
        <w:t>US$</w:t>
      </w:r>
      <w:r w:rsidR="009E003E">
        <w:t xml:space="preserve"> 1196 </w:t>
      </w:r>
      <w:r w:rsidRPr="009E003E">
        <w:t>per hectare</w:t>
      </w:r>
      <w:r w:rsidR="009E003E">
        <w:t xml:space="preserve"> with introduced species and with native species between </w:t>
      </w:r>
      <w:r w:rsidR="009E003E" w:rsidRPr="009E003E">
        <w:t>US$</w:t>
      </w:r>
      <w:r w:rsidR="009E003E">
        <w:t xml:space="preserve"> 1365 (2014) and </w:t>
      </w:r>
      <w:r w:rsidR="009E003E" w:rsidRPr="009E003E">
        <w:t>US$</w:t>
      </w:r>
      <w:r w:rsidR="009E003E">
        <w:t xml:space="preserve"> 2114 (2015)</w:t>
      </w:r>
      <w:r w:rsidRPr="009E003E">
        <w:t>, disbursed over a five-year or ten-ye</w:t>
      </w:r>
      <w:r w:rsidR="008F3D57" w:rsidRPr="009E003E">
        <w:t>a</w:t>
      </w:r>
      <w:r w:rsidRPr="009E003E">
        <w:t>r period (depending of the year of signature), for reforestation easements. Landowners must make a commitment to maintain reforested areas for a period of fifteen to twenty years, depending upon tree species. Six percent of</w:t>
      </w:r>
      <w:r w:rsidR="00660ADC" w:rsidRPr="009E003E">
        <w:t xml:space="preserve"> </w:t>
      </w:r>
      <w:r w:rsidRPr="009E003E">
        <w:t xml:space="preserve">contracts in the </w:t>
      </w:r>
      <w:r w:rsidR="00660ADC" w:rsidRPr="009E003E">
        <w:t xml:space="preserve">PES </w:t>
      </w:r>
      <w:r w:rsidRPr="009E003E">
        <w:t>program support reforestation of degraded and abandoned agricultural lands</w:t>
      </w:r>
      <w:r w:rsidRPr="009E003E">
        <w:rPr>
          <w:rFonts w:ascii="Times New Roman" w:eastAsia="Times New Roman" w:hAnsi="Times New Roman" w:cs="Times New Roman"/>
          <w:sz w:val="28"/>
          <w:szCs w:val="28"/>
        </w:rPr>
        <w:t>.</w:t>
      </w:r>
      <w:r w:rsidR="00320485" w:rsidRPr="009E003E">
        <w:t xml:space="preserve"> </w:t>
      </w:r>
    </w:p>
    <w:p w14:paraId="76B8F507" w14:textId="308D1C27" w:rsidR="00570302" w:rsidRPr="00570302" w:rsidRDefault="00570302" w:rsidP="00570302">
      <w:pPr>
        <w:pStyle w:val="ListParagraph"/>
        <w:numPr>
          <w:ilvl w:val="0"/>
          <w:numId w:val="39"/>
        </w:numPr>
        <w:spacing w:before="0" w:after="0" w:line="240" w:lineRule="auto"/>
        <w:rPr>
          <w:rFonts w:ascii="Times New Roman" w:eastAsia="Times New Roman" w:hAnsi="Times New Roman" w:cs="Times New Roman"/>
          <w:sz w:val="24"/>
          <w:szCs w:val="24"/>
        </w:rPr>
      </w:pPr>
      <w:r w:rsidRPr="009E003E">
        <w:t>Agroforestry contracts (newer modality, implemented since</w:t>
      </w:r>
      <w:r w:rsidR="00FA6121" w:rsidRPr="009E003E">
        <w:t xml:space="preserve"> </w:t>
      </w:r>
      <w:r w:rsidR="008F3D57" w:rsidRPr="009E003E">
        <w:t>2003</w:t>
      </w:r>
      <w:r w:rsidR="00FA6121" w:rsidRPr="009E003E">
        <w:t>)</w:t>
      </w:r>
      <w:r w:rsidR="009E003E">
        <w:rPr>
          <w:rStyle w:val="FootnoteReference"/>
        </w:rPr>
        <w:footnoteReference w:id="7"/>
      </w:r>
      <w:r w:rsidR="00FA6121" w:rsidRPr="009E003E">
        <w:t xml:space="preserve">: </w:t>
      </w:r>
      <w:r w:rsidR="009E003E">
        <w:t>between 1.21 and 1.73 USD per tree</w:t>
      </w:r>
      <w:r w:rsidR="00FA6121" w:rsidRPr="009E003E">
        <w:t xml:space="preserve">, </w:t>
      </w:r>
      <w:r w:rsidR="008F3D57" w:rsidRPr="009E003E">
        <w:t>disbu</w:t>
      </w:r>
      <w:r w:rsidR="009E003E">
        <w:t>r</w:t>
      </w:r>
      <w:r w:rsidR="008F3D57" w:rsidRPr="009E003E">
        <w:t>sed</w:t>
      </w:r>
      <w:r w:rsidR="00FA6121" w:rsidRPr="009E003E">
        <w:t xml:space="preserve"> over a </w:t>
      </w:r>
      <w:r w:rsidR="008F3D57" w:rsidRPr="009E003E">
        <w:t>3-year</w:t>
      </w:r>
      <w:r w:rsidR="00FA6121" w:rsidRPr="009E003E">
        <w:t xml:space="preserve"> period</w:t>
      </w:r>
      <w:r w:rsidR="00FA6121">
        <w:t xml:space="preserve">. </w:t>
      </w:r>
      <w:r>
        <w:t xml:space="preserve"> </w:t>
      </w:r>
    </w:p>
    <w:p w14:paraId="45BE4A18" w14:textId="5135CCEE" w:rsidR="0094124C" w:rsidRDefault="00AF774B" w:rsidP="00E84B1B">
      <w:pPr>
        <w:jc w:val="both"/>
        <w:rPr>
          <w:rFonts w:eastAsia="Arial"/>
          <w:color w:val="000000"/>
          <w:lang w:eastAsia="es-EC"/>
        </w:rPr>
      </w:pPr>
      <w:r>
        <w:t xml:space="preserve">When started the PES program did not contain special provisions for indigenous peoples, </w:t>
      </w:r>
      <w:proofErr w:type="gramStart"/>
      <w:r>
        <w:t>with the exception of</w:t>
      </w:r>
      <w:proofErr w:type="gramEnd"/>
      <w:r>
        <w:t xml:space="preserve"> </w:t>
      </w:r>
      <w:r w:rsidR="007C2F31">
        <w:t>having the possibility to have larger areas under contract (600 has maximum as opposed to 300 for other contract-holders)</w:t>
      </w:r>
      <w:r w:rsidRPr="00B6687F">
        <w:rPr>
          <w:highlight w:val="yellow"/>
        </w:rPr>
        <w:t>.</w:t>
      </w:r>
      <w:r>
        <w:t xml:space="preserve"> In 2015 and at their request, a revised modality for the PES program in indigenous territories was </w:t>
      </w:r>
      <w:r w:rsidR="00FA6121">
        <w:t>designed</w:t>
      </w:r>
      <w:r w:rsidR="00D20ACC">
        <w:t xml:space="preserve"> T</w:t>
      </w:r>
      <w:r w:rsidR="006511C3">
        <w:t xml:space="preserve">he IP PES program now </w:t>
      </w:r>
      <w:r w:rsidR="006511C3" w:rsidRPr="007C2F31">
        <w:rPr>
          <w:rFonts w:eastAsia="Arial"/>
          <w:color w:val="000000"/>
          <w:lang w:eastAsia="es-EC"/>
        </w:rPr>
        <w:t>allows the participation of a maximum of 1,000 hectares</w:t>
      </w:r>
      <w:r w:rsidR="006511C3">
        <w:rPr>
          <w:rFonts w:eastAsia="Arial"/>
          <w:color w:val="000000"/>
          <w:lang w:eastAsia="es-EC"/>
        </w:rPr>
        <w:t xml:space="preserve"> and with a special provision for allowing the use of 2% of the territory for subsistence activity. </w:t>
      </w:r>
    </w:p>
    <w:p w14:paraId="0AD900BF" w14:textId="2D7A173A" w:rsidR="00E84B1B" w:rsidRPr="00212C42" w:rsidRDefault="005926C9" w:rsidP="00E84B1B">
      <w:pPr>
        <w:jc w:val="both"/>
        <w:rPr>
          <w:rFonts w:ascii="Arial" w:eastAsia="Times New Roman" w:hAnsi="Arial"/>
          <w:b/>
          <w:bCs/>
          <w:color w:val="000000"/>
          <w:sz w:val="18"/>
          <w:szCs w:val="18"/>
          <w:lang w:eastAsia="es-CR"/>
        </w:rPr>
      </w:pPr>
      <w:r>
        <w:t>As C</w:t>
      </w:r>
      <w:r w:rsidR="006511C3">
        <w:t xml:space="preserve">osta </w:t>
      </w:r>
      <w:r>
        <w:t>R</w:t>
      </w:r>
      <w:r w:rsidR="006511C3">
        <w:t>ica</w:t>
      </w:r>
      <w:r>
        <w:t xml:space="preserve"> continues to strengthen its PLR provisions on indigenous peoples, </w:t>
      </w:r>
      <w:r w:rsidR="0094124C">
        <w:t xml:space="preserve">such as in respect of new procedures for engaging indigenous peoples to obtain their </w:t>
      </w:r>
      <w:r w:rsidR="00712FF3">
        <w:t xml:space="preserve">free and </w:t>
      </w:r>
      <w:r w:rsidR="0094124C">
        <w:t xml:space="preserve">prior and informed consent </w:t>
      </w:r>
      <w:r w:rsidR="00712FF3">
        <w:t xml:space="preserve">(FPIC) </w:t>
      </w:r>
      <w:r w:rsidR="0094124C">
        <w:t xml:space="preserve">for projects and activities </w:t>
      </w:r>
      <w:r w:rsidR="0094124C">
        <w:lastRenderedPageBreak/>
        <w:t xml:space="preserve">that may negatively or positively affect them, </w:t>
      </w:r>
      <w:r>
        <w:t>the PES program in indigenous territories will be further strengthened</w:t>
      </w:r>
      <w:r w:rsidR="00AF774B">
        <w:t xml:space="preserve"> and expanded with REDD+ RBP funds. </w:t>
      </w:r>
      <w:r w:rsidR="00E84B1B">
        <w:t xml:space="preserve">   </w:t>
      </w:r>
    </w:p>
    <w:p w14:paraId="41FE45C0" w14:textId="4BA24F28" w:rsidR="00E84B1B" w:rsidRDefault="00E84B1B" w:rsidP="00E84B1B">
      <w:pPr>
        <w:jc w:val="both"/>
      </w:pPr>
    </w:p>
    <w:p w14:paraId="52C6B097" w14:textId="7DEDFE12" w:rsidR="00E84B1B" w:rsidRDefault="00660ADC" w:rsidP="00E84B1B">
      <w:pPr>
        <w:jc w:val="both"/>
        <w:rPr>
          <w:rFonts w:eastAsia="Arial"/>
          <w:color w:val="000000"/>
          <w:lang w:eastAsia="es-EC"/>
        </w:rPr>
      </w:pPr>
      <w:r>
        <w:rPr>
          <w:rFonts w:eastAsia="Arial"/>
          <w:color w:val="000000"/>
          <w:lang w:eastAsia="es-EC"/>
        </w:rPr>
        <w:t>FONAFIFO</w:t>
      </w:r>
      <w:r w:rsidR="00E84B1B">
        <w:rPr>
          <w:rFonts w:eastAsia="Arial"/>
          <w:color w:val="000000"/>
          <w:lang w:eastAsia="es-EC"/>
        </w:rPr>
        <w:t xml:space="preserve"> </w:t>
      </w:r>
      <w:r w:rsidR="00E84B1B" w:rsidRPr="00482476">
        <w:rPr>
          <w:rFonts w:eastAsia="Arial"/>
          <w:color w:val="000000"/>
          <w:lang w:eastAsia="es-EC"/>
        </w:rPr>
        <w:t xml:space="preserve">past capability to execute </w:t>
      </w:r>
      <w:r>
        <w:rPr>
          <w:rFonts w:eastAsia="Arial"/>
          <w:color w:val="000000"/>
          <w:lang w:eastAsia="es-EC"/>
        </w:rPr>
        <w:t xml:space="preserve">PES </w:t>
      </w:r>
      <w:r w:rsidR="00E84B1B">
        <w:rPr>
          <w:rFonts w:eastAsia="Arial"/>
          <w:color w:val="000000"/>
          <w:lang w:eastAsia="es-EC"/>
        </w:rPr>
        <w:t>has been</w:t>
      </w:r>
      <w:r w:rsidR="00E84B1B" w:rsidRPr="00482476">
        <w:rPr>
          <w:rFonts w:eastAsia="Arial"/>
          <w:color w:val="000000"/>
          <w:lang w:eastAsia="es-EC"/>
        </w:rPr>
        <w:t xml:space="preserve"> demonstrated and supported by</w:t>
      </w:r>
      <w:r>
        <w:rPr>
          <w:rFonts w:eastAsia="Arial"/>
          <w:color w:val="000000"/>
          <w:lang w:eastAsia="es-EC"/>
        </w:rPr>
        <w:t xml:space="preserve"> thoroughly</w:t>
      </w:r>
      <w:r w:rsidR="00E84B1B" w:rsidRPr="00482476">
        <w:rPr>
          <w:rFonts w:eastAsia="Arial"/>
          <w:color w:val="000000"/>
          <w:lang w:eastAsia="es-EC"/>
        </w:rPr>
        <w:t xml:space="preserve"> documented success</w:t>
      </w:r>
      <w:r w:rsidR="00E84B1B">
        <w:rPr>
          <w:rFonts w:eastAsia="Arial"/>
          <w:color w:val="000000"/>
          <w:lang w:eastAsia="es-EC"/>
        </w:rPr>
        <w:t xml:space="preserve">.  </w:t>
      </w:r>
      <w:r>
        <w:rPr>
          <w:rFonts w:eastAsia="Arial"/>
          <w:color w:val="000000"/>
          <w:lang w:eastAsia="es-EC"/>
        </w:rPr>
        <w:t xml:space="preserve">Between </w:t>
      </w:r>
      <w:r w:rsidR="00E84B1B">
        <w:rPr>
          <w:rFonts w:eastAsia="Arial"/>
          <w:color w:val="000000"/>
          <w:lang w:eastAsia="es-EC"/>
        </w:rPr>
        <w:t xml:space="preserve">2014 </w:t>
      </w:r>
      <w:r>
        <w:rPr>
          <w:rFonts w:eastAsia="Arial"/>
          <w:color w:val="000000"/>
          <w:lang w:eastAsia="es-EC"/>
        </w:rPr>
        <w:t>and 2015</w:t>
      </w:r>
      <w:r w:rsidR="00E84B1B">
        <w:rPr>
          <w:rFonts w:eastAsia="Arial"/>
          <w:color w:val="000000"/>
          <w:lang w:eastAsia="es-EC"/>
        </w:rPr>
        <w:t xml:space="preserve">, the period for which the results-based payments are sought, the </w:t>
      </w:r>
      <w:r>
        <w:rPr>
          <w:rFonts w:eastAsia="Arial"/>
          <w:color w:val="000000"/>
          <w:lang w:eastAsia="es-EC"/>
        </w:rPr>
        <w:t>PES program</w:t>
      </w:r>
      <w:r w:rsidR="00E84B1B">
        <w:rPr>
          <w:rFonts w:eastAsia="Arial"/>
          <w:color w:val="000000"/>
          <w:lang w:eastAsia="es-EC"/>
        </w:rPr>
        <w:t>:</w:t>
      </w:r>
    </w:p>
    <w:p w14:paraId="2B716287" w14:textId="292028E6" w:rsidR="00E84B1B" w:rsidRDefault="00E84B1B" w:rsidP="00E84B1B">
      <w:pPr>
        <w:pStyle w:val="ListParagraph"/>
        <w:numPr>
          <w:ilvl w:val="0"/>
          <w:numId w:val="37"/>
        </w:numPr>
        <w:jc w:val="both"/>
        <w:rPr>
          <w:rFonts w:eastAsia="Arial"/>
          <w:color w:val="000000"/>
          <w:lang w:eastAsia="es-EC"/>
        </w:rPr>
      </w:pPr>
      <w:r>
        <w:rPr>
          <w:rFonts w:eastAsia="Arial"/>
          <w:color w:val="000000"/>
          <w:lang w:eastAsia="es-EC"/>
        </w:rPr>
        <w:t xml:space="preserve">was a critical contributor at the national level to the </w:t>
      </w:r>
      <w:r w:rsidRPr="00A6105E">
        <w:rPr>
          <w:rFonts w:eastAsia="Arial"/>
          <w:color w:val="000000"/>
          <w:lang w:eastAsia="es-EC"/>
        </w:rPr>
        <w:t xml:space="preserve">registered reduced emissions of </w:t>
      </w:r>
      <w:r w:rsidR="00141154" w:rsidRPr="001C23A2">
        <w:rPr>
          <w:rFonts w:eastAsia="Calibri"/>
          <w:color w:val="000000" w:themeColor="text1"/>
        </w:rPr>
        <w:t>14,794,749 t CO</w:t>
      </w:r>
      <w:r w:rsidR="00141154" w:rsidRPr="001C23A2">
        <w:rPr>
          <w:rFonts w:eastAsia="Calibri"/>
          <w:color w:val="000000" w:themeColor="text1"/>
          <w:vertAlign w:val="subscript"/>
        </w:rPr>
        <w:t>2</w:t>
      </w:r>
      <w:r w:rsidR="00141154" w:rsidRPr="001C23A2">
        <w:rPr>
          <w:rFonts w:eastAsia="Calibri"/>
          <w:color w:val="000000" w:themeColor="text1"/>
        </w:rPr>
        <w:t>e</w:t>
      </w:r>
      <w:r w:rsidRPr="00A6105E">
        <w:rPr>
          <w:rFonts w:eastAsia="Arial"/>
          <w:color w:val="000000"/>
          <w:lang w:eastAsia="es-EC"/>
        </w:rPr>
        <w:t xml:space="preserve"> </w:t>
      </w:r>
      <w:r w:rsidR="00141154">
        <w:rPr>
          <w:rFonts w:eastAsia="Arial"/>
          <w:color w:val="000000"/>
          <w:lang w:eastAsia="es-EC"/>
        </w:rPr>
        <w:t>for the period 2014-2015</w:t>
      </w:r>
      <w:r w:rsidRPr="00A6105E">
        <w:rPr>
          <w:rFonts w:eastAsia="Arial"/>
          <w:color w:val="000000"/>
          <w:lang w:eastAsia="es-EC"/>
        </w:rPr>
        <w:t xml:space="preserve">; </w:t>
      </w:r>
    </w:p>
    <w:p w14:paraId="37DDAE6F" w14:textId="7544E534" w:rsidR="00E84B1B" w:rsidRPr="00A6105E" w:rsidRDefault="00E84B1B" w:rsidP="00E84B1B">
      <w:pPr>
        <w:pStyle w:val="ListParagraph"/>
        <w:numPr>
          <w:ilvl w:val="0"/>
          <w:numId w:val="37"/>
        </w:numPr>
        <w:jc w:val="both"/>
        <w:rPr>
          <w:rFonts w:eastAsia="Arial"/>
          <w:color w:val="000000"/>
          <w:lang w:eastAsia="es-EC"/>
        </w:rPr>
      </w:pPr>
      <w:r w:rsidRPr="00A6105E">
        <w:rPr>
          <w:rFonts w:eastAsia="Arial"/>
          <w:color w:val="000000"/>
          <w:lang w:eastAsia="es-EC"/>
        </w:rPr>
        <w:t xml:space="preserve">signed </w:t>
      </w:r>
      <w:r w:rsidR="00AF774B">
        <w:rPr>
          <w:rFonts w:eastAsia="Arial"/>
          <w:color w:val="000000"/>
          <w:lang w:eastAsia="es-EC"/>
        </w:rPr>
        <w:t>1</w:t>
      </w:r>
      <w:r w:rsidR="00141154">
        <w:rPr>
          <w:rFonts w:eastAsia="Arial"/>
          <w:color w:val="000000"/>
          <w:lang w:eastAsia="es-EC"/>
        </w:rPr>
        <w:t>,9</w:t>
      </w:r>
      <w:r w:rsidR="00C2688C">
        <w:rPr>
          <w:rFonts w:eastAsia="Arial"/>
          <w:color w:val="000000"/>
          <w:lang w:eastAsia="es-EC"/>
        </w:rPr>
        <w:t>71</w:t>
      </w:r>
      <w:r w:rsidR="00141154">
        <w:rPr>
          <w:rFonts w:eastAsia="Arial"/>
          <w:color w:val="000000"/>
          <w:lang w:eastAsia="es-EC"/>
        </w:rPr>
        <w:t xml:space="preserve"> new </w:t>
      </w:r>
      <w:r w:rsidR="00141154">
        <w:rPr>
          <w:rFonts w:eastAsia="Arial"/>
          <w:iCs/>
          <w:color w:val="000000"/>
          <w:lang w:eastAsia="es-EC"/>
        </w:rPr>
        <w:t xml:space="preserve">contracts signed </w:t>
      </w:r>
      <w:r w:rsidRPr="00141154">
        <w:rPr>
          <w:rFonts w:eastAsia="Arial"/>
          <w:iCs/>
          <w:color w:val="000000"/>
          <w:lang w:eastAsia="es-EC"/>
        </w:rPr>
        <w:t>with</w:t>
      </w:r>
      <w:r w:rsidRPr="00A6105E">
        <w:rPr>
          <w:rFonts w:eastAsia="Arial"/>
          <w:color w:val="000000"/>
          <w:lang w:eastAsia="es-EC"/>
        </w:rPr>
        <w:t xml:space="preserve"> land titleholders </w:t>
      </w:r>
      <w:r w:rsidR="00141154">
        <w:rPr>
          <w:rFonts w:eastAsia="Arial"/>
          <w:color w:val="000000"/>
          <w:lang w:eastAsia="es-EC"/>
        </w:rPr>
        <w:t xml:space="preserve">of the </w:t>
      </w:r>
      <w:r w:rsidR="00141154" w:rsidRPr="00141154">
        <w:rPr>
          <w:rFonts w:eastAsia="Arial"/>
          <w:color w:val="000000"/>
          <w:lang w:eastAsia="es-EC"/>
        </w:rPr>
        <w:t>17,776.00 contracts signed since 1997</w:t>
      </w:r>
      <w:r w:rsidRPr="00141154">
        <w:rPr>
          <w:rFonts w:eastAsia="Arial"/>
          <w:color w:val="000000"/>
          <w:lang w:eastAsia="es-EC"/>
        </w:rPr>
        <w:t>;</w:t>
      </w:r>
    </w:p>
    <w:p w14:paraId="4E79A68C" w14:textId="678DA98E" w:rsidR="00E84B1B" w:rsidRPr="00637DD2" w:rsidRDefault="00E84B1B" w:rsidP="00E84B1B">
      <w:pPr>
        <w:pStyle w:val="ListParagraph"/>
        <w:numPr>
          <w:ilvl w:val="0"/>
          <w:numId w:val="37"/>
        </w:numPr>
        <w:jc w:val="both"/>
        <w:rPr>
          <w:rFonts w:eastAsia="Arial"/>
          <w:color w:val="000000"/>
          <w:lang w:eastAsia="es-EC"/>
        </w:rPr>
      </w:pPr>
      <w:r w:rsidRPr="00A6105E">
        <w:rPr>
          <w:rFonts w:eastAsia="Arial"/>
          <w:color w:val="000000"/>
          <w:lang w:eastAsia="es-EC"/>
        </w:rPr>
        <w:t xml:space="preserve">placed </w:t>
      </w:r>
      <w:r w:rsidR="00141154">
        <w:rPr>
          <w:rFonts w:eastAsia="Arial"/>
          <w:color w:val="000000"/>
          <w:lang w:eastAsia="es-EC"/>
        </w:rPr>
        <w:t>118,900.1</w:t>
      </w:r>
      <w:r w:rsidRPr="00A6105E">
        <w:rPr>
          <w:rFonts w:eastAsia="Arial"/>
          <w:color w:val="000000"/>
          <w:lang w:eastAsia="es-EC"/>
        </w:rPr>
        <w:t xml:space="preserve"> hectares under areas of conservation</w:t>
      </w:r>
      <w:r w:rsidR="00141154">
        <w:rPr>
          <w:rFonts w:eastAsia="Arial"/>
          <w:color w:val="000000"/>
          <w:lang w:eastAsia="es-EC"/>
        </w:rPr>
        <w:t>, reforestation, natural regeneration and agroforestry systems</w:t>
      </w:r>
      <w:r w:rsidRPr="00637DD2">
        <w:rPr>
          <w:rFonts w:eastAsia="Arial"/>
          <w:color w:val="000000"/>
          <w:lang w:eastAsia="es-EC"/>
        </w:rPr>
        <w:t>; and</w:t>
      </w:r>
    </w:p>
    <w:p w14:paraId="2BF73AFA" w14:textId="2E0C2C09" w:rsidR="00E84B1B" w:rsidRPr="00637DD2" w:rsidRDefault="00E84B1B" w:rsidP="00E84B1B">
      <w:pPr>
        <w:pStyle w:val="ListParagraph"/>
        <w:numPr>
          <w:ilvl w:val="0"/>
          <w:numId w:val="37"/>
        </w:numPr>
        <w:jc w:val="both"/>
        <w:rPr>
          <w:rFonts w:eastAsia="Arial"/>
          <w:color w:val="000000"/>
          <w:lang w:eastAsia="es-EC"/>
        </w:rPr>
      </w:pPr>
    </w:p>
    <w:p w14:paraId="469E54CC" w14:textId="5C73E8D4" w:rsidR="00E84B1B" w:rsidRPr="00637DD2" w:rsidRDefault="00E84B1B" w:rsidP="00FA6121">
      <w:pPr>
        <w:pStyle w:val="ListParagraph"/>
        <w:numPr>
          <w:ilvl w:val="0"/>
          <w:numId w:val="37"/>
        </w:numPr>
        <w:rPr>
          <w:rFonts w:eastAsia="Arial"/>
          <w:color w:val="000000"/>
          <w:lang w:eastAsia="es-EC"/>
        </w:rPr>
      </w:pPr>
      <w:r w:rsidRPr="00637DD2">
        <w:rPr>
          <w:rFonts w:eastAsia="Arial"/>
          <w:color w:val="000000"/>
          <w:lang w:eastAsia="es-EC"/>
        </w:rPr>
        <w:t>released $</w:t>
      </w:r>
      <w:r w:rsidR="007C2F31" w:rsidRPr="00637DD2">
        <w:rPr>
          <w:rFonts w:eastAsia="Arial"/>
          <w:color w:val="000000"/>
          <w:lang w:eastAsia="es-EC"/>
        </w:rPr>
        <w:t xml:space="preserve">141142675 </w:t>
      </w:r>
      <w:r w:rsidRPr="00637DD2">
        <w:rPr>
          <w:rFonts w:eastAsia="Arial"/>
          <w:color w:val="000000"/>
          <w:lang w:eastAsia="es-EC"/>
        </w:rPr>
        <w:t xml:space="preserve">in incentive payments to (the parties to the </w:t>
      </w:r>
      <w:r w:rsidR="00C2688C" w:rsidRPr="00637DD2">
        <w:rPr>
          <w:rFonts w:eastAsia="Arial"/>
          <w:iCs/>
          <w:color w:val="000000"/>
          <w:lang w:eastAsia="es-EC"/>
        </w:rPr>
        <w:t>contracts</w:t>
      </w:r>
      <w:r w:rsidRPr="00637DD2">
        <w:rPr>
          <w:rFonts w:eastAsia="Arial"/>
          <w:i/>
          <w:color w:val="000000"/>
          <w:lang w:eastAsia="es-EC"/>
        </w:rPr>
        <w:t xml:space="preserve"> </w:t>
      </w:r>
      <w:r w:rsidRPr="00637DD2">
        <w:rPr>
          <w:rFonts w:eastAsia="Arial"/>
          <w:color w:val="000000"/>
          <w:lang w:eastAsia="es-EC"/>
        </w:rPr>
        <w:t xml:space="preserve">and hence </w:t>
      </w:r>
      <w:r w:rsidRPr="00637DD2">
        <w:rPr>
          <w:rFonts w:eastAsia="Arial"/>
          <w:i/>
          <w:color w:val="000000"/>
          <w:lang w:eastAsia="es-EC"/>
        </w:rPr>
        <w:t>beneficiaries</w:t>
      </w:r>
      <w:r w:rsidRPr="00637DD2">
        <w:rPr>
          <w:rFonts w:eastAsia="Arial"/>
          <w:color w:val="000000"/>
          <w:lang w:eastAsia="es-EC"/>
        </w:rPr>
        <w:t>).</w:t>
      </w:r>
    </w:p>
    <w:p w14:paraId="6F3B42CA" w14:textId="65B7FF0E" w:rsidR="00E84B1B" w:rsidRDefault="00E84B1B" w:rsidP="00E84B1B">
      <w:pPr>
        <w:jc w:val="both"/>
        <w:rPr>
          <w:rFonts w:eastAsia="Arial"/>
          <w:color w:val="000000"/>
          <w:lang w:eastAsia="es-EC"/>
        </w:rPr>
      </w:pPr>
      <w:r w:rsidRPr="00637DD2">
        <w:rPr>
          <w:rFonts w:eastAsia="Arial"/>
          <w:color w:val="000000"/>
          <w:lang w:eastAsia="es-EC"/>
        </w:rPr>
        <w:t>In accordance with applicable policies, laws and regulations, the P</w:t>
      </w:r>
      <w:r w:rsidR="00B6687F" w:rsidRPr="00637DD2">
        <w:rPr>
          <w:rFonts w:eastAsia="Arial"/>
          <w:color w:val="000000"/>
          <w:lang w:eastAsia="es-EC"/>
        </w:rPr>
        <w:t xml:space="preserve">ES Program is subjected to </w:t>
      </w:r>
      <w:r w:rsidRPr="00637DD2">
        <w:rPr>
          <w:rFonts w:eastAsia="Arial"/>
          <w:color w:val="000000"/>
          <w:lang w:eastAsia="es-EC"/>
        </w:rPr>
        <w:t>fiduciary controls, transparency provisions, a monitoring and evaluation framework, and a requirement of regular performance reports from title holders and monitoring</w:t>
      </w:r>
      <w:r w:rsidRPr="007C2F31">
        <w:rPr>
          <w:rFonts w:eastAsia="Arial"/>
          <w:color w:val="000000"/>
          <w:lang w:eastAsia="es-EC"/>
        </w:rPr>
        <w:t xml:space="preserve"> by the</w:t>
      </w:r>
      <w:r w:rsidRPr="007C2F31">
        <w:rPr>
          <w:rFonts w:eastAsia="Arial"/>
          <w:i/>
          <w:color w:val="000000"/>
          <w:lang w:eastAsia="es-EC"/>
        </w:rPr>
        <w:t xml:space="preserve"> partners/beneficiaries </w:t>
      </w:r>
      <w:r w:rsidRPr="007C2F31">
        <w:rPr>
          <w:rFonts w:eastAsia="Arial"/>
          <w:color w:val="000000"/>
          <w:lang w:eastAsia="es-EC"/>
        </w:rPr>
        <w:t>and the government</w:t>
      </w:r>
      <w:r w:rsidR="007C2F31" w:rsidRPr="007C2F31">
        <w:rPr>
          <w:rFonts w:eastAsia="Arial"/>
          <w:color w:val="000000"/>
          <w:lang w:eastAsia="es-EC"/>
        </w:rPr>
        <w:t xml:space="preserve"> through the forestry officers</w:t>
      </w:r>
      <w:r w:rsidR="007C2F31">
        <w:rPr>
          <w:rFonts w:eastAsia="Arial"/>
          <w:color w:val="000000"/>
          <w:lang w:eastAsia="es-EC"/>
        </w:rPr>
        <w:t xml:space="preserve"> and SINAC</w:t>
      </w:r>
      <w:r w:rsidRPr="007C2F31">
        <w:rPr>
          <w:rFonts w:eastAsia="Arial"/>
          <w:color w:val="000000"/>
          <w:lang w:eastAsia="es-EC"/>
        </w:rPr>
        <w:t xml:space="preserve">.  </w:t>
      </w:r>
      <w:r w:rsidR="006511C3">
        <w:t xml:space="preserve">As per Costa Rica’s transparency laws, main statistics, monitoring and audit reports are publicly available in </w:t>
      </w:r>
      <w:hyperlink r:id="rId8" w:history="1">
        <w:r w:rsidR="006511C3" w:rsidRPr="00AF774B">
          <w:rPr>
            <w:rStyle w:val="Hyperlink"/>
          </w:rPr>
          <w:t>FONAFIFO’s website</w:t>
        </w:r>
      </w:hyperlink>
      <w:r w:rsidR="006511C3">
        <w:t>.</w:t>
      </w:r>
      <w:r w:rsidR="006511C3">
        <w:rPr>
          <w:rFonts w:eastAsia="Arial"/>
          <w:color w:val="000000"/>
          <w:lang w:eastAsia="es-EC"/>
        </w:rPr>
        <w:t xml:space="preserve"> </w:t>
      </w:r>
      <w:r w:rsidR="00B6687F" w:rsidRPr="007C2F31">
        <w:rPr>
          <w:rFonts w:eastAsia="Arial"/>
          <w:color w:val="000000"/>
          <w:lang w:eastAsia="es-EC"/>
        </w:rPr>
        <w:t>As requested by Costa Rica’s Comptroller Office for all public offices, FONAFIFO has in</w:t>
      </w:r>
      <w:r w:rsidR="00B6687F">
        <w:rPr>
          <w:rFonts w:eastAsia="Arial"/>
          <w:color w:val="000000"/>
          <w:lang w:eastAsia="es-EC"/>
        </w:rPr>
        <w:t xml:space="preserve"> place a system to </w:t>
      </w:r>
      <w:r w:rsidRPr="00A6105E">
        <w:rPr>
          <w:rFonts w:eastAsia="Arial"/>
          <w:color w:val="000000"/>
          <w:lang w:eastAsia="es-EC"/>
        </w:rPr>
        <w:t>in place to receive, resolve and track grievances</w:t>
      </w:r>
      <w:r w:rsidR="00B6687F">
        <w:rPr>
          <w:rFonts w:eastAsia="Arial"/>
          <w:color w:val="000000"/>
          <w:lang w:eastAsia="es-EC"/>
        </w:rPr>
        <w:t xml:space="preserve"> in operation since 2010</w:t>
      </w:r>
      <w:r w:rsidRPr="00A6105E">
        <w:rPr>
          <w:rFonts w:eastAsia="Arial"/>
          <w:color w:val="000000"/>
          <w:lang w:eastAsia="es-EC"/>
        </w:rPr>
        <w:t>.</w:t>
      </w:r>
      <w:r>
        <w:rPr>
          <w:rFonts w:eastAsia="Arial"/>
          <w:color w:val="000000"/>
          <w:lang w:eastAsia="es-EC"/>
        </w:rPr>
        <w:t xml:space="preserve"> </w:t>
      </w:r>
      <w:r w:rsidR="00B6687F">
        <w:rPr>
          <w:rFonts w:eastAsia="Arial"/>
          <w:color w:val="000000"/>
          <w:lang w:eastAsia="es-EC"/>
        </w:rPr>
        <w:t xml:space="preserve">Between 2014 and 2015, 285 grievances were received and resolved. </w:t>
      </w:r>
      <w:proofErr w:type="gramStart"/>
      <w:r w:rsidR="00B6687F">
        <w:rPr>
          <w:rFonts w:eastAsia="Arial"/>
          <w:color w:val="000000"/>
          <w:lang w:eastAsia="es-EC"/>
        </w:rPr>
        <w:t>The majority of</w:t>
      </w:r>
      <w:proofErr w:type="gramEnd"/>
      <w:r w:rsidR="00B6687F">
        <w:rPr>
          <w:rFonts w:eastAsia="Arial"/>
          <w:color w:val="000000"/>
          <w:lang w:eastAsia="es-EC"/>
        </w:rPr>
        <w:t xml:space="preserve"> the grievances were related to delays in processing the contracts or payments, and around 20% of the grievances were related to the conditions (described as uncomfortable, or not cozy enough) of FONAFIFO’s regional offices. </w:t>
      </w:r>
    </w:p>
    <w:p w14:paraId="398837CE" w14:textId="22D57B8A" w:rsidR="00B6687F" w:rsidRPr="00A6105E" w:rsidRDefault="00B6687F" w:rsidP="00E84B1B">
      <w:pPr>
        <w:jc w:val="both"/>
        <w:rPr>
          <w:rFonts w:eastAsia="Arial"/>
          <w:color w:val="000000"/>
          <w:lang w:eastAsia="es-EC"/>
        </w:rPr>
      </w:pPr>
      <w:r>
        <w:rPr>
          <w:rFonts w:eastAsia="Arial"/>
          <w:color w:val="000000"/>
          <w:lang w:eastAsia="es-EC"/>
        </w:rPr>
        <w:t>In compliance with the institutional transparency regulations, FONAFI</w:t>
      </w:r>
      <w:r w:rsidR="006A517A">
        <w:rPr>
          <w:rFonts w:eastAsia="Arial"/>
          <w:color w:val="000000"/>
          <w:lang w:eastAsia="es-EC"/>
        </w:rPr>
        <w:t>F</w:t>
      </w:r>
      <w:r>
        <w:rPr>
          <w:rFonts w:eastAsia="Arial"/>
          <w:color w:val="000000"/>
          <w:lang w:eastAsia="es-EC"/>
        </w:rPr>
        <w:t>O discloses on its website</w:t>
      </w:r>
      <w:r w:rsidR="00770326">
        <w:rPr>
          <w:rStyle w:val="FootnoteReference"/>
          <w:rFonts w:eastAsia="Arial"/>
          <w:color w:val="000000"/>
          <w:lang w:eastAsia="es-EC"/>
        </w:rPr>
        <w:footnoteReference w:id="8"/>
      </w:r>
      <w:r>
        <w:rPr>
          <w:rFonts w:eastAsia="Arial"/>
          <w:color w:val="000000"/>
          <w:lang w:eastAsia="es-EC"/>
        </w:rPr>
        <w:t xml:space="preserve"> the following information in addition to the information mentioned above: complete inventories</w:t>
      </w:r>
      <w:r w:rsidR="00770326">
        <w:rPr>
          <w:rFonts w:eastAsia="Arial"/>
          <w:color w:val="000000"/>
          <w:lang w:eastAsia="es-EC"/>
        </w:rPr>
        <w:t xml:space="preserve"> of goods and expenses, personnel, organigrams, purchases and contracts, budgets, institutional plans, annual reports, participatory mechanisms, open data systems. </w:t>
      </w:r>
    </w:p>
    <w:p w14:paraId="302F0D00" w14:textId="4E3D23A1" w:rsidR="00693944" w:rsidRPr="00693944" w:rsidRDefault="00770326" w:rsidP="00693944">
      <w:pPr>
        <w:jc w:val="both"/>
        <w:rPr>
          <w:rFonts w:eastAsia="Arial"/>
          <w:color w:val="000000"/>
          <w:lang w:eastAsia="es-EC"/>
        </w:rPr>
      </w:pPr>
      <w:r>
        <w:rPr>
          <w:rFonts w:eastAsia="Arial"/>
          <w:color w:val="000000"/>
          <w:lang w:eastAsia="es-EC"/>
        </w:rPr>
        <w:t>The P</w:t>
      </w:r>
      <w:r w:rsidR="008F3D57">
        <w:rPr>
          <w:rFonts w:eastAsia="Arial"/>
          <w:color w:val="000000"/>
          <w:lang w:eastAsia="es-EC"/>
        </w:rPr>
        <w:t>ES Program</w:t>
      </w:r>
      <w:r>
        <w:rPr>
          <w:rFonts w:eastAsia="Arial"/>
          <w:color w:val="000000"/>
          <w:lang w:eastAsia="es-EC"/>
        </w:rPr>
        <w:t xml:space="preserve"> is subjected to monitoring </w:t>
      </w:r>
      <w:r w:rsidRPr="00693944">
        <w:rPr>
          <w:rFonts w:eastAsia="Arial"/>
          <w:color w:val="000000"/>
          <w:lang w:eastAsia="es-EC"/>
        </w:rPr>
        <w:t xml:space="preserve">through </w:t>
      </w:r>
      <w:r w:rsidR="007C2F31" w:rsidRPr="00693944">
        <w:rPr>
          <w:rFonts w:eastAsia="Arial"/>
          <w:color w:val="000000"/>
          <w:lang w:eastAsia="es-EC"/>
        </w:rPr>
        <w:t>a sample-based monitoring system</w:t>
      </w:r>
      <w:r w:rsidR="007C2F31">
        <w:rPr>
          <w:rFonts w:eastAsia="Arial"/>
          <w:color w:val="000000"/>
          <w:lang w:eastAsia="es-EC"/>
        </w:rPr>
        <w:t xml:space="preserve"> </w:t>
      </w:r>
      <w:r w:rsidR="00693944">
        <w:rPr>
          <w:rFonts w:eastAsia="Arial"/>
          <w:color w:val="000000"/>
          <w:lang w:eastAsia="es-EC"/>
        </w:rPr>
        <w:t xml:space="preserve">to the </w:t>
      </w:r>
      <w:proofErr w:type="spellStart"/>
      <w:r w:rsidR="007C2F31" w:rsidRPr="00693944">
        <w:rPr>
          <w:rFonts w:eastAsia="Arial"/>
          <w:i/>
          <w:iCs/>
          <w:color w:val="000000"/>
          <w:lang w:eastAsia="es-EC"/>
        </w:rPr>
        <w:t>fincas</w:t>
      </w:r>
      <w:proofErr w:type="spellEnd"/>
      <w:r w:rsidR="007C2F31" w:rsidRPr="00693944">
        <w:rPr>
          <w:rFonts w:eastAsia="Arial"/>
          <w:color w:val="000000"/>
          <w:lang w:eastAsia="es-EC"/>
        </w:rPr>
        <w:t xml:space="preserve"> </w:t>
      </w:r>
      <w:r w:rsidR="007C2F31">
        <w:rPr>
          <w:rFonts w:eastAsia="Arial"/>
          <w:color w:val="000000"/>
          <w:lang w:eastAsia="es-EC"/>
        </w:rPr>
        <w:t>with PES contracts</w:t>
      </w:r>
      <w:r w:rsidR="00693944">
        <w:rPr>
          <w:rFonts w:eastAsia="Arial"/>
          <w:color w:val="000000"/>
          <w:lang w:eastAsia="es-EC"/>
        </w:rPr>
        <w:t xml:space="preserve">. </w:t>
      </w:r>
      <w:r w:rsidR="00693944" w:rsidRPr="00693944">
        <w:rPr>
          <w:rFonts w:eastAsia="Arial"/>
          <w:color w:val="000000"/>
          <w:lang w:eastAsia="es-EC"/>
        </w:rPr>
        <w:t xml:space="preserve">The sampling </w:t>
      </w:r>
      <w:r w:rsidR="00693944">
        <w:rPr>
          <w:rFonts w:eastAsia="Arial"/>
          <w:color w:val="000000"/>
          <w:lang w:eastAsia="es-EC"/>
        </w:rPr>
        <w:t xml:space="preserve">is </w:t>
      </w:r>
      <w:r w:rsidR="00693944" w:rsidRPr="00693944">
        <w:rPr>
          <w:rFonts w:eastAsia="Arial"/>
          <w:color w:val="000000"/>
          <w:lang w:eastAsia="es-EC"/>
        </w:rPr>
        <w:t>performed by FONAFIFO</w:t>
      </w:r>
      <w:r w:rsidR="00693944">
        <w:rPr>
          <w:rFonts w:eastAsia="Arial"/>
          <w:color w:val="000000"/>
          <w:lang w:eastAsia="es-EC"/>
        </w:rPr>
        <w:t>’s</w:t>
      </w:r>
      <w:r w:rsidR="00693944" w:rsidRPr="00693944">
        <w:rPr>
          <w:rFonts w:eastAsia="Arial"/>
          <w:color w:val="000000"/>
          <w:lang w:eastAsia="es-EC"/>
        </w:rPr>
        <w:t xml:space="preserve"> control and monitoring department</w:t>
      </w:r>
      <w:r w:rsidR="00693944">
        <w:rPr>
          <w:rFonts w:eastAsia="Arial"/>
          <w:color w:val="000000"/>
          <w:lang w:eastAsia="es-EC"/>
        </w:rPr>
        <w:t>,</w:t>
      </w:r>
      <w:r w:rsidR="00693944" w:rsidRPr="00693944">
        <w:rPr>
          <w:rFonts w:eastAsia="Arial"/>
          <w:color w:val="000000"/>
          <w:lang w:eastAsia="es-EC"/>
        </w:rPr>
        <w:t xml:space="preserve"> based on the random selection of 10% of the total active contracts under P</w:t>
      </w:r>
      <w:r w:rsidR="00693944">
        <w:rPr>
          <w:rFonts w:eastAsia="Arial"/>
          <w:color w:val="000000"/>
          <w:lang w:eastAsia="es-EC"/>
        </w:rPr>
        <w:t>ES</w:t>
      </w:r>
      <w:r w:rsidR="00693944" w:rsidRPr="00693944">
        <w:rPr>
          <w:rFonts w:eastAsia="Arial"/>
          <w:color w:val="000000"/>
          <w:lang w:eastAsia="es-EC"/>
        </w:rPr>
        <w:t>, whose weight criterion is determined according to the number of contracts in force by regional office and sub activities present in these territories, guarantee</w:t>
      </w:r>
      <w:r w:rsidR="00693944">
        <w:rPr>
          <w:rFonts w:eastAsia="Arial"/>
          <w:color w:val="000000"/>
          <w:lang w:eastAsia="es-EC"/>
        </w:rPr>
        <w:t>ing</w:t>
      </w:r>
      <w:r w:rsidR="00693944" w:rsidRPr="00693944">
        <w:rPr>
          <w:rFonts w:eastAsia="Arial"/>
          <w:color w:val="000000"/>
          <w:lang w:eastAsia="es-EC"/>
        </w:rPr>
        <w:t xml:space="preserve"> that all territories and all activities are represented within the choice.</w:t>
      </w:r>
      <w:r w:rsidR="00693944">
        <w:rPr>
          <w:rFonts w:eastAsia="Arial"/>
          <w:color w:val="000000"/>
          <w:lang w:eastAsia="es-EC"/>
        </w:rPr>
        <w:t xml:space="preserve"> </w:t>
      </w:r>
      <w:r w:rsidR="00693944" w:rsidRPr="00693944">
        <w:rPr>
          <w:rFonts w:eastAsia="Arial"/>
          <w:color w:val="000000"/>
          <w:lang w:eastAsia="es-EC"/>
        </w:rPr>
        <w:t>Likewise, this random choice is the starting point, since due to practical purposes of maximizing logistic and human resources, the neighboring farms to those selected by the sample, are also contemplated within the role of visits.</w:t>
      </w:r>
    </w:p>
    <w:p w14:paraId="5AEA9FEC" w14:textId="433A5B99" w:rsidR="00660ADC" w:rsidRDefault="00660ADC" w:rsidP="00E84B1B">
      <w:pPr>
        <w:jc w:val="both"/>
        <w:rPr>
          <w:rFonts w:eastAsia="Arial"/>
          <w:color w:val="000000"/>
          <w:lang w:eastAsia="es-EC"/>
        </w:rPr>
      </w:pPr>
      <w:r>
        <w:rPr>
          <w:rFonts w:eastAsia="Arial"/>
          <w:color w:val="000000"/>
          <w:lang w:eastAsia="es-EC"/>
        </w:rPr>
        <w:t>FONAFIFO is subjected to both internal</w:t>
      </w:r>
      <w:r>
        <w:rPr>
          <w:rStyle w:val="FootnoteReference"/>
          <w:rFonts w:eastAsia="Arial"/>
          <w:color w:val="000000"/>
          <w:lang w:eastAsia="es-EC"/>
        </w:rPr>
        <w:footnoteReference w:id="9"/>
      </w:r>
      <w:r>
        <w:rPr>
          <w:rFonts w:eastAsia="Arial"/>
          <w:color w:val="000000"/>
          <w:lang w:eastAsia="es-EC"/>
        </w:rPr>
        <w:t xml:space="preserve"> and external</w:t>
      </w:r>
      <w:r>
        <w:rPr>
          <w:rStyle w:val="FootnoteReference"/>
          <w:rFonts w:eastAsia="Arial"/>
          <w:color w:val="000000"/>
          <w:lang w:eastAsia="es-EC"/>
        </w:rPr>
        <w:footnoteReference w:id="10"/>
      </w:r>
      <w:r>
        <w:rPr>
          <w:rFonts w:eastAsia="Arial"/>
          <w:color w:val="000000"/>
          <w:lang w:eastAsia="es-EC"/>
        </w:rPr>
        <w:t xml:space="preserve"> audits, which are publicly disclose in FONAFIFO’s website, in accordance to Costa Rica’s Transparency Laws.</w:t>
      </w:r>
    </w:p>
    <w:p w14:paraId="346BEDA4" w14:textId="77777777" w:rsidR="00E84B1B" w:rsidRPr="007940F6" w:rsidRDefault="00E84B1B" w:rsidP="00E84B1B">
      <w:pPr>
        <w:pStyle w:val="Heading2"/>
        <w:jc w:val="both"/>
        <w:rPr>
          <w:color w:val="auto"/>
        </w:rPr>
      </w:pPr>
      <w:r>
        <w:t>Financing</w:t>
      </w:r>
    </w:p>
    <w:p w14:paraId="408FDB2D" w14:textId="71A51054" w:rsidR="00785C0D" w:rsidRPr="00AF774B" w:rsidRDefault="00785C0D" w:rsidP="00785C0D">
      <w:pPr>
        <w:spacing w:before="0" w:after="0" w:line="240" w:lineRule="auto"/>
        <w:rPr>
          <w:rFonts w:ascii="Times New Roman" w:eastAsia="Times New Roman" w:hAnsi="Times New Roman" w:cs="Times New Roman"/>
          <w:sz w:val="24"/>
          <w:szCs w:val="24"/>
        </w:rPr>
      </w:pPr>
      <w:r w:rsidRPr="00AF774B">
        <w:t xml:space="preserve">Principal sources of funding for the program include a </w:t>
      </w:r>
      <w:r>
        <w:t xml:space="preserve">3,5% </w:t>
      </w:r>
      <w:r w:rsidRPr="00AF774B">
        <w:t>tax on fuel sales</w:t>
      </w:r>
      <w:r>
        <w:t xml:space="preserve"> (in place since 1998)</w:t>
      </w:r>
      <w:r w:rsidRPr="00AF774B">
        <w:t>, payments to FONAFIFO from private sector firms (renewable energy producers, and water blotters) for the conservation of critical</w:t>
      </w:r>
      <w:r w:rsidRPr="00AF774B">
        <w:rPr>
          <w:rFonts w:ascii="Times New Roman" w:eastAsia="Times New Roman" w:hAnsi="Times New Roman" w:cs="Times New Roman"/>
          <w:sz w:val="28"/>
          <w:szCs w:val="28"/>
        </w:rPr>
        <w:t xml:space="preserve"> </w:t>
      </w:r>
      <w:r w:rsidRPr="00AF774B">
        <w:t>watersheds, and through the sale of Certified Tradable Offsets (CTOs) derived from forest ecosystems. The</w:t>
      </w:r>
      <w:r w:rsidRPr="00AF774B">
        <w:rPr>
          <w:rFonts w:ascii="Times New Roman" w:eastAsia="Times New Roman" w:hAnsi="Times New Roman" w:cs="Times New Roman"/>
          <w:sz w:val="28"/>
          <w:szCs w:val="28"/>
        </w:rPr>
        <w:t xml:space="preserve"> </w:t>
      </w:r>
      <w:r w:rsidRPr="00AF774B">
        <w:t>Global Environmental Facility</w:t>
      </w:r>
      <w:r>
        <w:t xml:space="preserve">, and the World Bank through the project </w:t>
      </w:r>
      <w:proofErr w:type="spellStart"/>
      <w:r w:rsidRPr="00785C0D">
        <w:rPr>
          <w:i/>
          <w:iCs/>
        </w:rPr>
        <w:t>Ecomercados</w:t>
      </w:r>
      <w:proofErr w:type="spellEnd"/>
      <w:r>
        <w:rPr>
          <w:i/>
          <w:iCs/>
        </w:rPr>
        <w:t xml:space="preserve"> </w:t>
      </w:r>
      <w:r>
        <w:t>have also contributed to the program</w:t>
      </w:r>
      <w:r w:rsidRPr="00AF774B">
        <w:t xml:space="preserve">. </w:t>
      </w:r>
    </w:p>
    <w:p w14:paraId="2FD8C5B3" w14:textId="73C3F5D8" w:rsidR="00E84B1B" w:rsidRPr="002B0FC0" w:rsidRDefault="00E84B1B" w:rsidP="00E84B1B">
      <w:pPr>
        <w:jc w:val="both"/>
      </w:pPr>
      <w:r>
        <w:lastRenderedPageBreak/>
        <w:t xml:space="preserve">As shown by the attached PLR analysis and Project Alignment Review, the foundational instruments for </w:t>
      </w:r>
      <w:r w:rsidR="00785C0D">
        <w:t>FONAFIFO’s PES Program</w:t>
      </w:r>
      <w:r>
        <w:t xml:space="preserve"> provide the basis for an approach and implementation consistent with the social and environmental safeguards of the UNDP SES.  </w:t>
      </w:r>
      <w:r w:rsidRPr="00EF1A00">
        <w:t>Th</w:t>
      </w:r>
      <w:r>
        <w:t xml:space="preserve">e </w:t>
      </w:r>
      <w:r w:rsidR="00785C0D">
        <w:t xml:space="preserve">PSA Program’s </w:t>
      </w:r>
      <w:r>
        <w:t>approach</w:t>
      </w:r>
      <w:r w:rsidRPr="00EF1A00">
        <w:t xml:space="preserve"> </w:t>
      </w:r>
      <w:r>
        <w:t>and implementation is further strengthened by numerous engagements with Government and non-Government stakeholders</w:t>
      </w:r>
      <w:r w:rsidR="0094124C">
        <w:t xml:space="preserve"> and right-holders</w:t>
      </w:r>
      <w:r w:rsidR="00E8508B">
        <w:t xml:space="preserve">, which </w:t>
      </w:r>
      <w:r w:rsidRPr="00E92092">
        <w:t xml:space="preserve">included representatives of indigenous </w:t>
      </w:r>
      <w:r w:rsidR="00785C0D" w:rsidRPr="00E92092">
        <w:t xml:space="preserve">peoples, </w:t>
      </w:r>
      <w:r w:rsidRPr="00E92092">
        <w:t>small</w:t>
      </w:r>
      <w:r w:rsidR="00785C0D" w:rsidRPr="00E92092">
        <w:t xml:space="preserve"> and medium holders</w:t>
      </w:r>
      <w:r w:rsidRPr="00E92092">
        <w:t>,</w:t>
      </w:r>
      <w:r w:rsidR="00E92092" w:rsidRPr="00E92092">
        <w:t xml:space="preserve"> and</w:t>
      </w:r>
      <w:r w:rsidRPr="00E92092">
        <w:t xml:space="preserve"> the private sector</w:t>
      </w:r>
      <w:r w:rsidR="00785C0D" w:rsidRPr="00E92092">
        <w:t>,</w:t>
      </w:r>
      <w:r w:rsidRPr="00E92092">
        <w:t xml:space="preserve"> </w:t>
      </w:r>
      <w:r w:rsidR="00785C0D" w:rsidRPr="00E92092">
        <w:t>all of them represented at FONAFIFO’s board of directors.</w:t>
      </w:r>
      <w:r w:rsidR="00785C0D">
        <w:t xml:space="preserve"> </w:t>
      </w:r>
      <w:r>
        <w:t xml:space="preserve">  </w:t>
      </w:r>
      <w:r w:rsidRPr="00EF1A00">
        <w:t xml:space="preserve"> </w:t>
      </w:r>
    </w:p>
    <w:p w14:paraId="2A252F7B" w14:textId="77777777" w:rsidR="00E84B1B" w:rsidRPr="003F0C94" w:rsidRDefault="00E84B1B" w:rsidP="00E84B1B">
      <w:pPr>
        <w:pStyle w:val="Heading2"/>
        <w:jc w:val="both"/>
      </w:pPr>
      <w:r w:rsidRPr="003F0C94">
        <w:t>UNDP SES</w:t>
      </w:r>
    </w:p>
    <w:p w14:paraId="6F9B5826" w14:textId="77777777" w:rsidR="00E84B1B" w:rsidRDefault="00E84B1B" w:rsidP="00E84B1B">
      <w:pPr>
        <w:jc w:val="both"/>
        <w:rPr>
          <w:bCs/>
        </w:rPr>
      </w:pPr>
      <w:r>
        <w:t>UNDP’s Social and Environmental Standards (</w:t>
      </w:r>
      <w:r w:rsidRPr="006F37C6">
        <w:rPr>
          <w:b/>
        </w:rPr>
        <w:t>SES</w:t>
      </w:r>
      <w:r>
        <w:t xml:space="preserve">) </w:t>
      </w:r>
      <w:r w:rsidRPr="00534DCB">
        <w:rPr>
          <w:bCs/>
        </w:rPr>
        <w:t xml:space="preserve"> objectives are to: (</w:t>
      </w:r>
      <w:proofErr w:type="spellStart"/>
      <w:r w:rsidRPr="00534DCB">
        <w:rPr>
          <w:bCs/>
        </w:rPr>
        <w:t>i</w:t>
      </w:r>
      <w:proofErr w:type="spellEnd"/>
      <w:r w:rsidRPr="00534DCB">
        <w:rPr>
          <w:bCs/>
        </w:rPr>
        <w:t xml:space="preserve">) strengthen the social and environmental outcomes of </w:t>
      </w:r>
      <w:proofErr w:type="spellStart"/>
      <w:r w:rsidRPr="00534DCB">
        <w:rPr>
          <w:bCs/>
        </w:rPr>
        <w:t>Programmes</w:t>
      </w:r>
      <w:proofErr w:type="spellEnd"/>
      <w:r w:rsidRPr="00534DCB">
        <w:rPr>
          <w:bCs/>
        </w:rPr>
        <w:t xml:space="preserve"> and Projects; (ii) avoid adverse impacts to people and the environment; (iii) minimize, mitigate, and manage adverse impacts where avoidance is not possible; (iv) strengthen UNDP and partner capacities for managing social and environmental risks; and (v) ensure full and effective stakeholder engagement, including through a mechanism to respond to complaints from project-affected people.</w:t>
      </w:r>
    </w:p>
    <w:p w14:paraId="35919B2C" w14:textId="77777777" w:rsidR="00E84B1B" w:rsidRPr="008C3109" w:rsidRDefault="00E84B1B" w:rsidP="00E84B1B">
      <w:pPr>
        <w:jc w:val="both"/>
        <w:rPr>
          <w:bCs/>
        </w:rPr>
      </w:pPr>
      <w:r>
        <w:rPr>
          <w:bCs/>
        </w:rPr>
        <w:t>The SES include three overarching principles (</w:t>
      </w:r>
      <w:r w:rsidRPr="00D938C1">
        <w:t>human rights, gender equality and environmental sustainability</w:t>
      </w:r>
      <w:r>
        <w:t>) and seven project-level s</w:t>
      </w:r>
      <w:r w:rsidRPr="008C3109">
        <w:t xml:space="preserve">tandards </w:t>
      </w:r>
      <w:r>
        <w:t>that specify</w:t>
      </w:r>
      <w:r w:rsidRPr="008C3109">
        <w:t xml:space="preserve"> key requirements for projects that may present potentially significant adverse imp</w:t>
      </w:r>
      <w:r>
        <w:t>acts across various issue areas:</w:t>
      </w:r>
      <w:r w:rsidRPr="008C3109">
        <w:t xml:space="preserve"> Biodiversity Conservation and Sustainable Natural Resource Management, Climate Change Mitigation and Adaptation, Community Health, Safety and Working Conditions, Cultural Heritage, Displacement and Resettlement, Indigenous Peoples, </w:t>
      </w:r>
      <w:r>
        <w:t xml:space="preserve">and </w:t>
      </w:r>
      <w:r w:rsidRPr="008C3109">
        <w:t>Pollution Prevention and Resource Efficiency.</w:t>
      </w:r>
      <w:r>
        <w:rPr>
          <w:rStyle w:val="FootnoteReference"/>
        </w:rPr>
        <w:footnoteReference w:id="11"/>
      </w:r>
      <w:r w:rsidRPr="008C3109">
        <w:t xml:space="preserve"> </w:t>
      </w:r>
    </w:p>
    <w:p w14:paraId="2DFABA15" w14:textId="77777777" w:rsidR="00E84B1B" w:rsidRDefault="00E84B1B" w:rsidP="00E84B1B">
      <w:pPr>
        <w:jc w:val="both"/>
      </w:pPr>
      <w:r>
        <w:t>Application of the SES principles and standards is supported by a set of procedural requirements that comprise the SES Policy Delivery Process, namely screening, assessment, and management of risks; stakeholder engagement and response; access to information; and monitoring, reporting and compliance.</w:t>
      </w:r>
    </w:p>
    <w:p w14:paraId="06C17BF8" w14:textId="77777777" w:rsidR="00E84B1B" w:rsidRDefault="00E84B1B" w:rsidP="00E84B1B">
      <w:pPr>
        <w:pStyle w:val="Heading2"/>
        <w:jc w:val="both"/>
      </w:pPr>
      <w:r>
        <w:t>Comparison with key objectives of UNDP SES</w:t>
      </w:r>
    </w:p>
    <w:p w14:paraId="2675B291" w14:textId="77777777" w:rsidR="006A517A" w:rsidRDefault="00E84B1B" w:rsidP="00F53241">
      <w:pPr>
        <w:ind w:left="360"/>
        <w:jc w:val="both"/>
      </w:pPr>
      <w:r>
        <w:t xml:space="preserve">A summary description of </w:t>
      </w:r>
      <w:r w:rsidR="00785C0D">
        <w:t>PES Program</w:t>
      </w:r>
      <w:r>
        <w:t xml:space="preserve"> (in the context of </w:t>
      </w:r>
      <w:r w:rsidR="00785C0D">
        <w:t xml:space="preserve">Costa Rica’s </w:t>
      </w:r>
      <w:r>
        <w:t xml:space="preserve">National REDD+ </w:t>
      </w:r>
      <w:r w:rsidR="00785C0D">
        <w:t>Strat</w:t>
      </w:r>
      <w:r w:rsidR="008F3D57">
        <w:t>e</w:t>
      </w:r>
      <w:r w:rsidR="00785C0D">
        <w:t>gy</w:t>
      </w:r>
      <w:r>
        <w:t xml:space="preserve">) has been provided below, and a PLR analysis conducted, to determine the extent of consistency with the objectives and requirements of the UNDP SES.  Additionally, the </w:t>
      </w:r>
      <w:r w:rsidR="00785C0D">
        <w:t xml:space="preserve">PES Program </w:t>
      </w:r>
      <w:r>
        <w:t xml:space="preserve">has been compared with the key objectives of the UNDP SES, through a targeted project environmental and social compliance review, which also seeks to identify potential consistency with the UNDP SES and areas needing improvement. </w:t>
      </w:r>
      <w:r w:rsidR="00CD6C34">
        <w:t xml:space="preserve">FONAFIFO received, tracked and addressed grievances arising from the PES Program since 2011.  In the context of preparing the National REDD+ AP a GRM mechanism that can apply to all REDD+ policies and measures going forward. </w:t>
      </w:r>
    </w:p>
    <w:p w14:paraId="75525FA0" w14:textId="3FBB61EB" w:rsidR="008F3D57" w:rsidRPr="008F3D57" w:rsidRDefault="00E84B1B" w:rsidP="00F53241">
      <w:pPr>
        <w:ind w:left="360"/>
        <w:jc w:val="both"/>
      </w:pPr>
      <w:r>
        <w:t>Where opportunities for strengthening have been identified, the ESA also sought to identify where other relevant applicable standards and/or regulations may apply.  For example,</w:t>
      </w:r>
      <w:r w:rsidR="00CD6C34">
        <w:t xml:space="preserve"> </w:t>
      </w:r>
      <w:r w:rsidR="00F53241">
        <w:t>noting that a</w:t>
      </w:r>
      <w:r w:rsidR="008F3D57" w:rsidRPr="008F3D57">
        <w:t>ccess to the traditional PES scheme in Costa Rica is granted based on land-tenure rights</w:t>
      </w:r>
      <w:r w:rsidR="00F53241">
        <w:t>, and that</w:t>
      </w:r>
      <w:r w:rsidR="008F3D57" w:rsidRPr="008F3D57">
        <w:t xml:space="preserve"> 84.3% of land is owned by men, 15% of farms are owned by women, and most of them are small farmers (under 10ha), where only 8% receives technical assistance and training, </w:t>
      </w:r>
      <w:r w:rsidR="00F53241">
        <w:t xml:space="preserve">it was recognized that </w:t>
      </w:r>
      <w:r w:rsidR="008F3D57" w:rsidRPr="008F3D57">
        <w:t xml:space="preserve">the PES </w:t>
      </w:r>
      <w:r w:rsidR="00F53241">
        <w:t xml:space="preserve">could </w:t>
      </w:r>
      <w:r w:rsidR="008F3D57" w:rsidRPr="008F3D57">
        <w:t>reproduc</w:t>
      </w:r>
      <w:r w:rsidR="00F53241">
        <w:t>e</w:t>
      </w:r>
      <w:r w:rsidR="008F3D57" w:rsidRPr="008F3D57">
        <w:t xml:space="preserve"> existing discrimination against women, especially regarding participation in design and implementation or access to opportunities and benefits of the project. Similarly, </w:t>
      </w:r>
      <w:r w:rsidR="006A517A">
        <w:t xml:space="preserve">the </w:t>
      </w:r>
      <w:r w:rsidR="008F3D57" w:rsidRPr="008F3D57">
        <w:t>PES</w:t>
      </w:r>
      <w:r w:rsidR="006A517A">
        <w:t xml:space="preserve"> Program</w:t>
      </w:r>
      <w:r w:rsidR="008F3D57" w:rsidRPr="008F3D57">
        <w:t xml:space="preserve"> in indigenous territories, generated risks of unequal distribution of benefits, negatively affecting women.</w:t>
      </w:r>
      <w:r w:rsidR="00F53241">
        <w:t xml:space="preserve"> In response</w:t>
      </w:r>
      <w:r w:rsidR="008F3D57" w:rsidRPr="008F3D57">
        <w:t xml:space="preserve">, the PES program since 2010 included an objective to increase women beneficiaries of the program. </w:t>
      </w:r>
      <w:r w:rsidR="00C21D47">
        <w:t>As a result, d</w:t>
      </w:r>
      <w:r w:rsidR="008F3D57" w:rsidRPr="008F3D57">
        <w:t>uring 2014 women participation increased by 49% compared to 1997.</w:t>
      </w:r>
      <w:r w:rsidR="00F53241">
        <w:t xml:space="preserve"> The PES agroforestry modality is the one more conducive to enhance woman participation, one of the recommendations of the ESA is to prioritize the expansion to this modality with REDD+ RBP funds.</w:t>
      </w:r>
    </w:p>
    <w:p w14:paraId="4BCCA579" w14:textId="742B6A4B" w:rsidR="00E84B1B" w:rsidRDefault="00E84B1B" w:rsidP="00E84B1B">
      <w:pPr>
        <w:jc w:val="both"/>
      </w:pPr>
    </w:p>
    <w:p w14:paraId="04F4E8C1" w14:textId="4F5C95AD" w:rsidR="00E84B1B" w:rsidRDefault="00E84B1B" w:rsidP="00E84B1B">
      <w:r w:rsidRPr="00D449BD">
        <w:lastRenderedPageBreak/>
        <w:t>UNDP SES’ specific screening questions related to key thematic areas (as applied through attachment 1 of its Social and Environmental Screening Procedures (</w:t>
      </w:r>
      <w:r w:rsidRPr="00D449BD">
        <w:rPr>
          <w:b/>
        </w:rPr>
        <w:t>SESP</w:t>
      </w:r>
      <w:r w:rsidRPr="00D449BD">
        <w:t>)</w:t>
      </w:r>
      <w:r w:rsidRPr="00D449BD">
        <w:rPr>
          <w:rStyle w:val="FootnoteReference"/>
        </w:rPr>
        <w:footnoteReference w:id="12"/>
      </w:r>
      <w:r w:rsidRPr="00D449BD">
        <w:t xml:space="preserve">) are intended to assess the risks and benefits of a project’.  The questions, however, do not </w:t>
      </w:r>
      <w:r w:rsidRPr="00D449BD">
        <w:rPr>
          <w:i/>
        </w:rPr>
        <w:t>expressly</w:t>
      </w:r>
      <w:r w:rsidRPr="00D449BD">
        <w:t xml:space="preserve"> prompt an assessment of the relevant aspects of a country’s legal and policy framework </w:t>
      </w:r>
      <w:r>
        <w:t xml:space="preserve">(PLRs) </w:t>
      </w:r>
      <w:r w:rsidRPr="00D449BD">
        <w:t xml:space="preserve">and its capacity to fulfil SES principles and requirements.  This </w:t>
      </w:r>
      <w:r w:rsidR="00CD6C34" w:rsidRPr="00D449BD">
        <w:t>assessment,</w:t>
      </w:r>
      <w:r w:rsidRPr="00D449BD">
        <w:t xml:space="preserve"> however, is necessary to provide the full context within which to answer the SESP screening questions.  </w:t>
      </w:r>
    </w:p>
    <w:p w14:paraId="4291E6C4" w14:textId="5AAEC9F1" w:rsidR="00E84B1B" w:rsidRDefault="00E84B1B" w:rsidP="00E84B1B">
      <w:r w:rsidRPr="00D449BD">
        <w:t>Considering this, a</w:t>
      </w:r>
      <w:r>
        <w:t>nd as described in section 4 below, a</w:t>
      </w:r>
      <w:r w:rsidRPr="00D449BD">
        <w:t xml:space="preserve"> set of legal matrices were created to better assess </w:t>
      </w:r>
      <w:r w:rsidR="00CD6C34">
        <w:t>Costa Rica</w:t>
      </w:r>
      <w:r w:rsidRPr="00D449BD">
        <w:t xml:space="preserve">’s legal framework </w:t>
      </w:r>
      <w:r>
        <w:t xml:space="preserve">to determine if its PLRs are </w:t>
      </w:r>
      <w:r w:rsidRPr="00D449BD">
        <w:t>aligned with the principles of the UNDP SES and its respect for Applicable Law.</w:t>
      </w:r>
      <w:r w:rsidRPr="00D449BD">
        <w:rPr>
          <w:rStyle w:val="FootnoteReference"/>
        </w:rPr>
        <w:footnoteReference w:id="13"/>
      </w:r>
      <w:r>
        <w:t xml:space="preserve">  This collective PLR Matrix is found at </w:t>
      </w:r>
      <w:r w:rsidRPr="00FD2D62">
        <w:rPr>
          <w:b/>
          <w:u w:val="single"/>
        </w:rPr>
        <w:t>Annex A</w:t>
      </w:r>
      <w:r>
        <w:t>.</w:t>
      </w:r>
    </w:p>
    <w:p w14:paraId="724EBEF2" w14:textId="77777777" w:rsidR="00E84B1B" w:rsidRPr="00D449BD" w:rsidRDefault="00E84B1B" w:rsidP="00E84B1B">
      <w:r>
        <w:t>As noted above, where areas of improvement have been identified, the ESA also sought to identify whether other relevant applicable standards and/or regulations may apply.  This ESA focuses on PLRs and</w:t>
      </w:r>
      <w:r w:rsidRPr="007545B2">
        <w:t xml:space="preserve"> </w:t>
      </w:r>
      <w:r>
        <w:t>uses the reporting already available regarding assessing practice, to reflect the</w:t>
      </w:r>
      <w:r w:rsidRPr="007545B2">
        <w:t xml:space="preserve"> UNFCCC </w:t>
      </w:r>
      <w:r>
        <w:t xml:space="preserve">approach to </w:t>
      </w:r>
      <w:r w:rsidRPr="007545B2">
        <w:t>“</w:t>
      </w:r>
      <w:r>
        <w:t>address and respect” safeguards</w:t>
      </w:r>
      <w:r w:rsidRPr="007545B2">
        <w:t xml:space="preserve">. </w:t>
      </w:r>
      <w:r>
        <w:t xml:space="preserve"> The ESA therefore attempts to cover both</w:t>
      </w:r>
      <w:r w:rsidRPr="007545B2">
        <w:t xml:space="preserve"> </w:t>
      </w:r>
      <w:r>
        <w:t>alignment</w:t>
      </w:r>
      <w:r w:rsidRPr="007545B2">
        <w:t xml:space="preserve"> </w:t>
      </w:r>
      <w:proofErr w:type="gramStart"/>
      <w:r>
        <w:t>in regard to</w:t>
      </w:r>
      <w:proofErr w:type="gramEnd"/>
      <w:r>
        <w:t xml:space="preserve"> PLRs, while also highlighting relevant </w:t>
      </w:r>
      <w:r w:rsidRPr="007545B2">
        <w:t xml:space="preserve">institutional arrangements, </w:t>
      </w:r>
      <w:r>
        <w:t>and stakeholder involvement</w:t>
      </w:r>
      <w:r w:rsidRPr="007545B2">
        <w:t>.</w:t>
      </w:r>
    </w:p>
    <w:p w14:paraId="520050A2" w14:textId="77777777" w:rsidR="00E84B1B" w:rsidRDefault="00E84B1B" w:rsidP="00E84B1B">
      <w:pPr>
        <w:pStyle w:val="Heading1"/>
      </w:pPr>
      <w:r>
        <w:t>Policy, Law and Regulation Alignment Review</w:t>
      </w:r>
    </w:p>
    <w:p w14:paraId="71224777" w14:textId="2650AB63" w:rsidR="00E84B1B" w:rsidRPr="00D449BD" w:rsidRDefault="00E84B1B" w:rsidP="00E84B1B">
      <w:pPr>
        <w:jc w:val="both"/>
      </w:pPr>
      <w:r w:rsidRPr="00D449BD">
        <w:t xml:space="preserve">Attached at </w:t>
      </w:r>
      <w:r w:rsidRPr="00D449BD">
        <w:rPr>
          <w:b/>
          <w:u w:val="single"/>
        </w:rPr>
        <w:t>Annex A</w:t>
      </w:r>
      <w:r w:rsidRPr="00D449BD">
        <w:t xml:space="preserve"> is the “</w:t>
      </w:r>
      <w:r w:rsidRPr="00FD2D62">
        <w:t xml:space="preserve">Matrix for </w:t>
      </w:r>
      <w:r w:rsidR="00CD6C34">
        <w:t>FONAFIFO’s Payment for Environmental Services Program</w:t>
      </w:r>
      <w:r w:rsidRPr="00FD2D62">
        <w:t>: Policy, Law and Regulations Analysis alignment with UNDP SES Standards and Cancún Safeguards”</w:t>
      </w:r>
      <w:r>
        <w:t xml:space="preserve"> (</w:t>
      </w:r>
      <w:r w:rsidRPr="00FD2D62">
        <w:rPr>
          <w:b/>
        </w:rPr>
        <w:t>PLR Analysis</w:t>
      </w:r>
      <w:r>
        <w:t>).</w:t>
      </w:r>
      <w:r w:rsidRPr="00D449BD">
        <w:t xml:space="preserve">  </w:t>
      </w:r>
    </w:p>
    <w:p w14:paraId="4B1CA0A8" w14:textId="30794563" w:rsidR="00E84B1B" w:rsidRPr="00825B2D" w:rsidRDefault="00E84B1B" w:rsidP="00E84B1B">
      <w:pPr>
        <w:jc w:val="both"/>
        <w:rPr>
          <w:b/>
        </w:rPr>
      </w:pPr>
      <w:r w:rsidRPr="00825B2D">
        <w:rPr>
          <w:b/>
        </w:rPr>
        <w:t xml:space="preserve">The </w:t>
      </w:r>
      <w:r>
        <w:rPr>
          <w:b/>
        </w:rPr>
        <w:t xml:space="preserve">PLR </w:t>
      </w:r>
      <w:r w:rsidRPr="00825B2D">
        <w:rPr>
          <w:b/>
        </w:rPr>
        <w:t>review has determined that during the year</w:t>
      </w:r>
      <w:r w:rsidR="00CD6C34">
        <w:rPr>
          <w:b/>
        </w:rPr>
        <w:t>s 2014 and 2015</w:t>
      </w:r>
      <w:r w:rsidRPr="00825B2D">
        <w:rPr>
          <w:b/>
        </w:rPr>
        <w:t xml:space="preserve"> for which results-based payments is sought, the P</w:t>
      </w:r>
      <w:r w:rsidR="00CD6C34">
        <w:rPr>
          <w:b/>
        </w:rPr>
        <w:t xml:space="preserve">ES Program </w:t>
      </w:r>
      <w:r w:rsidRPr="00825B2D">
        <w:rPr>
          <w:b/>
        </w:rPr>
        <w:t>was</w:t>
      </w:r>
      <w:r w:rsidR="00CD6C34">
        <w:rPr>
          <w:b/>
        </w:rPr>
        <w:t xml:space="preserve"> implemented</w:t>
      </w:r>
      <w:r w:rsidRPr="00825B2D">
        <w:rPr>
          <w:b/>
        </w:rPr>
        <w:t xml:space="preserve"> in such a manner that there was a good level of alignment with UNDP’s SES.  Overall, its activities and framework were consistent with key objectives of UNDP SES, without significant shortcomings.  As noted in Annex A, there were </w:t>
      </w:r>
      <w:r>
        <w:rPr>
          <w:b/>
        </w:rPr>
        <w:t>s</w:t>
      </w:r>
      <w:r w:rsidR="00CD6C34">
        <w:rPr>
          <w:b/>
        </w:rPr>
        <w:t xml:space="preserve">ome </w:t>
      </w:r>
      <w:r w:rsidRPr="00825B2D">
        <w:rPr>
          <w:b/>
        </w:rPr>
        <w:t>areas identified for future improvement, but even i</w:t>
      </w:r>
      <w:r>
        <w:rPr>
          <w:b/>
        </w:rPr>
        <w:t>n</w:t>
      </w:r>
      <w:r w:rsidRPr="00825B2D">
        <w:rPr>
          <w:b/>
        </w:rPr>
        <w:t xml:space="preserve"> such cases, positive alignment with UNDP SES dominated and </w:t>
      </w:r>
      <w:r>
        <w:rPr>
          <w:b/>
        </w:rPr>
        <w:t xml:space="preserve">most of the areas for strengthening </w:t>
      </w:r>
      <w:r w:rsidRPr="00825B2D">
        <w:rPr>
          <w:b/>
        </w:rPr>
        <w:t>were covered by other elements of REDD+ programming at that time or planned for the future.</w:t>
      </w:r>
    </w:p>
    <w:p w14:paraId="244C33C3" w14:textId="77777777" w:rsidR="00E84B1B" w:rsidRDefault="00E84B1B" w:rsidP="00E84B1B">
      <w:pPr>
        <w:pStyle w:val="Heading1"/>
        <w:ind w:left="547" w:hanging="547"/>
      </w:pPr>
      <w:r>
        <w:t>Project Alignment Review</w:t>
      </w:r>
    </w:p>
    <w:p w14:paraId="1A6A7471" w14:textId="77777777" w:rsidR="00E84B1B" w:rsidRDefault="00E84B1B" w:rsidP="00E84B1B">
      <w:pPr>
        <w:jc w:val="both"/>
      </w:pPr>
      <w:r>
        <w:t xml:space="preserve">Complementing the PLR Analysis, the </w:t>
      </w:r>
      <w:r w:rsidRPr="00FD2D62">
        <w:rPr>
          <w:b/>
        </w:rPr>
        <w:t xml:space="preserve">Project </w:t>
      </w:r>
      <w:r>
        <w:rPr>
          <w:b/>
        </w:rPr>
        <w:t>Alignment</w:t>
      </w:r>
      <w:r w:rsidRPr="00FD2D62">
        <w:rPr>
          <w:b/>
        </w:rPr>
        <w:t xml:space="preserve"> Review</w:t>
      </w:r>
      <w:r>
        <w:t xml:space="preserve"> assesses the extent to which the implementation of project activities (in the context of the applicable legal and policy framework) was consistent with the UNDP SES (and consequently, the Cancun Safeguards).  Where lessons can be learned to strengthen future REDD+ activities, these will be incorporated into relevant Environmental and Social Management Frameworks and Plans (</w:t>
      </w:r>
      <w:r w:rsidRPr="0047444B">
        <w:rPr>
          <w:b/>
        </w:rPr>
        <w:t>ESMF/ESMP</w:t>
      </w:r>
      <w:r>
        <w:t>).</w:t>
      </w:r>
    </w:p>
    <w:p w14:paraId="0101DA29" w14:textId="77777777" w:rsidR="00E84B1B" w:rsidRPr="005F7483" w:rsidRDefault="00E84B1B" w:rsidP="00E84B1B">
      <w:pPr>
        <w:jc w:val="both"/>
        <w:rPr>
          <w:i/>
        </w:rPr>
      </w:pPr>
      <w:r>
        <w:t xml:space="preserve">For the Project Alignment Review, the following were considered: </w:t>
      </w:r>
    </w:p>
    <w:p w14:paraId="3F1B18D5" w14:textId="77777777" w:rsidR="00E84B1B" w:rsidRDefault="00E84B1B" w:rsidP="00E84B1B">
      <w:pPr>
        <w:pStyle w:val="ListParagraph"/>
        <w:numPr>
          <w:ilvl w:val="0"/>
          <w:numId w:val="5"/>
        </w:numPr>
        <w:jc w:val="both"/>
      </w:pPr>
      <w:r>
        <w:t>project documentation for evidence of integration of applicable safeguard issues;</w:t>
      </w:r>
    </w:p>
    <w:p w14:paraId="0D94773A" w14:textId="77777777" w:rsidR="00E84B1B" w:rsidRDefault="00E84B1B" w:rsidP="00E84B1B">
      <w:pPr>
        <w:pStyle w:val="ListParagraph"/>
        <w:numPr>
          <w:ilvl w:val="0"/>
          <w:numId w:val="5"/>
        </w:numPr>
        <w:jc w:val="both"/>
      </w:pPr>
      <w:r>
        <w:t>reports describing with stakeholder engagements;</w:t>
      </w:r>
    </w:p>
    <w:p w14:paraId="13AEB4D4" w14:textId="77777777" w:rsidR="00E84B1B" w:rsidRDefault="00E84B1B" w:rsidP="00E84B1B">
      <w:pPr>
        <w:pStyle w:val="ListParagraph"/>
        <w:numPr>
          <w:ilvl w:val="0"/>
          <w:numId w:val="5"/>
        </w:numPr>
        <w:jc w:val="both"/>
      </w:pPr>
      <w:r>
        <w:t>monitoring reports as required by the project’s mandate and agreements;</w:t>
      </w:r>
    </w:p>
    <w:p w14:paraId="305BEACE" w14:textId="77777777" w:rsidR="00E84B1B" w:rsidRDefault="00E84B1B" w:rsidP="00E84B1B">
      <w:pPr>
        <w:pStyle w:val="ListParagraph"/>
        <w:numPr>
          <w:ilvl w:val="0"/>
          <w:numId w:val="5"/>
        </w:numPr>
        <w:jc w:val="both"/>
      </w:pPr>
      <w:r>
        <w:t>environmental and social impact studies;</w:t>
      </w:r>
    </w:p>
    <w:p w14:paraId="514BA6BE" w14:textId="77777777" w:rsidR="00E84B1B" w:rsidRDefault="00E84B1B" w:rsidP="00E84B1B">
      <w:pPr>
        <w:pStyle w:val="ListParagraph"/>
        <w:numPr>
          <w:ilvl w:val="0"/>
          <w:numId w:val="5"/>
        </w:numPr>
        <w:jc w:val="both"/>
      </w:pPr>
      <w:r>
        <w:t>documents detailing and disaggregating project beneficiaries;</w:t>
      </w:r>
    </w:p>
    <w:p w14:paraId="5E48B2EB" w14:textId="77777777" w:rsidR="00E84B1B" w:rsidRDefault="00E84B1B" w:rsidP="00E84B1B">
      <w:pPr>
        <w:pStyle w:val="ListParagraph"/>
        <w:numPr>
          <w:ilvl w:val="0"/>
          <w:numId w:val="5"/>
        </w:numPr>
        <w:jc w:val="both"/>
      </w:pPr>
      <w:r>
        <w:t>third party analysis where available;</w:t>
      </w:r>
    </w:p>
    <w:p w14:paraId="2604D0CB" w14:textId="77777777" w:rsidR="00E84B1B" w:rsidRDefault="00E84B1B" w:rsidP="00E84B1B">
      <w:pPr>
        <w:pStyle w:val="ListParagraph"/>
        <w:numPr>
          <w:ilvl w:val="0"/>
          <w:numId w:val="5"/>
        </w:numPr>
        <w:jc w:val="both"/>
      </w:pPr>
      <w:r>
        <w:t>tracking of grievances received and addressed; and</w:t>
      </w:r>
    </w:p>
    <w:p w14:paraId="21CAB30C" w14:textId="1970A8B4" w:rsidR="00E84B1B" w:rsidRDefault="00F53241" w:rsidP="00E84B1B">
      <w:pPr>
        <w:pStyle w:val="ListParagraph"/>
        <w:numPr>
          <w:ilvl w:val="0"/>
          <w:numId w:val="5"/>
        </w:numPr>
        <w:jc w:val="both"/>
      </w:pPr>
      <w:r>
        <w:t>PES Program</w:t>
      </w:r>
      <w:r w:rsidR="00E84B1B">
        <w:t xml:space="preserve"> informational briefings available to the public and used for stakeholder outreach.</w:t>
      </w:r>
    </w:p>
    <w:p w14:paraId="784388C8" w14:textId="6BC8A66E" w:rsidR="00E84B1B" w:rsidRPr="00D449BD" w:rsidRDefault="00E84B1B" w:rsidP="00E84B1B">
      <w:pPr>
        <w:jc w:val="both"/>
        <w:rPr>
          <w:lang w:val="en-GB"/>
        </w:rPr>
      </w:pPr>
      <w:r w:rsidRPr="00D449BD">
        <w:rPr>
          <w:lang w:val="en-GB"/>
        </w:rPr>
        <w:lastRenderedPageBreak/>
        <w:t xml:space="preserve">Attached at </w:t>
      </w:r>
      <w:r w:rsidRPr="00D449BD">
        <w:rPr>
          <w:b/>
          <w:u w:val="single"/>
          <w:lang w:val="en-GB"/>
        </w:rPr>
        <w:t>Annex B</w:t>
      </w:r>
      <w:r w:rsidRPr="00D449BD">
        <w:rPr>
          <w:lang w:val="en-GB"/>
        </w:rPr>
        <w:t xml:space="preserve"> is the </w:t>
      </w:r>
      <w:r w:rsidRPr="00B637B7">
        <w:rPr>
          <w:lang w:val="en-GB"/>
        </w:rPr>
        <w:t>“</w:t>
      </w:r>
      <w:r w:rsidRPr="00E972C4">
        <w:rPr>
          <w:b/>
          <w:lang w:val="en-GB"/>
        </w:rPr>
        <w:t xml:space="preserve">Project </w:t>
      </w:r>
      <w:r w:rsidRPr="006844E3">
        <w:rPr>
          <w:b/>
          <w:lang w:val="en-GB"/>
        </w:rPr>
        <w:t>Alignment</w:t>
      </w:r>
      <w:r w:rsidRPr="00FD2D62">
        <w:rPr>
          <w:b/>
          <w:lang w:val="en-GB"/>
        </w:rPr>
        <w:t xml:space="preserve"> Review </w:t>
      </w:r>
      <w:r w:rsidR="00CD6C34" w:rsidRPr="00CD6C34">
        <w:rPr>
          <w:b/>
        </w:rPr>
        <w:t>for FONAFIFO’s Payment for Environmental Services Program</w:t>
      </w:r>
      <w:r>
        <w:rPr>
          <w:lang w:val="en-GB"/>
        </w:rPr>
        <w:t xml:space="preserve">”.  </w:t>
      </w:r>
      <w:r w:rsidRPr="00D449BD">
        <w:rPr>
          <w:lang w:val="en-GB"/>
        </w:rPr>
        <w:t>It contains a set of analytical matrices which lists key indicators to assess consistency with each of the UNDP principles and requirement provided for each of the SES thematic issues</w:t>
      </w:r>
      <w:r>
        <w:rPr>
          <w:lang w:val="en-GB"/>
        </w:rPr>
        <w:t xml:space="preserve"> (i.e. indigenous peoples, biodiversity, resettlement, cultural heritage, etc.)</w:t>
      </w:r>
      <w:r w:rsidRPr="00D449BD">
        <w:rPr>
          <w:lang w:val="en-GB"/>
        </w:rPr>
        <w:t xml:space="preserve">. </w:t>
      </w:r>
    </w:p>
    <w:p w14:paraId="51E34E0D" w14:textId="41712B64" w:rsidR="00E84B1B" w:rsidRPr="00825B2D" w:rsidRDefault="00E84B1B" w:rsidP="00E84B1B">
      <w:pPr>
        <w:jc w:val="both"/>
        <w:rPr>
          <w:b/>
          <w:lang w:val="en-GB"/>
        </w:rPr>
      </w:pPr>
      <w:r w:rsidRPr="00825B2D">
        <w:rPr>
          <w:b/>
          <w:lang w:val="en-GB"/>
        </w:rPr>
        <w:t xml:space="preserve">The review has concluded that </w:t>
      </w:r>
      <w:r w:rsidR="00C21D47" w:rsidRPr="00825B2D">
        <w:rPr>
          <w:b/>
        </w:rPr>
        <w:t>during the year</w:t>
      </w:r>
      <w:r w:rsidR="00C21D47">
        <w:rPr>
          <w:b/>
        </w:rPr>
        <w:t>s 2014 and 2015</w:t>
      </w:r>
      <w:r w:rsidR="00C21D47" w:rsidRPr="00825B2D">
        <w:rPr>
          <w:b/>
        </w:rPr>
        <w:t xml:space="preserve"> for which results-based payments is sought</w:t>
      </w:r>
      <w:r w:rsidR="00C21D47">
        <w:rPr>
          <w:b/>
        </w:rPr>
        <w:t>,</w:t>
      </w:r>
      <w:r w:rsidR="00C21D47" w:rsidRPr="00825B2D">
        <w:rPr>
          <w:b/>
          <w:lang w:val="en-GB"/>
        </w:rPr>
        <w:t xml:space="preserve"> </w:t>
      </w:r>
      <w:r w:rsidRPr="00825B2D">
        <w:rPr>
          <w:b/>
          <w:lang w:val="en-GB"/>
        </w:rPr>
        <w:t xml:space="preserve">the social and environmental safeguard approach of </w:t>
      </w:r>
      <w:r w:rsidR="00CD6C34" w:rsidRPr="00CD6C34">
        <w:rPr>
          <w:b/>
        </w:rPr>
        <w:t>FONAFIFO’s Payment for Environmental Services Program</w:t>
      </w:r>
      <w:r w:rsidRPr="00825B2D">
        <w:rPr>
          <w:b/>
          <w:lang w:val="en-GB"/>
        </w:rPr>
        <w:t xml:space="preserve"> and </w:t>
      </w:r>
      <w:r>
        <w:rPr>
          <w:b/>
          <w:lang w:val="en-GB"/>
        </w:rPr>
        <w:t>the applicable</w:t>
      </w:r>
      <w:r w:rsidRPr="00825B2D">
        <w:rPr>
          <w:b/>
          <w:lang w:val="en-GB"/>
        </w:rPr>
        <w:t xml:space="preserve"> national policies</w:t>
      </w:r>
      <w:r>
        <w:rPr>
          <w:b/>
          <w:lang w:val="en-GB"/>
        </w:rPr>
        <w:t>, laws and regulations</w:t>
      </w:r>
      <w:r w:rsidRPr="00825B2D">
        <w:rPr>
          <w:b/>
          <w:lang w:val="en-GB"/>
        </w:rPr>
        <w:t xml:space="preserve"> on forest, the environment and sustainable development --</w:t>
      </w:r>
      <w:r w:rsidRPr="00825B2D" w:rsidDel="006844E3">
        <w:rPr>
          <w:b/>
          <w:lang w:val="en-GB"/>
        </w:rPr>
        <w:t xml:space="preserve"> </w:t>
      </w:r>
      <w:r>
        <w:rPr>
          <w:b/>
          <w:lang w:val="en-GB"/>
        </w:rPr>
        <w:t>-</w:t>
      </w:r>
      <w:r w:rsidRPr="00825B2D">
        <w:rPr>
          <w:b/>
          <w:lang w:val="en-GB"/>
        </w:rPr>
        <w:t xml:space="preserve"> </w:t>
      </w:r>
      <w:r w:rsidR="00C21D47">
        <w:rPr>
          <w:b/>
          <w:lang w:val="en-GB"/>
        </w:rPr>
        <w:t>we</w:t>
      </w:r>
      <w:r w:rsidRPr="00825B2D">
        <w:rPr>
          <w:b/>
          <w:lang w:val="en-GB"/>
        </w:rPr>
        <w:t xml:space="preserve">re </w:t>
      </w:r>
      <w:r w:rsidR="00BF76A5">
        <w:rPr>
          <w:b/>
          <w:lang w:val="en-GB"/>
        </w:rPr>
        <w:t>largely</w:t>
      </w:r>
      <w:r w:rsidR="00BF76A5" w:rsidRPr="00825B2D">
        <w:rPr>
          <w:b/>
          <w:lang w:val="en-GB"/>
        </w:rPr>
        <w:t xml:space="preserve"> </w:t>
      </w:r>
      <w:r w:rsidRPr="00825B2D">
        <w:rPr>
          <w:b/>
          <w:lang w:val="en-GB"/>
        </w:rPr>
        <w:t>aligned with the country’s regulatory, legal, policy and institutional framework, and contribute</w:t>
      </w:r>
      <w:r w:rsidR="00C21D47">
        <w:rPr>
          <w:b/>
          <w:lang w:val="en-GB"/>
        </w:rPr>
        <w:t>d</w:t>
      </w:r>
      <w:r w:rsidRPr="00825B2D">
        <w:rPr>
          <w:b/>
          <w:lang w:val="en-GB"/>
        </w:rPr>
        <w:t xml:space="preserve"> to the effective implementation consistent with the UNDP SES.  </w:t>
      </w:r>
    </w:p>
    <w:p w14:paraId="18362A0F" w14:textId="0E0C72C9" w:rsidR="00E84B1B" w:rsidRPr="00D449BD" w:rsidRDefault="00E84B1B" w:rsidP="00E84B1B">
      <w:pPr>
        <w:jc w:val="both"/>
        <w:rPr>
          <w:lang w:val="en-GB"/>
        </w:rPr>
      </w:pPr>
      <w:r w:rsidRPr="00D449BD">
        <w:rPr>
          <w:lang w:val="en-GB"/>
        </w:rPr>
        <w:t>As described below, a vast array of PLRs operates together with the Constitution</w:t>
      </w:r>
      <w:r w:rsidR="00F53241">
        <w:rPr>
          <w:lang w:val="en-GB"/>
        </w:rPr>
        <w:t xml:space="preserve"> and the relevant legal framework in particular the </w:t>
      </w:r>
      <w:r w:rsidR="00D90375">
        <w:rPr>
          <w:lang w:val="en-GB"/>
        </w:rPr>
        <w:t xml:space="preserve">Indigenous Peoples consultation and FPIC mechanism, as well as the </w:t>
      </w:r>
      <w:r w:rsidR="00F53241">
        <w:rPr>
          <w:lang w:val="en-GB"/>
        </w:rPr>
        <w:t>Forestry and Biodiversity Laws</w:t>
      </w:r>
      <w:r w:rsidRPr="00D449BD">
        <w:rPr>
          <w:lang w:val="en-GB"/>
        </w:rPr>
        <w:t xml:space="preserve"> to provide a</w:t>
      </w:r>
      <w:r>
        <w:rPr>
          <w:lang w:val="en-GB"/>
        </w:rPr>
        <w:t xml:space="preserve">n adequate </w:t>
      </w:r>
      <w:r w:rsidRPr="00D449BD">
        <w:rPr>
          <w:lang w:val="en-GB"/>
        </w:rPr>
        <w:t xml:space="preserve">framework in which the </w:t>
      </w:r>
      <w:r w:rsidR="00CD6C34">
        <w:rPr>
          <w:lang w:val="en-GB"/>
        </w:rPr>
        <w:t>PES Program</w:t>
      </w:r>
      <w:r w:rsidRPr="00D449BD">
        <w:rPr>
          <w:lang w:val="en-GB"/>
        </w:rPr>
        <w:t xml:space="preserve">, and </w:t>
      </w:r>
      <w:r>
        <w:rPr>
          <w:lang w:val="en-GB"/>
        </w:rPr>
        <w:t xml:space="preserve">consequently, future </w:t>
      </w:r>
      <w:r w:rsidR="00CD6C34">
        <w:rPr>
          <w:lang w:val="en-GB"/>
        </w:rPr>
        <w:t xml:space="preserve">implementation under the </w:t>
      </w:r>
      <w:r>
        <w:rPr>
          <w:lang w:val="en-GB"/>
        </w:rPr>
        <w:t xml:space="preserve">National </w:t>
      </w:r>
      <w:r w:rsidRPr="00D449BD">
        <w:rPr>
          <w:lang w:val="en-GB"/>
        </w:rPr>
        <w:t xml:space="preserve">REDD+ </w:t>
      </w:r>
      <w:r w:rsidR="00CD6C34">
        <w:rPr>
          <w:lang w:val="en-GB"/>
        </w:rPr>
        <w:t>Strategy</w:t>
      </w:r>
      <w:r w:rsidRPr="00D449BD">
        <w:rPr>
          <w:lang w:val="en-GB"/>
        </w:rPr>
        <w:t xml:space="preserve"> can be carried out consistent with its national safeguard approach and consequently, the UNDP SES.</w:t>
      </w:r>
      <w:r>
        <w:rPr>
          <w:lang w:val="en-GB"/>
        </w:rPr>
        <w:t xml:space="preserve">  </w:t>
      </w:r>
    </w:p>
    <w:p w14:paraId="70F8330D" w14:textId="77777777" w:rsidR="00E84B1B" w:rsidRDefault="00E84B1B" w:rsidP="00E84B1B">
      <w:pPr>
        <w:pStyle w:val="Heading1"/>
        <w:jc w:val="both"/>
      </w:pPr>
      <w:r>
        <w:t>Conclusion and Recommendations</w:t>
      </w:r>
    </w:p>
    <w:p w14:paraId="7CCB5D00" w14:textId="0FC01E5E" w:rsidR="00E84B1B" w:rsidRPr="00D5686D" w:rsidRDefault="00E84B1B" w:rsidP="00E84B1B">
      <w:pPr>
        <w:spacing w:before="100" w:after="0" w:line="240" w:lineRule="auto"/>
        <w:jc w:val="both"/>
      </w:pPr>
      <w:r w:rsidRPr="000F0698">
        <w:rPr>
          <w:b/>
        </w:rPr>
        <w:t>This Environmental and Social Assessment (ESA) Report describe</w:t>
      </w:r>
      <w:r>
        <w:rPr>
          <w:b/>
        </w:rPr>
        <w:t>s</w:t>
      </w:r>
      <w:r w:rsidRPr="000F0698">
        <w:rPr>
          <w:b/>
        </w:rPr>
        <w:t xml:space="preserve">, through the examination of </w:t>
      </w:r>
      <w:r w:rsidR="00830619">
        <w:rPr>
          <w:b/>
        </w:rPr>
        <w:t xml:space="preserve">FONAFIFO’s Payment for Environmental Services Program </w:t>
      </w:r>
      <w:r>
        <w:rPr>
          <w:b/>
        </w:rPr>
        <w:t xml:space="preserve">as a critical initiative implemented to </w:t>
      </w:r>
      <w:r w:rsidR="00830619">
        <w:rPr>
          <w:b/>
        </w:rPr>
        <w:t>conserve, regenerate and reforest</w:t>
      </w:r>
      <w:r>
        <w:rPr>
          <w:b/>
        </w:rPr>
        <w:t xml:space="preserve"> forest</w:t>
      </w:r>
      <w:r w:rsidR="00830619">
        <w:rPr>
          <w:b/>
        </w:rPr>
        <w:t xml:space="preserve"> ecosystems,</w:t>
      </w:r>
      <w:r>
        <w:rPr>
          <w:b/>
        </w:rPr>
        <w:t xml:space="preserve"> and reduce emissions from deforestation</w:t>
      </w:r>
      <w:r w:rsidRPr="000F0698">
        <w:rPr>
          <w:b/>
        </w:rPr>
        <w:t xml:space="preserve">, the extent to which the REDD-plus actions for which the results-based payments are sought, were carried </w:t>
      </w:r>
      <w:r w:rsidR="00D90375">
        <w:rPr>
          <w:b/>
        </w:rPr>
        <w:t xml:space="preserve">with a high degree of </w:t>
      </w:r>
      <w:r w:rsidRPr="000F0698">
        <w:rPr>
          <w:b/>
        </w:rPr>
        <w:t>consisten</w:t>
      </w:r>
      <w:r w:rsidR="00D90375">
        <w:rPr>
          <w:b/>
        </w:rPr>
        <w:t>cy</w:t>
      </w:r>
      <w:r w:rsidRPr="000F0698">
        <w:rPr>
          <w:b/>
        </w:rPr>
        <w:t xml:space="preserve"> with the key objectives of UNDP</w:t>
      </w:r>
      <w:r>
        <w:rPr>
          <w:b/>
        </w:rPr>
        <w:t>’</w:t>
      </w:r>
      <w:r w:rsidRPr="000F0698">
        <w:rPr>
          <w:b/>
        </w:rPr>
        <w:t>s SES (and consequently, the Cancun Safeguards).</w:t>
      </w:r>
      <w:r>
        <w:t xml:space="preserve">  This report includes (</w:t>
      </w:r>
      <w:proofErr w:type="spellStart"/>
      <w:r>
        <w:t>i</w:t>
      </w:r>
      <w:proofErr w:type="spellEnd"/>
      <w:r>
        <w:t xml:space="preserve">) a review of the PLR framework in which </w:t>
      </w:r>
      <w:r w:rsidR="003F58FA">
        <w:t>the PES Program</w:t>
      </w:r>
      <w:r>
        <w:t xml:space="preserve"> operated, and (ii) an analysis of whether the </w:t>
      </w:r>
      <w:r w:rsidR="00830619">
        <w:t>PES</w:t>
      </w:r>
      <w:r>
        <w:t xml:space="preserve"> activities were undertaken in a manner consistent with the key objectives of UNDP’s SES. </w:t>
      </w:r>
    </w:p>
    <w:p w14:paraId="20BBBCC4" w14:textId="74753ED3" w:rsidR="00E84B1B" w:rsidRPr="004D6112" w:rsidRDefault="00E84B1B" w:rsidP="00E84B1B">
      <w:pPr>
        <w:jc w:val="both"/>
        <w:rPr>
          <w:b/>
        </w:rPr>
      </w:pPr>
      <w:r w:rsidRPr="004D6112">
        <w:rPr>
          <w:b/>
        </w:rPr>
        <w:t xml:space="preserve">As noted above, the ESA demonstrated that overall, </w:t>
      </w:r>
      <w:r w:rsidR="00830619" w:rsidRPr="00830619">
        <w:rPr>
          <w:b/>
        </w:rPr>
        <w:t xml:space="preserve">FONAFIFO’s Payment for Environmental Services Program </w:t>
      </w:r>
      <w:r w:rsidRPr="004D6112">
        <w:rPr>
          <w:b/>
        </w:rPr>
        <w:t xml:space="preserve">was implemented within legal and policy framework that provided an enabling environment for achieving consistency with </w:t>
      </w:r>
      <w:r w:rsidR="00D90375">
        <w:rPr>
          <w:b/>
        </w:rPr>
        <w:t xml:space="preserve">most principles and standards of </w:t>
      </w:r>
      <w:r w:rsidRPr="004D6112">
        <w:rPr>
          <w:b/>
        </w:rPr>
        <w:t xml:space="preserve">the UNDP SES and in practice, </w:t>
      </w:r>
      <w:r w:rsidR="00830619" w:rsidRPr="004D6112">
        <w:rPr>
          <w:b/>
        </w:rPr>
        <w:t xml:space="preserve">the </w:t>
      </w:r>
      <w:r w:rsidR="00830619">
        <w:rPr>
          <w:b/>
        </w:rPr>
        <w:t xml:space="preserve">PES </w:t>
      </w:r>
      <w:r>
        <w:rPr>
          <w:b/>
        </w:rPr>
        <w:t xml:space="preserve">Program </w:t>
      </w:r>
      <w:r w:rsidRPr="004D6112">
        <w:rPr>
          <w:b/>
        </w:rPr>
        <w:t xml:space="preserve">was implemented </w:t>
      </w:r>
      <w:r w:rsidR="00D90375">
        <w:rPr>
          <w:b/>
        </w:rPr>
        <w:t xml:space="preserve">largely </w:t>
      </w:r>
      <w:r w:rsidRPr="004D6112">
        <w:rPr>
          <w:b/>
        </w:rPr>
        <w:t>with alignment with the objectives of UNDP</w:t>
      </w:r>
      <w:r>
        <w:rPr>
          <w:b/>
        </w:rPr>
        <w:t>’s</w:t>
      </w:r>
      <w:r w:rsidRPr="004D6112">
        <w:rPr>
          <w:b/>
        </w:rPr>
        <w:t xml:space="preserve"> SES.  Where opportunities for improvement were recognized, recommendations were provided (</w:t>
      </w:r>
      <w:r w:rsidRPr="004D6112">
        <w:rPr>
          <w:b/>
          <w:i/>
        </w:rPr>
        <w:t>see below</w:t>
      </w:r>
      <w:r w:rsidRPr="004D6112">
        <w:rPr>
          <w:b/>
        </w:rPr>
        <w:t xml:space="preserve">) and if applicable, other REDD+ programming was identified if it was already taking actions to address such opportunities for strengthening.  </w:t>
      </w:r>
    </w:p>
    <w:p w14:paraId="5D45771B" w14:textId="7E710BBC" w:rsidR="00E84B1B" w:rsidRDefault="00830619" w:rsidP="00E84B1B">
      <w:pPr>
        <w:jc w:val="both"/>
      </w:pPr>
      <w:r>
        <w:t xml:space="preserve">The PES Program </w:t>
      </w:r>
      <w:r w:rsidR="00E84B1B">
        <w:t xml:space="preserve">overwhelmingly achieved its conservation and poverty reduction objectives and did so in a manner that recognized the </w:t>
      </w:r>
      <w:r w:rsidR="00E84B1B" w:rsidRPr="00AB27B7">
        <w:rPr>
          <w:b/>
          <w:i/>
        </w:rPr>
        <w:t>centrality of human rights</w:t>
      </w:r>
      <w:r w:rsidR="00E84B1B">
        <w:t xml:space="preserve"> to sustainable development, poverty alleviation</w:t>
      </w:r>
      <w:r w:rsidR="00E84B1B" w:rsidRPr="00597E4F">
        <w:t>, enhancing environmental services and co-benefit</w:t>
      </w:r>
      <w:r w:rsidR="00E84B1B">
        <w:t xml:space="preserve">s and the fair distribution of development opportunities and benefits.  </w:t>
      </w:r>
      <w:r>
        <w:t>The PES Program</w:t>
      </w:r>
      <w:r w:rsidR="00E84B1B">
        <w:t xml:space="preserve"> largely upheld the principles of accountability and the rule of law, participation and inclusion, and equality and non-discrimination, particularly offering all opportunities to both men and women and striving to focus on underserved populations such as </w:t>
      </w:r>
      <w:r>
        <w:t>small and medium producers</w:t>
      </w:r>
      <w:r w:rsidR="00E84B1B">
        <w:t>. The Operations Manual (essentially, the key terms and implementation guidelines for the program) was updated several times based on</w:t>
      </w:r>
      <w:r>
        <w:t xml:space="preserve"> lessons from long-term implementation, complemented by</w:t>
      </w:r>
      <w:r w:rsidR="00E84B1B">
        <w:t xml:space="preserve"> meaningful stakeholder engagements to ensure it was consistent with the local reality and needs for conservation and improvement of sustainable livelihoods.  Indeed, because of iterative stakeholder engagement, as well as their direct involvement in implementation, monitoring and evaluation, </w:t>
      </w:r>
      <w:r>
        <w:t>a special modality for the PES Program for indigenous peoples</w:t>
      </w:r>
      <w:r w:rsidR="00F53241">
        <w:t xml:space="preserve"> that addresses key issues for better use of the Program by indigenous peoples</w:t>
      </w:r>
      <w:r>
        <w:t xml:space="preserve"> was designed in 2015</w:t>
      </w:r>
      <w:r w:rsidR="0052156F">
        <w:t>.</w:t>
      </w:r>
      <w:r w:rsidR="00E84B1B">
        <w:t xml:space="preserve"> </w:t>
      </w:r>
    </w:p>
    <w:p w14:paraId="23211E8F" w14:textId="2517EC84" w:rsidR="0052156F" w:rsidRDefault="00E84B1B" w:rsidP="00E84B1B">
      <w:pPr>
        <w:jc w:val="both"/>
      </w:pPr>
      <w:r>
        <w:t xml:space="preserve">Extensive stakeholder engagement continued throughout as cooperation between stakeholders was an essential requirement of the success of the program.  The stakeholders participated in project design (as noted above) and many --as parties to the agreements alongside the Government-- had monitoring and accountability responsibilities.  </w:t>
      </w:r>
      <w:r w:rsidR="0052156F">
        <w:t xml:space="preserve">In the framework of Costa Rica’s PLR, </w:t>
      </w:r>
      <w:r w:rsidR="00830619">
        <w:t>FONAFIFO</w:t>
      </w:r>
      <w:r>
        <w:t xml:space="preserve"> </w:t>
      </w:r>
      <w:r w:rsidR="0052156F">
        <w:t xml:space="preserve">took determined steps to </w:t>
      </w:r>
      <w:proofErr w:type="spellStart"/>
      <w:r>
        <w:t>respectthe</w:t>
      </w:r>
      <w:proofErr w:type="spellEnd"/>
      <w:r>
        <w:t xml:space="preserve"> rights of indigenous peoples</w:t>
      </w:r>
      <w:r w:rsidR="0052156F">
        <w:t>, including</w:t>
      </w:r>
      <w:r>
        <w:t xml:space="preserve"> their right to participate in the conservation of natural resources in their lands and to be consulted and </w:t>
      </w:r>
      <w:r>
        <w:lastRenderedPageBreak/>
        <w:t>provide their consent about projects undertaken on their lands involving renewable resources.</w:t>
      </w:r>
      <w:r w:rsidR="00C60146">
        <w:t xml:space="preserve"> </w:t>
      </w:r>
      <w:r w:rsidR="0052156F">
        <w:t>As Costa Rica further strengthen</w:t>
      </w:r>
      <w:r w:rsidR="00CC3D23">
        <w:t>s</w:t>
      </w:r>
      <w:r w:rsidR="0052156F">
        <w:t xml:space="preserve"> its PLR</w:t>
      </w:r>
      <w:r w:rsidR="00C60146">
        <w:t>s</w:t>
      </w:r>
      <w:r w:rsidR="0052156F">
        <w:t xml:space="preserve"> concerning indigenous peoples</w:t>
      </w:r>
      <w:r w:rsidR="00FF670C">
        <w:t>’</w:t>
      </w:r>
      <w:r w:rsidR="0052156F">
        <w:t xml:space="preserve"> rights, </w:t>
      </w:r>
      <w:r w:rsidR="00BF76A5">
        <w:t xml:space="preserve">such as by operationalizing its new consultation and FPIC mechanism, </w:t>
      </w:r>
      <w:r w:rsidR="0052156F">
        <w:t>the PES program in indigenous peoples</w:t>
      </w:r>
      <w:r w:rsidR="00FF670C">
        <w:t>’</w:t>
      </w:r>
      <w:r w:rsidR="0052156F">
        <w:t xml:space="preserve"> territories will be further reviewed and strengthened with funds from REDD+ result-based payments.</w:t>
      </w:r>
      <w:r w:rsidR="00CC3D23">
        <w:t xml:space="preserve"> </w:t>
      </w:r>
    </w:p>
    <w:p w14:paraId="4CF720B9" w14:textId="4D0DBD39" w:rsidR="00E84B1B" w:rsidRDefault="00E84B1B" w:rsidP="00E84B1B">
      <w:pPr>
        <w:jc w:val="both"/>
      </w:pPr>
      <w:r>
        <w:t>Furthermore, in addition to the dispute resolutions provided for in the</w:t>
      </w:r>
      <w:r w:rsidR="00830619">
        <w:rPr>
          <w:iCs/>
        </w:rPr>
        <w:t xml:space="preserve"> contracts</w:t>
      </w:r>
      <w:r>
        <w:t xml:space="preserve">, </w:t>
      </w:r>
      <w:r w:rsidR="00830619">
        <w:t>FONAFIFO’s</w:t>
      </w:r>
      <w:r>
        <w:t xml:space="preserve"> grievance mechanism overseen received, tracked and successfully addressed approximately</w:t>
      </w:r>
      <w:r w:rsidR="00830619">
        <w:t xml:space="preserve"> 285</w:t>
      </w:r>
      <w:r>
        <w:t xml:space="preserve"> grievances, addressing everything from third-party interferences in areas under conservation, </w:t>
      </w:r>
      <w:r w:rsidR="00830619">
        <w:rPr>
          <w:iCs/>
        </w:rPr>
        <w:t>delays on</w:t>
      </w:r>
      <w:r>
        <w:t xml:space="preserve"> </w:t>
      </w:r>
      <w:r w:rsidR="00830619">
        <w:t>payments</w:t>
      </w:r>
      <w:r>
        <w:t xml:space="preserve">, and </w:t>
      </w:r>
      <w:r w:rsidR="00830619">
        <w:t>difficulties to comply with requisites to access the Program</w:t>
      </w:r>
      <w:r>
        <w:t>.</w:t>
      </w:r>
    </w:p>
    <w:p w14:paraId="3E2A7699" w14:textId="108141D6" w:rsidR="00830619" w:rsidRDefault="00E84B1B" w:rsidP="00E84B1B">
      <w:pPr>
        <w:jc w:val="both"/>
        <w:rPr>
          <w:i/>
        </w:rPr>
      </w:pPr>
      <w:r>
        <w:t xml:space="preserve">While the stated </w:t>
      </w:r>
      <w:r w:rsidRPr="00A53C87">
        <w:t xml:space="preserve">objectives of </w:t>
      </w:r>
      <w:r w:rsidR="00830619" w:rsidRPr="00A53C87">
        <w:t xml:space="preserve">PES Program in its beginning s </w:t>
      </w:r>
      <w:r w:rsidRPr="00A53C87">
        <w:t xml:space="preserve">did not expressly include </w:t>
      </w:r>
      <w:r w:rsidRPr="00A53C87">
        <w:rPr>
          <w:b/>
          <w:i/>
        </w:rPr>
        <w:t>gender equality and women’s empowerment</w:t>
      </w:r>
      <w:r w:rsidRPr="00A53C87">
        <w:t xml:space="preserve">, </w:t>
      </w:r>
      <w:r w:rsidR="00A53C87">
        <w:t xml:space="preserve">since 2010 there have been significant steps to expand women participation in the Program and </w:t>
      </w:r>
      <w:r w:rsidR="00A53C87" w:rsidRPr="00A53C87">
        <w:t>during 2014 women participation increased by 49% compared to 1997.</w:t>
      </w:r>
      <w:r>
        <w:rPr>
          <w:i/>
        </w:rPr>
        <w:t xml:space="preserve">  </w:t>
      </w:r>
    </w:p>
    <w:p w14:paraId="3FAF31D9" w14:textId="640AA201" w:rsidR="00E84B1B" w:rsidRPr="00A53C87" w:rsidRDefault="00A53C87" w:rsidP="00E84B1B">
      <w:pPr>
        <w:jc w:val="both"/>
      </w:pPr>
      <w:r w:rsidRPr="00A53C87">
        <w:rPr>
          <w:iCs/>
        </w:rPr>
        <w:t>The basis of the PES Program</w:t>
      </w:r>
      <w:r w:rsidR="00E84B1B" w:rsidRPr="00A53C87">
        <w:rPr>
          <w:i/>
        </w:rPr>
        <w:t xml:space="preserve"> </w:t>
      </w:r>
      <w:r w:rsidR="00E84B1B" w:rsidRPr="00A53C87">
        <w:t>and incentives for conservation</w:t>
      </w:r>
      <w:r w:rsidRPr="00A53C87">
        <w:t>, reforestation and agroforestry</w:t>
      </w:r>
      <w:r w:rsidR="00E84B1B" w:rsidRPr="00A53C87">
        <w:t xml:space="preserve"> arrangements</w:t>
      </w:r>
      <w:r w:rsidR="00E84B1B" w:rsidRPr="00A53C87">
        <w:rPr>
          <w:i/>
        </w:rPr>
        <w:t xml:space="preserve"> </w:t>
      </w:r>
      <w:r w:rsidR="00E84B1B" w:rsidRPr="00A53C87">
        <w:t xml:space="preserve">did not provide a context in which </w:t>
      </w:r>
      <w:r w:rsidRPr="00A53C87">
        <w:t>FONAFIFO</w:t>
      </w:r>
      <w:r w:rsidR="00E84B1B" w:rsidRPr="00A53C87">
        <w:t xml:space="preserve"> could easily and directly challenge cultural norms that tended to favor land ownership (and sometimes decision-making) by </w:t>
      </w:r>
      <w:proofErr w:type="gramStart"/>
      <w:r w:rsidR="00E84B1B" w:rsidRPr="00A53C87">
        <w:t>men.  .</w:t>
      </w:r>
      <w:proofErr w:type="gramEnd"/>
      <w:r w:rsidR="00E84B1B" w:rsidRPr="00A53C87">
        <w:t xml:space="preserve">  It is acknowledged that </w:t>
      </w:r>
      <w:r w:rsidRPr="00A53C87">
        <w:t>PES Program</w:t>
      </w:r>
      <w:r w:rsidR="00E84B1B" w:rsidRPr="00A53C87">
        <w:t xml:space="preserve"> did have to walk a difficult road balancing the need to ensure equitable benefit sharing among men and women.  The result, at times, did mean greater participation of men in land ownership, decision-making and the receipt of benefits and capacity building.  Nevertheless, in a culturally appropriate manner, </w:t>
      </w:r>
      <w:r w:rsidRPr="00A53C87">
        <w:t>the PES Program</w:t>
      </w:r>
      <w:r w:rsidR="00E84B1B" w:rsidRPr="00A53C87">
        <w:t xml:space="preserve"> engaged in efforts to actively include and reach out to females, and it plans to continue these efforts going forwar</w:t>
      </w:r>
      <w:r w:rsidRPr="00A53C87">
        <w:t>d, in particular by focusing on expanding the agroforestry modality, which is more conducive to enhance women participation</w:t>
      </w:r>
      <w:r w:rsidR="00E84B1B" w:rsidRPr="00A53C87">
        <w:t>.</w:t>
      </w:r>
    </w:p>
    <w:p w14:paraId="3F18271A" w14:textId="45011563" w:rsidR="00E84B1B" w:rsidRPr="00A53C87" w:rsidRDefault="00E84B1B" w:rsidP="00E84B1B">
      <w:pPr>
        <w:jc w:val="both"/>
      </w:pPr>
      <w:r w:rsidRPr="00A53C87">
        <w:t xml:space="preserve">Indeed, </w:t>
      </w:r>
      <w:r w:rsidR="00A53C87" w:rsidRPr="00A53C87">
        <w:t>the PES Program</w:t>
      </w:r>
      <w:r w:rsidRPr="00A53C87">
        <w:t xml:space="preserve"> did not discriminate along gender lines, and it encouraged inclusive participation at all levels of stakeholder engagement, decision-making, capacity building and training etc.  Both women and men with titles could submit lands in to the </w:t>
      </w:r>
      <w:proofErr w:type="spellStart"/>
      <w:r w:rsidRPr="00A53C87">
        <w:t>programme</w:t>
      </w:r>
      <w:proofErr w:type="spellEnd"/>
      <w:r w:rsidRPr="00A53C87">
        <w:t xml:space="preserve">, and all community members were invited to participate in </w:t>
      </w:r>
      <w:r w:rsidR="00A53C87" w:rsidRPr="00A53C87">
        <w:t>PES</w:t>
      </w:r>
      <w:r w:rsidRPr="00A53C87">
        <w:t xml:space="preserve">-sponsored meetings and trainings.  </w:t>
      </w:r>
    </w:p>
    <w:p w14:paraId="75F761B9" w14:textId="31D469DE" w:rsidR="00A53C87" w:rsidRPr="00A53C87" w:rsidRDefault="00E84B1B" w:rsidP="00E84B1B">
      <w:pPr>
        <w:jc w:val="both"/>
      </w:pPr>
      <w:r w:rsidRPr="00A53C87">
        <w:t xml:space="preserve">In terms of </w:t>
      </w:r>
      <w:r w:rsidRPr="00A53C87">
        <w:rPr>
          <w:b/>
          <w:i/>
        </w:rPr>
        <w:t>environmental sustainability</w:t>
      </w:r>
      <w:r w:rsidRPr="00A53C87">
        <w:t>, the surrounding PLRs and implementation manuals, templates, and guidelines are all directed toward conservation of biodiversity, avoidance of deforestation, and addressing poverty and inequality, all while maintaining and enhancing natural capital.</w:t>
      </w:r>
      <w:r w:rsidR="00A53C87" w:rsidRPr="00A53C87">
        <w:t xml:space="preserve"> In fact, Costa Rica is one of the few countries in the world that has demonstrated that is possible to decouple deforestation from development, and the significant recovery of forest cover over the past decades is attributed to a large extent to the PES Program.</w:t>
      </w:r>
    </w:p>
    <w:p w14:paraId="1CA0DF0C" w14:textId="24D88F63" w:rsidR="00E84B1B" w:rsidRPr="00A53C87" w:rsidRDefault="00E84B1B" w:rsidP="00E84B1B">
      <w:pPr>
        <w:jc w:val="both"/>
      </w:pPr>
      <w:r w:rsidRPr="00A53C87">
        <w:t xml:space="preserve">The </w:t>
      </w:r>
      <w:r w:rsidR="00A53C87">
        <w:t>PES contracts</w:t>
      </w:r>
      <w:r w:rsidRPr="00A53C87">
        <w:rPr>
          <w:i/>
        </w:rPr>
        <w:t>,</w:t>
      </w:r>
      <w:r w:rsidRPr="00A53C87">
        <w:t xml:space="preserve"> the regular monitoring, the required periodic reporting being tied to the release of economic incentives, the restriction of certain resource uses --all of this is to ensure that environmental sustainability is systematically mainstreamed into </w:t>
      </w:r>
      <w:r w:rsidR="00A53C87">
        <w:t>the PES Program</w:t>
      </w:r>
      <w:r w:rsidRPr="00A53C87">
        <w:t xml:space="preserve">.  Consistent with the UNDP SES, </w:t>
      </w:r>
      <w:r w:rsidR="00A53C87">
        <w:t>the PES Program</w:t>
      </w:r>
      <w:r w:rsidRPr="00A53C87">
        <w:t xml:space="preserve"> strengthens environmental management and protection by working with the </w:t>
      </w:r>
      <w:proofErr w:type="spellStart"/>
      <w:r w:rsidRPr="00A53C87">
        <w:rPr>
          <w:i/>
        </w:rPr>
        <w:t>socios</w:t>
      </w:r>
      <w:proofErr w:type="spellEnd"/>
      <w:r w:rsidRPr="00A53C87">
        <w:t xml:space="preserve">/partners, not just as beneficiaries, but as partners in the development of the </w:t>
      </w:r>
      <w:r w:rsidR="00A53C87">
        <w:t xml:space="preserve">PES Program, </w:t>
      </w:r>
      <w:r w:rsidR="00B05E06">
        <w:t>e</w:t>
      </w:r>
      <w:r w:rsidR="00A53C87">
        <w:t>specially its new modality for indigenous peoples</w:t>
      </w:r>
      <w:r w:rsidRPr="00A53C87">
        <w:t xml:space="preserve">, the monitoring and implementing of objectives.  </w:t>
      </w:r>
    </w:p>
    <w:p w14:paraId="62999797" w14:textId="77D6A115" w:rsidR="00E84B1B" w:rsidRPr="00A53C87" w:rsidRDefault="00E84B1B" w:rsidP="00E84B1B">
      <w:pPr>
        <w:jc w:val="both"/>
      </w:pPr>
      <w:r w:rsidRPr="00A53C87">
        <w:t xml:space="preserve">The above said, where the primary focus of the </w:t>
      </w:r>
      <w:r w:rsidR="006A517A">
        <w:t>PES</w:t>
      </w:r>
      <w:r w:rsidRPr="00A53C87">
        <w:t xml:space="preserve"> Program is conservation</w:t>
      </w:r>
      <w:r w:rsidR="006A517A">
        <w:t>, reforestation, and sustainable forest management benefiting small and medium holders,</w:t>
      </w:r>
      <w:r w:rsidRPr="00A53C87">
        <w:t xml:space="preserve"> the initial monitoring and reporting tended to focus predominantly on ensuring </w:t>
      </w:r>
      <w:r w:rsidR="006A517A">
        <w:t>contract compliance and</w:t>
      </w:r>
      <w:r w:rsidRPr="00A53C87">
        <w:t xml:space="preserve"> no alterations of the land uses in areas of conservation</w:t>
      </w:r>
      <w:r w:rsidR="006A517A">
        <w:t>, reforestation or sustainable forest management</w:t>
      </w:r>
      <w:r w:rsidRPr="00A53C87">
        <w:t xml:space="preserve"> (i.e. that land cover remained untouched)</w:t>
      </w:r>
      <w:r w:rsidR="006A517A">
        <w:t xml:space="preserve">. There is no </w:t>
      </w:r>
      <w:proofErr w:type="gramStart"/>
      <w:r w:rsidR="006A517A">
        <w:t>sufficient</w:t>
      </w:r>
      <w:proofErr w:type="gramEnd"/>
      <w:r w:rsidR="006A517A">
        <w:t xml:space="preserve"> evidence to </w:t>
      </w:r>
      <w:r w:rsidRPr="00A53C87">
        <w:t>provide insights into the poverty reduction and to varying extents the social impacts of P</w:t>
      </w:r>
      <w:r w:rsidR="006A517A">
        <w:t>ES Program</w:t>
      </w:r>
      <w:r w:rsidRPr="00A53C87">
        <w:t xml:space="preserve">.  </w:t>
      </w:r>
    </w:p>
    <w:p w14:paraId="39595997" w14:textId="4F804A8E" w:rsidR="00E84B1B" w:rsidRPr="00A53C87" w:rsidRDefault="00E84B1B" w:rsidP="00E84B1B">
      <w:pPr>
        <w:jc w:val="both"/>
      </w:pPr>
      <w:r w:rsidRPr="00A53C87">
        <w:t>The monitoring has since been augmented to include more socio-cultural and socio-economic issues.  This has been done in response to observations that P</w:t>
      </w:r>
      <w:r w:rsidR="006A517A">
        <w:t>ES Program</w:t>
      </w:r>
      <w:r w:rsidRPr="00A53C87">
        <w:t xml:space="preserve"> could benefit from additional mechanisms to increase the information about the social impacts of the </w:t>
      </w:r>
      <w:r w:rsidR="006A517A">
        <w:t>Program.</w:t>
      </w:r>
    </w:p>
    <w:p w14:paraId="2158C1F3" w14:textId="3B47434C" w:rsidR="00E84B1B" w:rsidRPr="00A53C87" w:rsidRDefault="00E84B1B" w:rsidP="00E84B1B">
      <w:pPr>
        <w:jc w:val="both"/>
      </w:pPr>
      <w:r w:rsidRPr="00A53C87">
        <w:t xml:space="preserve">Considering the conclusions of the ESA (including its PLR Analysis and Project Alignment Review), the extensive document reviews, the following provides a non-exhaustive list of some of the key recommendations that could be addressed for ongoing </w:t>
      </w:r>
      <w:r w:rsidR="00D17F3E">
        <w:t xml:space="preserve">PES Program </w:t>
      </w:r>
      <w:r w:rsidRPr="00A53C87">
        <w:t xml:space="preserve">implementation as well as future REDD+ programming that has similarities with </w:t>
      </w:r>
      <w:r w:rsidRPr="00A53C87">
        <w:lastRenderedPageBreak/>
        <w:t>the P</w:t>
      </w:r>
      <w:r w:rsidR="00D17F3E">
        <w:t>ES Program</w:t>
      </w:r>
      <w:r w:rsidRPr="00A53C87">
        <w:t xml:space="preserve"> activities.  Additional recommendations can be found in </w:t>
      </w:r>
      <w:proofErr w:type="gramStart"/>
      <w:r w:rsidRPr="00A53C87">
        <w:t>both of the attached</w:t>
      </w:r>
      <w:proofErr w:type="gramEnd"/>
      <w:r w:rsidRPr="00A53C87">
        <w:t xml:space="preserve"> annexes.  The list of recommendations below are offered in the context of what has been determined to be a project that met its conservation objectives and provided positive social benefits while doing so --both through the provision of economic incentives, as well as its respect and promotion of the human rights of the indigenous peoples that participated.  In this context, the ESA suggests that the </w:t>
      </w:r>
      <w:r w:rsidR="003F58FA">
        <w:t xml:space="preserve">PES Program </w:t>
      </w:r>
      <w:r w:rsidRPr="00A53C87">
        <w:t>implementing agency (</w:t>
      </w:r>
      <w:r w:rsidR="003F58FA">
        <w:t>FONAFIFO</w:t>
      </w:r>
      <w:r w:rsidRPr="00A53C87">
        <w:t xml:space="preserve">) and partners: </w:t>
      </w:r>
    </w:p>
    <w:p w14:paraId="6515429E" w14:textId="406C8A93" w:rsidR="00E84B1B" w:rsidRPr="00A53C87" w:rsidRDefault="00E84B1B" w:rsidP="00E84B1B">
      <w:pPr>
        <w:ind w:left="720"/>
        <w:jc w:val="both"/>
      </w:pPr>
      <w:r w:rsidRPr="00A53C87">
        <w:t>▪ Continue and strengthen the already successful capacity sessions and technical support initiatives to</w:t>
      </w:r>
      <w:r w:rsidR="00D17F3E">
        <w:t xml:space="preserve"> PES Program participants </w:t>
      </w:r>
      <w:r w:rsidRPr="00A53C87">
        <w:t xml:space="preserve">to ensure they can comply with their respective responsibilities and see the value and benefits of </w:t>
      </w:r>
      <w:r w:rsidR="00D17F3E">
        <w:t>participating in the Program and maintaining the agreements under the contracts</w:t>
      </w:r>
      <w:r w:rsidRPr="00A53C87">
        <w:t>.</w:t>
      </w:r>
    </w:p>
    <w:p w14:paraId="38DE0ED0" w14:textId="1A488D1A" w:rsidR="00E84B1B" w:rsidRPr="001E14D3" w:rsidRDefault="00E84B1B" w:rsidP="003F58FA">
      <w:pPr>
        <w:ind w:left="720"/>
        <w:jc w:val="both"/>
      </w:pPr>
      <w:r w:rsidRPr="00A53C87">
        <w:rPr>
          <w:rFonts w:ascii="Trebuchet MS" w:hAnsi="Trebuchet MS"/>
        </w:rPr>
        <w:t>▪</w:t>
      </w:r>
      <w:r w:rsidRPr="00A53C87">
        <w:t xml:space="preserve"> Continue and strengthen, wherever needed, </w:t>
      </w:r>
      <w:r w:rsidR="00E92092">
        <w:t xml:space="preserve">communication regarding </w:t>
      </w:r>
      <w:r w:rsidRPr="00A53C87">
        <w:t>the</w:t>
      </w:r>
      <w:r w:rsidR="00E92092">
        <w:t xml:space="preserve"> </w:t>
      </w:r>
      <w:r w:rsidRPr="00A53C87">
        <w:t xml:space="preserve">voluntary nature of the </w:t>
      </w:r>
      <w:r w:rsidRPr="001E14D3">
        <w:t>mechanism which provides a solid safeguard against adverse impacts.</w:t>
      </w:r>
    </w:p>
    <w:p w14:paraId="45B9F6E3" w14:textId="37ED938D" w:rsidR="00D16492" w:rsidRDefault="00E84B1B" w:rsidP="00E84B1B">
      <w:pPr>
        <w:ind w:left="720"/>
        <w:jc w:val="both"/>
      </w:pPr>
      <w:r w:rsidRPr="001E14D3">
        <w:t xml:space="preserve">▪ </w:t>
      </w:r>
      <w:r w:rsidR="00D16492">
        <w:t xml:space="preserve">Strengthen the partnership with indigenous peoples, including by: further </w:t>
      </w:r>
      <w:r w:rsidR="00B578E8">
        <w:t xml:space="preserve">documenting their structures of governance; </w:t>
      </w:r>
      <w:r w:rsidR="00D16492">
        <w:t>engag</w:t>
      </w:r>
      <w:r w:rsidR="00B578E8">
        <w:t>ing</w:t>
      </w:r>
      <w:r w:rsidR="00D16492">
        <w:t xml:space="preserve"> with</w:t>
      </w:r>
      <w:r w:rsidR="00B578E8">
        <w:t xml:space="preserve"> ADIs where indigenous peoples have embraced them and with</w:t>
      </w:r>
      <w:r w:rsidR="00D16492">
        <w:t xml:space="preserve"> </w:t>
      </w:r>
      <w:r w:rsidR="00D16492" w:rsidRPr="00A53C87">
        <w:t>traditional governance structures of indigenous peoples</w:t>
      </w:r>
      <w:r w:rsidR="00B578E8">
        <w:t xml:space="preserve"> that maintain them</w:t>
      </w:r>
      <w:r w:rsidR="00D16492">
        <w:t xml:space="preserve">; taking steps toward more gender equitable distribution of contract benefits within indigenous communities; and contributing to removing obstacles to the implementation of Costa Rica’s plans to recover indigenous peoples lands and territories. </w:t>
      </w:r>
    </w:p>
    <w:p w14:paraId="39EB02C0" w14:textId="53C4F4E7" w:rsidR="00E84B1B" w:rsidRPr="001E14D3" w:rsidRDefault="00D16492" w:rsidP="00E84B1B">
      <w:pPr>
        <w:ind w:left="720"/>
        <w:jc w:val="both"/>
      </w:pPr>
      <w:r w:rsidRPr="001E14D3">
        <w:t xml:space="preserve">▪ </w:t>
      </w:r>
      <w:r w:rsidR="00DB2D42">
        <w:t xml:space="preserve">Develop </w:t>
      </w:r>
      <w:r w:rsidR="001E14D3" w:rsidRPr="001E14D3">
        <w:t>new financial mechanisms</w:t>
      </w:r>
      <w:r w:rsidR="00E84B1B" w:rsidRPr="001E14D3">
        <w:t xml:space="preserve"> to </w:t>
      </w:r>
      <w:r w:rsidR="001E14D3">
        <w:t>expand</w:t>
      </w:r>
      <w:r w:rsidR="00E84B1B" w:rsidRPr="001E14D3">
        <w:t xml:space="preserve"> participation and awareness of the population’s members (especially women and vulnerable groups within) continues after the initial decisions to place lands within the </w:t>
      </w:r>
      <w:r w:rsidR="003F58FA" w:rsidRPr="001E14D3">
        <w:t>PES</w:t>
      </w:r>
      <w:r w:rsidR="00E84B1B" w:rsidRPr="001E14D3">
        <w:t xml:space="preserve"> areas of conservation</w:t>
      </w:r>
      <w:r w:rsidR="003F58FA" w:rsidRPr="001E14D3">
        <w:t>, reforestation, sustainable forest management</w:t>
      </w:r>
      <w:r w:rsidR="001E14D3" w:rsidRPr="001E14D3">
        <w:t>,</w:t>
      </w:r>
      <w:r w:rsidR="003F58FA" w:rsidRPr="001E14D3">
        <w:t xml:space="preserve"> or agroforestry</w:t>
      </w:r>
      <w:r w:rsidR="00E84B1B" w:rsidRPr="001E14D3">
        <w:t>.</w:t>
      </w:r>
    </w:p>
    <w:p w14:paraId="07D55AA4" w14:textId="1FD08ADB" w:rsidR="00E84B1B" w:rsidRPr="001E14D3" w:rsidRDefault="00E84B1B" w:rsidP="00E84B1B">
      <w:pPr>
        <w:ind w:left="720"/>
        <w:jc w:val="both"/>
      </w:pPr>
      <w:r w:rsidRPr="001E14D3">
        <w:t xml:space="preserve">▪ </w:t>
      </w:r>
      <w:r w:rsidR="001E14D3" w:rsidRPr="001E14D3">
        <w:t>Strengthen the implementation</w:t>
      </w:r>
      <w:r w:rsidR="001E14D3">
        <w:t xml:space="preserve"> framework</w:t>
      </w:r>
      <w:r w:rsidR="001E14D3" w:rsidRPr="001E14D3">
        <w:t xml:space="preserve"> of </w:t>
      </w:r>
      <w:r w:rsidR="003F58FA" w:rsidRPr="001E14D3">
        <w:t>Costa Rica</w:t>
      </w:r>
      <w:r w:rsidRPr="001E14D3">
        <w:t xml:space="preserve">’s relevant PLRs </w:t>
      </w:r>
      <w:r w:rsidR="001E14D3" w:rsidRPr="001E14D3">
        <w:t>for</w:t>
      </w:r>
      <w:r w:rsidRPr="001E14D3">
        <w:t xml:space="preserve"> environmental and </w:t>
      </w:r>
      <w:r w:rsidRPr="001E14D3">
        <w:rPr>
          <w:i/>
          <w:u w:val="single"/>
        </w:rPr>
        <w:t>social</w:t>
      </w:r>
      <w:r w:rsidRPr="001E14D3">
        <w:t xml:space="preserve"> impact assessments consistent with the UNDP SES, Cancun Safeguards</w:t>
      </w:r>
      <w:r w:rsidR="001E14D3" w:rsidRPr="001E14D3">
        <w:t xml:space="preserve">, </w:t>
      </w:r>
      <w:r w:rsidRPr="001E14D3">
        <w:t>and international law: particularly the responsible parties, the thresholds and activities that trigger such assessments (beyond just where high risks are associated), the mechanisms for stakeholder participation, the requirements for sharing such assessments with the public, as well as the mechanisms for determining mitigation measures and guaranteeing regular and meaningful and transparent monitoring of the measures and the impacts.  These are assessments that are independent of and not merely an “add on” to the environmental impact assessments.</w:t>
      </w:r>
    </w:p>
    <w:p w14:paraId="44F75663" w14:textId="377AA97A" w:rsidR="00E84B1B" w:rsidRPr="001E14D3" w:rsidRDefault="00E84B1B" w:rsidP="00E84B1B">
      <w:pPr>
        <w:ind w:left="720"/>
        <w:jc w:val="both"/>
      </w:pPr>
      <w:r w:rsidRPr="001E14D3">
        <w:t xml:space="preserve">▪ Carry out training and capacity building among  </w:t>
      </w:r>
      <w:r w:rsidR="003F58FA" w:rsidRPr="001E14D3">
        <w:t>FONAFIFO, SINAC and the PES Program</w:t>
      </w:r>
      <w:r w:rsidRPr="001E14D3">
        <w:t xml:space="preserve"> staff, stakeholders and partner on matters of gender equality, the contributions of women to climate change resilience, and the specific harms faced by women in the context of ecosystem destruction and conversion; take affirmative measures to ensure the effective, meaningful and consistent participation of women in all </w:t>
      </w:r>
      <w:r w:rsidR="003F58FA" w:rsidRPr="001E14D3">
        <w:t>PES</w:t>
      </w:r>
      <w:r w:rsidRPr="001E14D3">
        <w:t xml:space="preserve"> meetings.</w:t>
      </w:r>
    </w:p>
    <w:p w14:paraId="5FB9FB24" w14:textId="388CD358" w:rsidR="00E84B1B" w:rsidRPr="00D41116" w:rsidRDefault="00E84B1B" w:rsidP="00E84B1B">
      <w:pPr>
        <w:ind w:left="720"/>
        <w:jc w:val="both"/>
      </w:pPr>
      <w:r w:rsidRPr="001E14D3">
        <w:t xml:space="preserve">▪ Require and develop capacities to collect and report on accurate disaggregated data with respect to male and female participation in all </w:t>
      </w:r>
      <w:r w:rsidR="003F58FA" w:rsidRPr="001E14D3">
        <w:t>PES</w:t>
      </w:r>
      <w:r w:rsidRPr="001E14D3">
        <w:t xml:space="preserve"> activities, benefit sharing, and socio-cultural impact analysis (including gender-related key performance indicators for monitoring); share such data across government institutions and make such data publicly accessible.</w:t>
      </w:r>
    </w:p>
    <w:p w14:paraId="1C9323DE" w14:textId="77777777" w:rsidR="00DF19C6" w:rsidRDefault="00DF19C6"/>
    <w:sectPr w:rsidR="00DF19C6" w:rsidSect="00785C0D">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E71857" w14:textId="77777777" w:rsidR="007B0885" w:rsidRDefault="007B0885" w:rsidP="00E84B1B">
      <w:pPr>
        <w:spacing w:before="0" w:after="0" w:line="240" w:lineRule="auto"/>
      </w:pPr>
      <w:r>
        <w:separator/>
      </w:r>
    </w:p>
  </w:endnote>
  <w:endnote w:type="continuationSeparator" w:id="0">
    <w:p w14:paraId="32727550" w14:textId="77777777" w:rsidR="007B0885" w:rsidRDefault="007B0885" w:rsidP="00E84B1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ヒラギノ角ゴ Pro W3">
    <w:charset w:val="80"/>
    <w:family w:val="swiss"/>
    <w:pitch w:val="variable"/>
    <w:sig w:usb0="E00002FF" w:usb1="7AC7FFFF" w:usb2="00000012" w:usb3="00000000" w:csb0="0002000D"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B2392E" w14:textId="77777777" w:rsidR="007B0885" w:rsidRDefault="007B0885" w:rsidP="00E84B1B">
      <w:pPr>
        <w:spacing w:before="0" w:after="0" w:line="240" w:lineRule="auto"/>
      </w:pPr>
      <w:r>
        <w:separator/>
      </w:r>
    </w:p>
  </w:footnote>
  <w:footnote w:type="continuationSeparator" w:id="0">
    <w:p w14:paraId="1307969C" w14:textId="77777777" w:rsidR="007B0885" w:rsidRDefault="007B0885" w:rsidP="00E84B1B">
      <w:pPr>
        <w:spacing w:before="0" w:after="0" w:line="240" w:lineRule="auto"/>
      </w:pPr>
      <w:r>
        <w:continuationSeparator/>
      </w:r>
    </w:p>
  </w:footnote>
  <w:footnote w:id="1">
    <w:p w14:paraId="63718E05" w14:textId="77777777" w:rsidR="00785C0D" w:rsidRDefault="00785C0D" w:rsidP="00C05554">
      <w:pPr>
        <w:pStyle w:val="FootnoteText"/>
        <w:spacing w:before="0" w:after="0" w:line="240" w:lineRule="auto"/>
      </w:pPr>
      <w:r>
        <w:rPr>
          <w:rStyle w:val="FootnoteReference"/>
        </w:rPr>
        <w:footnoteRef/>
      </w:r>
      <w:r>
        <w:t xml:space="preserve"> GCF’s Environmental and Social Policy is </w:t>
      </w:r>
      <w:r w:rsidRPr="00B637B7">
        <w:rPr>
          <w:i/>
        </w:rPr>
        <w:t>available at</w:t>
      </w:r>
      <w:r>
        <w:t xml:space="preserve"> </w:t>
      </w:r>
      <w:hyperlink r:id="rId1" w:history="1">
        <w:r w:rsidRPr="00B637B7">
          <w:rPr>
            <w:rStyle w:val="Hyperlink"/>
          </w:rPr>
          <w:t>https://www.greenclimate.fund/safeguards/environment-social</w:t>
        </w:r>
      </w:hyperlink>
      <w:r w:rsidRPr="00B637B7">
        <w:t xml:space="preserve"> and the GCF’s interim environmental and social safeguards are available at </w:t>
      </w:r>
      <w:hyperlink r:id="rId2" w:history="1">
        <w:r w:rsidRPr="00B637B7">
          <w:rPr>
            <w:rStyle w:val="Hyperlink"/>
          </w:rPr>
          <w:t>https://www.greenclimate.fund/documents/20182/818273/1.7_-_Environmental_and_Social_Safeguards.pdf/e4419923-4c2d-450c-a714-0d4ad3cc77e6</w:t>
        </w:r>
      </w:hyperlink>
      <w:r w:rsidRPr="00B637B7">
        <w:t xml:space="preserve">.  GCF’s Indigenous Peoples Policy is </w:t>
      </w:r>
      <w:r w:rsidRPr="00B637B7">
        <w:rPr>
          <w:i/>
        </w:rPr>
        <w:t>available at</w:t>
      </w:r>
      <w:r w:rsidRPr="00B637B7">
        <w:t xml:space="preserve"> </w:t>
      </w:r>
      <w:hyperlink r:id="rId3" w:history="1">
        <w:r w:rsidRPr="00B637B7">
          <w:rPr>
            <w:rStyle w:val="Hyperlink"/>
          </w:rPr>
          <w:t>https://www.greenclimate.fund/safeguards/indigenous-peoples</w:t>
        </w:r>
      </w:hyperlink>
      <w:r w:rsidRPr="007940F6">
        <w:t xml:space="preserve">. </w:t>
      </w:r>
    </w:p>
  </w:footnote>
  <w:footnote w:id="2">
    <w:p w14:paraId="7402C5FF" w14:textId="35D7B34F" w:rsidR="00785C0D" w:rsidRDefault="00785C0D" w:rsidP="00C05554">
      <w:pPr>
        <w:pStyle w:val="FootnoteText"/>
        <w:spacing w:before="0" w:after="0" w:line="240" w:lineRule="auto"/>
      </w:pPr>
      <w:r>
        <w:rPr>
          <w:rStyle w:val="FootnoteReference"/>
        </w:rPr>
        <w:footnoteRef/>
      </w:r>
      <w:r>
        <w:t xml:space="preserve"> UNDP’s SES is </w:t>
      </w:r>
      <w:r w:rsidRPr="00B637B7">
        <w:rPr>
          <w:i/>
        </w:rPr>
        <w:t>available at</w:t>
      </w:r>
      <w:r>
        <w:t xml:space="preserve">: </w:t>
      </w:r>
      <w:hyperlink r:id="rId4" w:history="1">
        <w:r w:rsidRPr="002957F6">
          <w:rPr>
            <w:rStyle w:val="Hyperlink"/>
          </w:rPr>
          <w:t>http://www.undp.org/content/undp/en/home/accountability/social-and-environmental-responsibility/social-and-environmental-standards.html</w:t>
        </w:r>
      </w:hyperlink>
    </w:p>
  </w:footnote>
  <w:footnote w:id="3">
    <w:p w14:paraId="2BC0DE62" w14:textId="585D0609" w:rsidR="00785C0D" w:rsidRDefault="00785C0D" w:rsidP="00C05554">
      <w:pPr>
        <w:pStyle w:val="FootnoteText"/>
        <w:spacing w:before="0" w:after="0" w:line="240" w:lineRule="auto"/>
      </w:pPr>
      <w:r>
        <w:rPr>
          <w:rStyle w:val="FootnoteReference"/>
        </w:rPr>
        <w:footnoteRef/>
      </w:r>
      <w:r>
        <w:t xml:space="preserve"> Costa Rica’s first SOI (December 2019) is </w:t>
      </w:r>
      <w:r w:rsidRPr="00C05554">
        <w:rPr>
          <w:i/>
          <w:iCs/>
        </w:rPr>
        <w:t>available</w:t>
      </w:r>
      <w:r>
        <w:t xml:space="preserve"> at: </w:t>
      </w:r>
      <w:hyperlink r:id="rId5" w:history="1">
        <w:r w:rsidRPr="002957F6">
          <w:rPr>
            <w:rStyle w:val="Hyperlink"/>
          </w:rPr>
          <w:t>https://redd.unfccc.int/files/4863_6_primer_informe_nacional_sobre_salvaguardas_para_la_estrategia_redd_2bnov30.pdf</w:t>
        </w:r>
      </w:hyperlink>
    </w:p>
    <w:p w14:paraId="43AC370E" w14:textId="77777777" w:rsidR="00785C0D" w:rsidRDefault="00785C0D" w:rsidP="00C05554">
      <w:pPr>
        <w:pStyle w:val="FootnoteText"/>
        <w:spacing w:before="0" w:after="0" w:line="240" w:lineRule="auto"/>
      </w:pPr>
    </w:p>
  </w:footnote>
  <w:footnote w:id="4">
    <w:p w14:paraId="0F4E15B7" w14:textId="77777777" w:rsidR="00785C0D" w:rsidRPr="0008702F" w:rsidRDefault="00785C0D" w:rsidP="00660ADC">
      <w:pPr>
        <w:pStyle w:val="FootnoteText"/>
        <w:spacing w:before="0" w:after="0" w:line="240" w:lineRule="auto"/>
        <w:rPr>
          <w:szCs w:val="18"/>
        </w:rPr>
      </w:pPr>
      <w:r w:rsidRPr="0008702F">
        <w:rPr>
          <w:rStyle w:val="FootnoteReference"/>
          <w:szCs w:val="18"/>
        </w:rPr>
        <w:footnoteRef/>
      </w:r>
      <w:r w:rsidRPr="0008702F">
        <w:rPr>
          <w:szCs w:val="18"/>
        </w:rPr>
        <w:t xml:space="preserve"> Details of the PES program, requirements to participate, regulations and operations manual, are publicly available at </w:t>
      </w:r>
      <w:hyperlink r:id="rId6" w:history="1">
        <w:r w:rsidRPr="0008702F">
          <w:rPr>
            <w:rStyle w:val="Hyperlink"/>
            <w:szCs w:val="18"/>
          </w:rPr>
          <w:t>www.fonafifo.go.cr</w:t>
        </w:r>
      </w:hyperlink>
    </w:p>
  </w:footnote>
  <w:footnote w:id="5">
    <w:p w14:paraId="04DD4DB3" w14:textId="43E7625D" w:rsidR="00785C0D" w:rsidRDefault="00785C0D" w:rsidP="00E92092">
      <w:pPr>
        <w:pStyle w:val="FootnoteText"/>
        <w:spacing w:before="0" w:after="0" w:line="240" w:lineRule="auto"/>
      </w:pPr>
      <w:r>
        <w:rPr>
          <w:rStyle w:val="FootnoteReference"/>
        </w:rPr>
        <w:footnoteRef/>
      </w:r>
      <w:r>
        <w:t xml:space="preserve"> Operation manuals available at: </w:t>
      </w:r>
      <w:hyperlink r:id="rId7" w:history="1">
        <w:r w:rsidRPr="002957F6">
          <w:rPr>
            <w:rStyle w:val="Hyperlink"/>
          </w:rPr>
          <w:t>https://www.fonafifo.go.cr/es/documentos/manuales-del-ppsa/</w:t>
        </w:r>
      </w:hyperlink>
    </w:p>
  </w:footnote>
  <w:footnote w:id="6">
    <w:p w14:paraId="1FC077F5" w14:textId="1D3B687B" w:rsidR="009E003E" w:rsidRDefault="009E003E" w:rsidP="00E92092">
      <w:pPr>
        <w:pStyle w:val="FootnoteText"/>
        <w:spacing w:before="0" w:after="0" w:line="240" w:lineRule="auto"/>
      </w:pPr>
      <w:r>
        <w:rPr>
          <w:rStyle w:val="FootnoteReference"/>
        </w:rPr>
        <w:footnoteRef/>
      </w:r>
      <w:r>
        <w:t xml:space="preserve"> Payments are done in </w:t>
      </w:r>
      <w:r w:rsidRPr="009E003E">
        <w:rPr>
          <w:i/>
          <w:iCs/>
        </w:rPr>
        <w:t>colones</w:t>
      </w:r>
      <w:r>
        <w:t>, so the amounts in dollars are not exact and subjected to the corresponding exchange rate.</w:t>
      </w:r>
    </w:p>
  </w:footnote>
  <w:footnote w:id="7">
    <w:p w14:paraId="307DDBAF" w14:textId="6678050B" w:rsidR="009E003E" w:rsidRDefault="009E003E" w:rsidP="00E92092">
      <w:pPr>
        <w:pStyle w:val="FootnoteText"/>
        <w:spacing w:before="0" w:after="0" w:line="240" w:lineRule="auto"/>
      </w:pPr>
      <w:r>
        <w:rPr>
          <w:rStyle w:val="FootnoteReference"/>
        </w:rPr>
        <w:footnoteRef/>
      </w:r>
      <w:r>
        <w:t xml:space="preserve"> Minimum 350 trees and maximum 3500 trees per PES contract.</w:t>
      </w:r>
    </w:p>
  </w:footnote>
  <w:footnote w:id="8">
    <w:p w14:paraId="231E7A53" w14:textId="125DC609" w:rsidR="00785C0D" w:rsidRDefault="00785C0D" w:rsidP="00770326">
      <w:pPr>
        <w:pStyle w:val="FootnoteText"/>
        <w:spacing w:before="0" w:after="0" w:line="240" w:lineRule="auto"/>
      </w:pPr>
      <w:r>
        <w:rPr>
          <w:rStyle w:val="FootnoteReference"/>
        </w:rPr>
        <w:footnoteRef/>
      </w:r>
      <w:r>
        <w:t xml:space="preserve"> See </w:t>
      </w:r>
      <w:r w:rsidRPr="00770326">
        <w:t>https://www.fonafifo.go.cr/es/transparencia-institucional/</w:t>
      </w:r>
    </w:p>
  </w:footnote>
  <w:footnote w:id="9">
    <w:p w14:paraId="0AC63BC2" w14:textId="7421A5AD" w:rsidR="00785C0D" w:rsidRDefault="00785C0D" w:rsidP="00660ADC">
      <w:pPr>
        <w:pStyle w:val="FootnoteText"/>
        <w:spacing w:before="0" w:after="0" w:line="240" w:lineRule="auto"/>
      </w:pPr>
      <w:r>
        <w:rPr>
          <w:rStyle w:val="FootnoteReference"/>
        </w:rPr>
        <w:footnoteRef/>
      </w:r>
      <w:r>
        <w:t xml:space="preserve"> See internal audit report from 2014 at: </w:t>
      </w:r>
      <w:hyperlink r:id="rId8" w:history="1">
        <w:r w:rsidRPr="002957F6">
          <w:rPr>
            <w:rStyle w:val="Hyperlink"/>
          </w:rPr>
          <w:t>https://www.fonafifo.go.cr/media/1160/auditori-a-interna-2014.pdf</w:t>
        </w:r>
      </w:hyperlink>
    </w:p>
  </w:footnote>
  <w:footnote w:id="10">
    <w:p w14:paraId="22B43909" w14:textId="49DDCEEA" w:rsidR="00785C0D" w:rsidRDefault="00785C0D" w:rsidP="00660ADC">
      <w:pPr>
        <w:pStyle w:val="FootnoteText"/>
        <w:spacing w:before="0" w:after="0" w:line="240" w:lineRule="auto"/>
      </w:pPr>
      <w:r>
        <w:rPr>
          <w:rStyle w:val="FootnoteReference"/>
        </w:rPr>
        <w:footnoteRef/>
      </w:r>
      <w:r>
        <w:t xml:space="preserve"> See external audit report for 2017 at: </w:t>
      </w:r>
      <w:hyperlink r:id="rId9" w:history="1">
        <w:r w:rsidRPr="002957F6">
          <w:rPr>
            <w:rStyle w:val="Hyperlink"/>
          </w:rPr>
          <w:t>https://www.fonafifo.go.cr/media/2403/auditoria-fonafifo-2017.pdf</w:t>
        </w:r>
      </w:hyperlink>
    </w:p>
  </w:footnote>
  <w:footnote w:id="11">
    <w:p w14:paraId="2069182C" w14:textId="77777777" w:rsidR="00785C0D" w:rsidRPr="00B637B7" w:rsidRDefault="00785C0D" w:rsidP="00E84B1B">
      <w:pPr>
        <w:pStyle w:val="FootnoteText"/>
        <w:spacing w:after="0" w:line="240" w:lineRule="auto"/>
      </w:pPr>
      <w:r>
        <w:rPr>
          <w:rStyle w:val="FootnoteReference"/>
        </w:rPr>
        <w:footnoteRef/>
      </w:r>
      <w:r>
        <w:t xml:space="preserve"> UNDP’s Social and Environmental Standards are </w:t>
      </w:r>
      <w:r w:rsidRPr="004E48A5">
        <w:rPr>
          <w:i/>
        </w:rPr>
        <w:t>available at</w:t>
      </w:r>
      <w:r>
        <w:t xml:space="preserve"> </w:t>
      </w:r>
      <w:hyperlink r:id="rId10" w:history="1">
        <w:r w:rsidRPr="00B637B7">
          <w:rPr>
            <w:rStyle w:val="Hyperlink"/>
          </w:rPr>
          <w:t>http://www.undp.org/content/undp/en/home/operations/social-and-environmental-sustainability-in-undp/SES.html</w:t>
        </w:r>
      </w:hyperlink>
      <w:r w:rsidRPr="00B637B7">
        <w:t xml:space="preserve">. </w:t>
      </w:r>
    </w:p>
  </w:footnote>
  <w:footnote w:id="12">
    <w:p w14:paraId="7AD1016F" w14:textId="77777777" w:rsidR="00785C0D" w:rsidRPr="007940F6" w:rsidRDefault="00785C0D" w:rsidP="00E84B1B">
      <w:pPr>
        <w:pStyle w:val="FootnoteText"/>
        <w:spacing w:before="0" w:after="0" w:line="240" w:lineRule="auto"/>
      </w:pPr>
      <w:r w:rsidRPr="007940F6">
        <w:rPr>
          <w:rStyle w:val="FootnoteReference"/>
        </w:rPr>
        <w:footnoteRef/>
      </w:r>
      <w:r w:rsidRPr="007940F6">
        <w:t xml:space="preserve"> The SESP is </w:t>
      </w:r>
      <w:r w:rsidRPr="007940F6">
        <w:rPr>
          <w:i/>
        </w:rPr>
        <w:t>available at</w:t>
      </w:r>
      <w:r w:rsidRPr="007940F6">
        <w:t xml:space="preserve"> </w:t>
      </w:r>
      <w:hyperlink r:id="rId11" w:history="1">
        <w:r w:rsidRPr="00B637B7">
          <w:rPr>
            <w:rStyle w:val="Hyperlink"/>
          </w:rPr>
          <w:t>http://www.undp.org/content/undp/en/home/librarypage/operations1/undp-social-and-environmental-screening-procedure.html</w:t>
        </w:r>
      </w:hyperlink>
      <w:r w:rsidRPr="00B637B7">
        <w:t>.</w:t>
      </w:r>
      <w:r w:rsidRPr="007940F6">
        <w:t xml:space="preserve"> </w:t>
      </w:r>
    </w:p>
  </w:footnote>
  <w:footnote w:id="13">
    <w:p w14:paraId="3F30FB08" w14:textId="77777777" w:rsidR="00785C0D" w:rsidRDefault="00785C0D" w:rsidP="00E84B1B">
      <w:pPr>
        <w:pStyle w:val="FootnoteText"/>
        <w:spacing w:before="0" w:after="0" w:line="240" w:lineRule="auto"/>
      </w:pPr>
      <w:r w:rsidRPr="007940F6">
        <w:rPr>
          <w:rStyle w:val="FootnoteReference"/>
        </w:rPr>
        <w:footnoteRef/>
      </w:r>
      <w:r w:rsidRPr="007940F6">
        <w:t xml:space="preserve"> Applicable law means national law and obligations under international law, whichever is the higher standard (see p. 6 of the SES).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815CE1" w14:textId="2DBECDF7" w:rsidR="00A04C6F" w:rsidRPr="00FB1683" w:rsidRDefault="00F70ABF" w:rsidP="00F70ABF">
    <w:pPr>
      <w:pStyle w:val="Header"/>
      <w:tabs>
        <w:tab w:val="clear" w:pos="9360"/>
      </w:tabs>
      <w:rPr>
        <w:b/>
        <w:bCs/>
        <w:sz w:val="24"/>
        <w:szCs w:val="24"/>
      </w:rPr>
    </w:pPr>
    <w:r w:rsidRPr="00FE6217">
      <w:rPr>
        <w:rFonts w:ascii="Arial" w:hAnsi="Arial"/>
        <w:b/>
        <w:bCs/>
        <w:noProof/>
        <w:lang w:val="es-CR" w:eastAsia="es-CR"/>
      </w:rPr>
      <w:drawing>
        <wp:anchor distT="0" distB="0" distL="114300" distR="114300" simplePos="0" relativeHeight="251659264" behindDoc="1" locked="0" layoutInCell="1" allowOverlap="1" wp14:anchorId="020D74B5" wp14:editId="797405E5">
          <wp:simplePos x="0" y="0"/>
          <wp:positionH relativeFrom="column">
            <wp:posOffset>0</wp:posOffset>
          </wp:positionH>
          <wp:positionV relativeFrom="paragraph">
            <wp:posOffset>-209550</wp:posOffset>
          </wp:positionV>
          <wp:extent cx="1019175" cy="645819"/>
          <wp:effectExtent l="0" t="0" r="0" b="190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GCF_cmyk.jpg"/>
                  <pic:cNvPicPr/>
                </pic:nvPicPr>
                <pic:blipFill rotWithShape="1">
                  <a:blip r:embed="rId1" cstate="print">
                    <a:extLst>
                      <a:ext uri="{28A0092B-C50C-407E-A947-70E740481C1C}">
                        <a14:useLocalDpi xmlns:a14="http://schemas.microsoft.com/office/drawing/2010/main"/>
                      </a:ext>
                    </a:extLst>
                  </a:blip>
                  <a:srcRect/>
                  <a:stretch/>
                </pic:blipFill>
                <pic:spPr bwMode="auto">
                  <a:xfrm>
                    <a:off x="0" y="0"/>
                    <a:ext cx="1019175" cy="645819"/>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ab/>
    </w:r>
    <w:r w:rsidR="00FB1683">
      <w:t xml:space="preserve">                                                                        </w:t>
    </w:r>
    <w:r w:rsidR="00216E97" w:rsidRPr="00E37CBE">
      <w:rPr>
        <w:b/>
        <w:bCs/>
        <w:sz w:val="28"/>
        <w:szCs w:val="28"/>
      </w:rPr>
      <w:t>Annex XIII</w:t>
    </w:r>
    <w:r w:rsidR="00880B2A" w:rsidRPr="00E37CBE">
      <w:rPr>
        <w:b/>
        <w:bCs/>
        <w:sz w:val="28"/>
        <w:szCs w:val="28"/>
      </w:rPr>
      <w:t xml:space="preserve"> (h) </w:t>
    </w:r>
    <w:r w:rsidR="00A04C6F" w:rsidRPr="00E37CBE">
      <w:rPr>
        <w:b/>
        <w:bCs/>
        <w:sz w:val="28"/>
        <w:szCs w:val="28"/>
      </w:rPr>
      <w:t xml:space="preserve">Environmental and Social Assessment </w:t>
    </w:r>
  </w:p>
  <w:p w14:paraId="713DD66F" w14:textId="45D19454" w:rsidR="000F0003" w:rsidRDefault="000F000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E5064"/>
    <w:multiLevelType w:val="hybridMultilevel"/>
    <w:tmpl w:val="B72E11E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EB3733"/>
    <w:multiLevelType w:val="hybridMultilevel"/>
    <w:tmpl w:val="2634F6E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AC44C2"/>
    <w:multiLevelType w:val="hybridMultilevel"/>
    <w:tmpl w:val="336285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490B63"/>
    <w:multiLevelType w:val="hybridMultilevel"/>
    <w:tmpl w:val="3D4E329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12680D"/>
    <w:multiLevelType w:val="hybridMultilevel"/>
    <w:tmpl w:val="19BE092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91190A"/>
    <w:multiLevelType w:val="hybridMultilevel"/>
    <w:tmpl w:val="9C307D5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483D42"/>
    <w:multiLevelType w:val="hybridMultilevel"/>
    <w:tmpl w:val="AB5EA83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5E7FAD"/>
    <w:multiLevelType w:val="hybridMultilevel"/>
    <w:tmpl w:val="B904805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A72BF1"/>
    <w:multiLevelType w:val="hybridMultilevel"/>
    <w:tmpl w:val="B3F08C08"/>
    <w:lvl w:ilvl="0" w:tplc="74E058D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B24BA5"/>
    <w:multiLevelType w:val="hybridMultilevel"/>
    <w:tmpl w:val="564C104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790833"/>
    <w:multiLevelType w:val="hybridMultilevel"/>
    <w:tmpl w:val="875EB88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A46BA1"/>
    <w:multiLevelType w:val="hybridMultilevel"/>
    <w:tmpl w:val="8CB8FB0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5C7317"/>
    <w:multiLevelType w:val="hybridMultilevel"/>
    <w:tmpl w:val="363AC57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E57220"/>
    <w:multiLevelType w:val="hybridMultilevel"/>
    <w:tmpl w:val="E9DE9FE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FCA0FF2"/>
    <w:multiLevelType w:val="hybridMultilevel"/>
    <w:tmpl w:val="B6B01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846210"/>
    <w:multiLevelType w:val="hybridMultilevel"/>
    <w:tmpl w:val="A6DCF73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A1C09DD"/>
    <w:multiLevelType w:val="hybridMultilevel"/>
    <w:tmpl w:val="607CE61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A2F604C"/>
    <w:multiLevelType w:val="hybridMultilevel"/>
    <w:tmpl w:val="4AEC90D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AD130B0"/>
    <w:multiLevelType w:val="hybridMultilevel"/>
    <w:tmpl w:val="24D08E7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D134C42"/>
    <w:multiLevelType w:val="hybridMultilevel"/>
    <w:tmpl w:val="8B48CD4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C45374"/>
    <w:multiLevelType w:val="hybridMultilevel"/>
    <w:tmpl w:val="A77A962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0095209"/>
    <w:multiLevelType w:val="hybridMultilevel"/>
    <w:tmpl w:val="F954B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2224B80"/>
    <w:multiLevelType w:val="hybridMultilevel"/>
    <w:tmpl w:val="720A77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37F197B"/>
    <w:multiLevelType w:val="multilevel"/>
    <w:tmpl w:val="7E947F3E"/>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4" w15:restartNumberingAfterBreak="0">
    <w:nsid w:val="48C85C43"/>
    <w:multiLevelType w:val="hybridMultilevel"/>
    <w:tmpl w:val="912A71C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50284C"/>
    <w:multiLevelType w:val="hybridMultilevel"/>
    <w:tmpl w:val="291C93DA"/>
    <w:lvl w:ilvl="0" w:tplc="08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D4C1287"/>
    <w:multiLevelType w:val="hybridMultilevel"/>
    <w:tmpl w:val="D426738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D707527"/>
    <w:multiLevelType w:val="hybridMultilevel"/>
    <w:tmpl w:val="4F1E94A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EFB18B9"/>
    <w:multiLevelType w:val="hybridMultilevel"/>
    <w:tmpl w:val="47E23CC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28B4A79"/>
    <w:multiLevelType w:val="hybridMultilevel"/>
    <w:tmpl w:val="B0BE1CD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4D34CEC"/>
    <w:multiLevelType w:val="hybridMultilevel"/>
    <w:tmpl w:val="6220D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6D4306E"/>
    <w:multiLevelType w:val="hybridMultilevel"/>
    <w:tmpl w:val="72D6E48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706141D"/>
    <w:multiLevelType w:val="hybridMultilevel"/>
    <w:tmpl w:val="553EA9F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A10287A"/>
    <w:multiLevelType w:val="hybridMultilevel"/>
    <w:tmpl w:val="03CE6E50"/>
    <w:lvl w:ilvl="0" w:tplc="08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653CCF"/>
    <w:multiLevelType w:val="hybridMultilevel"/>
    <w:tmpl w:val="030AD99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C775A43"/>
    <w:multiLevelType w:val="hybridMultilevel"/>
    <w:tmpl w:val="11AE857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CE43D2"/>
    <w:multiLevelType w:val="hybridMultilevel"/>
    <w:tmpl w:val="2C922CD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9544F87"/>
    <w:multiLevelType w:val="hybridMultilevel"/>
    <w:tmpl w:val="82DC919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B70C61"/>
    <w:multiLevelType w:val="hybridMultilevel"/>
    <w:tmpl w:val="0A68AFE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ABB25F6"/>
    <w:multiLevelType w:val="hybridMultilevel"/>
    <w:tmpl w:val="0FFC9C8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12"/>
  </w:num>
  <w:num w:numId="3">
    <w:abstractNumId w:val="9"/>
  </w:num>
  <w:num w:numId="4">
    <w:abstractNumId w:val="31"/>
  </w:num>
  <w:num w:numId="5">
    <w:abstractNumId w:val="14"/>
  </w:num>
  <w:num w:numId="6">
    <w:abstractNumId w:val="2"/>
  </w:num>
  <w:num w:numId="7">
    <w:abstractNumId w:val="19"/>
  </w:num>
  <w:num w:numId="8">
    <w:abstractNumId w:val="33"/>
  </w:num>
  <w:num w:numId="9">
    <w:abstractNumId w:val="25"/>
  </w:num>
  <w:num w:numId="10">
    <w:abstractNumId w:val="20"/>
  </w:num>
  <w:num w:numId="11">
    <w:abstractNumId w:val="29"/>
  </w:num>
  <w:num w:numId="12">
    <w:abstractNumId w:val="11"/>
  </w:num>
  <w:num w:numId="13">
    <w:abstractNumId w:val="13"/>
  </w:num>
  <w:num w:numId="14">
    <w:abstractNumId w:val="34"/>
  </w:num>
  <w:num w:numId="15">
    <w:abstractNumId w:val="18"/>
  </w:num>
  <w:num w:numId="16">
    <w:abstractNumId w:val="16"/>
  </w:num>
  <w:num w:numId="17">
    <w:abstractNumId w:val="26"/>
  </w:num>
  <w:num w:numId="18">
    <w:abstractNumId w:val="7"/>
  </w:num>
  <w:num w:numId="19">
    <w:abstractNumId w:val="1"/>
  </w:num>
  <w:num w:numId="20">
    <w:abstractNumId w:val="32"/>
  </w:num>
  <w:num w:numId="21">
    <w:abstractNumId w:val="3"/>
  </w:num>
  <w:num w:numId="22">
    <w:abstractNumId w:val="36"/>
  </w:num>
  <w:num w:numId="23">
    <w:abstractNumId w:val="6"/>
  </w:num>
  <w:num w:numId="24">
    <w:abstractNumId w:val="24"/>
  </w:num>
  <w:num w:numId="25">
    <w:abstractNumId w:val="39"/>
  </w:num>
  <w:num w:numId="26">
    <w:abstractNumId w:val="0"/>
  </w:num>
  <w:num w:numId="27">
    <w:abstractNumId w:val="10"/>
  </w:num>
  <w:num w:numId="28">
    <w:abstractNumId w:val="4"/>
  </w:num>
  <w:num w:numId="29">
    <w:abstractNumId w:val="38"/>
  </w:num>
  <w:num w:numId="30">
    <w:abstractNumId w:val="37"/>
  </w:num>
  <w:num w:numId="31">
    <w:abstractNumId w:val="5"/>
  </w:num>
  <w:num w:numId="32">
    <w:abstractNumId w:val="35"/>
  </w:num>
  <w:num w:numId="33">
    <w:abstractNumId w:val="15"/>
  </w:num>
  <w:num w:numId="34">
    <w:abstractNumId w:val="17"/>
  </w:num>
  <w:num w:numId="35">
    <w:abstractNumId w:val="28"/>
  </w:num>
  <w:num w:numId="36">
    <w:abstractNumId w:val="27"/>
  </w:num>
  <w:num w:numId="37">
    <w:abstractNumId w:val="8"/>
  </w:num>
  <w:num w:numId="38">
    <w:abstractNumId w:val="30"/>
  </w:num>
  <w:num w:numId="39">
    <w:abstractNumId w:val="21"/>
  </w:num>
  <w:num w:numId="4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4B1B"/>
    <w:rsid w:val="00080A25"/>
    <w:rsid w:val="000B6EE4"/>
    <w:rsid w:val="000F0003"/>
    <w:rsid w:val="00141154"/>
    <w:rsid w:val="001D7B3B"/>
    <w:rsid w:val="001E14D3"/>
    <w:rsid w:val="001E3609"/>
    <w:rsid w:val="00204EFC"/>
    <w:rsid w:val="00212C42"/>
    <w:rsid w:val="00216E97"/>
    <w:rsid w:val="002804F3"/>
    <w:rsid w:val="002D49D6"/>
    <w:rsid w:val="003064B4"/>
    <w:rsid w:val="00320485"/>
    <w:rsid w:val="00346E20"/>
    <w:rsid w:val="00347D85"/>
    <w:rsid w:val="003A4F92"/>
    <w:rsid w:val="003F58FA"/>
    <w:rsid w:val="00416B5E"/>
    <w:rsid w:val="004D48CD"/>
    <w:rsid w:val="0052156F"/>
    <w:rsid w:val="00544EB7"/>
    <w:rsid w:val="00546E8A"/>
    <w:rsid w:val="00570302"/>
    <w:rsid w:val="00574295"/>
    <w:rsid w:val="005926C9"/>
    <w:rsid w:val="00611CF8"/>
    <w:rsid w:val="00637DD2"/>
    <w:rsid w:val="006511C3"/>
    <w:rsid w:val="00660ADC"/>
    <w:rsid w:val="0066424A"/>
    <w:rsid w:val="00693944"/>
    <w:rsid w:val="006A517A"/>
    <w:rsid w:val="00712FF3"/>
    <w:rsid w:val="00731E85"/>
    <w:rsid w:val="00770326"/>
    <w:rsid w:val="00785C0D"/>
    <w:rsid w:val="007B0885"/>
    <w:rsid w:val="007C2F31"/>
    <w:rsid w:val="00825A07"/>
    <w:rsid w:val="00830619"/>
    <w:rsid w:val="00880B2A"/>
    <w:rsid w:val="0088534A"/>
    <w:rsid w:val="008C2BA0"/>
    <w:rsid w:val="008F3D57"/>
    <w:rsid w:val="009328C7"/>
    <w:rsid w:val="0094124C"/>
    <w:rsid w:val="00994BF3"/>
    <w:rsid w:val="009E003E"/>
    <w:rsid w:val="009E4994"/>
    <w:rsid w:val="00A04C6F"/>
    <w:rsid w:val="00A53C87"/>
    <w:rsid w:val="00AA04AA"/>
    <w:rsid w:val="00AF774B"/>
    <w:rsid w:val="00B05E06"/>
    <w:rsid w:val="00B365F3"/>
    <w:rsid w:val="00B578E8"/>
    <w:rsid w:val="00B64ADA"/>
    <w:rsid w:val="00B6687F"/>
    <w:rsid w:val="00B979FC"/>
    <w:rsid w:val="00BA2F42"/>
    <w:rsid w:val="00BF76A5"/>
    <w:rsid w:val="00C05554"/>
    <w:rsid w:val="00C21D47"/>
    <w:rsid w:val="00C22ADF"/>
    <w:rsid w:val="00C2688C"/>
    <w:rsid w:val="00C60146"/>
    <w:rsid w:val="00CC3D23"/>
    <w:rsid w:val="00CD6C34"/>
    <w:rsid w:val="00D14D7A"/>
    <w:rsid w:val="00D16492"/>
    <w:rsid w:val="00D17F3E"/>
    <w:rsid w:val="00D20ACC"/>
    <w:rsid w:val="00D22F8F"/>
    <w:rsid w:val="00D42F37"/>
    <w:rsid w:val="00D90375"/>
    <w:rsid w:val="00D943D5"/>
    <w:rsid w:val="00DB2D42"/>
    <w:rsid w:val="00DF19C6"/>
    <w:rsid w:val="00E37CBE"/>
    <w:rsid w:val="00E84B1B"/>
    <w:rsid w:val="00E8508B"/>
    <w:rsid w:val="00E92092"/>
    <w:rsid w:val="00EB4548"/>
    <w:rsid w:val="00EC610A"/>
    <w:rsid w:val="00F53241"/>
    <w:rsid w:val="00F70ABF"/>
    <w:rsid w:val="00FA6121"/>
    <w:rsid w:val="00FB1683"/>
    <w:rsid w:val="00FD2D0F"/>
    <w:rsid w:val="00FF67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B29C1E"/>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imes New Roman"/>
        <w:sz w:val="22"/>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E84B1B"/>
    <w:pPr>
      <w:spacing w:before="120" w:after="120" w:line="260" w:lineRule="exact"/>
    </w:pPr>
    <w:rPr>
      <w:rFonts w:cs="Arial"/>
      <w:sz w:val="20"/>
      <w:szCs w:val="20"/>
    </w:rPr>
  </w:style>
  <w:style w:type="paragraph" w:styleId="Heading1">
    <w:name w:val="heading 1"/>
    <w:basedOn w:val="Normal"/>
    <w:next w:val="Normal"/>
    <w:link w:val="Heading1Char"/>
    <w:uiPriority w:val="9"/>
    <w:qFormat/>
    <w:rsid w:val="00E84B1B"/>
    <w:pPr>
      <w:keepNext/>
      <w:keepLines/>
      <w:numPr>
        <w:numId w:val="1"/>
      </w:numPr>
      <w:spacing w:before="360" w:after="240"/>
      <w:outlineLvl w:val="0"/>
    </w:pPr>
    <w:rPr>
      <w:rFonts w:eastAsiaTheme="majorEastAsia" w:cstheme="majorBidi"/>
      <w:b/>
      <w:color w:val="000000" w:themeColor="text1"/>
      <w:sz w:val="24"/>
      <w:szCs w:val="32"/>
    </w:rPr>
  </w:style>
  <w:style w:type="paragraph" w:styleId="Heading2">
    <w:name w:val="heading 2"/>
    <w:basedOn w:val="Normal"/>
    <w:next w:val="Normal"/>
    <w:link w:val="Heading2Char"/>
    <w:uiPriority w:val="9"/>
    <w:unhideWhenUsed/>
    <w:qFormat/>
    <w:rsid w:val="00E84B1B"/>
    <w:pPr>
      <w:keepNext/>
      <w:keepLines/>
      <w:numPr>
        <w:ilvl w:val="1"/>
        <w:numId w:val="1"/>
      </w:numPr>
      <w:spacing w:before="240" w:after="60"/>
      <w:outlineLvl w:val="1"/>
    </w:pPr>
    <w:rPr>
      <w:rFonts w:eastAsiaTheme="majorEastAsia" w:cstheme="majorBidi"/>
      <w:b/>
      <w:color w:val="000000" w:themeColor="text1"/>
      <w:sz w:val="22"/>
      <w:szCs w:val="26"/>
    </w:rPr>
  </w:style>
  <w:style w:type="paragraph" w:styleId="Heading3">
    <w:name w:val="heading 3"/>
    <w:basedOn w:val="Normal"/>
    <w:next w:val="Normal"/>
    <w:link w:val="Heading3Char"/>
    <w:uiPriority w:val="9"/>
    <w:semiHidden/>
    <w:unhideWhenUsed/>
    <w:qFormat/>
    <w:rsid w:val="00E84B1B"/>
    <w:pPr>
      <w:keepNext/>
      <w:keepLines/>
      <w:numPr>
        <w:ilvl w:val="2"/>
        <w:numId w:val="1"/>
      </w:numPr>
      <w:spacing w:before="4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E84B1B"/>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E84B1B"/>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E84B1B"/>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E84B1B"/>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E84B1B"/>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E84B1B"/>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84B1B"/>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E84B1B"/>
    <w:rPr>
      <w:rFonts w:ascii="Times New Roman" w:hAnsi="Times New Roman"/>
      <w:sz w:val="18"/>
      <w:szCs w:val="18"/>
    </w:rPr>
  </w:style>
  <w:style w:type="character" w:customStyle="1" w:styleId="Heading1Char">
    <w:name w:val="Heading 1 Char"/>
    <w:basedOn w:val="DefaultParagraphFont"/>
    <w:link w:val="Heading1"/>
    <w:uiPriority w:val="9"/>
    <w:rsid w:val="00E84B1B"/>
    <w:rPr>
      <w:rFonts w:eastAsiaTheme="majorEastAsia" w:cstheme="majorBidi"/>
      <w:b/>
      <w:color w:val="000000" w:themeColor="text1"/>
      <w:sz w:val="24"/>
      <w:szCs w:val="32"/>
    </w:rPr>
  </w:style>
  <w:style w:type="character" w:customStyle="1" w:styleId="Heading2Char">
    <w:name w:val="Heading 2 Char"/>
    <w:basedOn w:val="DefaultParagraphFont"/>
    <w:link w:val="Heading2"/>
    <w:uiPriority w:val="9"/>
    <w:rsid w:val="00E84B1B"/>
    <w:rPr>
      <w:rFonts w:eastAsiaTheme="majorEastAsia" w:cstheme="majorBidi"/>
      <w:b/>
      <w:color w:val="000000" w:themeColor="text1"/>
      <w:szCs w:val="26"/>
    </w:rPr>
  </w:style>
  <w:style w:type="character" w:customStyle="1" w:styleId="Heading3Char">
    <w:name w:val="Heading 3 Char"/>
    <w:basedOn w:val="DefaultParagraphFont"/>
    <w:link w:val="Heading3"/>
    <w:uiPriority w:val="9"/>
    <w:semiHidden/>
    <w:rsid w:val="00E84B1B"/>
    <w:rPr>
      <w:rFonts w:asciiTheme="majorHAnsi" w:eastAsiaTheme="majorEastAsia" w:hAnsiTheme="majorHAnsi" w:cstheme="majorBidi"/>
      <w:color w:val="1F3763" w:themeColor="accent1" w:themeShade="7F"/>
      <w:sz w:val="24"/>
    </w:rPr>
  </w:style>
  <w:style w:type="character" w:customStyle="1" w:styleId="Heading4Char">
    <w:name w:val="Heading 4 Char"/>
    <w:basedOn w:val="DefaultParagraphFont"/>
    <w:link w:val="Heading4"/>
    <w:uiPriority w:val="9"/>
    <w:semiHidden/>
    <w:rsid w:val="00E84B1B"/>
    <w:rPr>
      <w:rFonts w:asciiTheme="majorHAnsi" w:eastAsiaTheme="majorEastAsia" w:hAnsiTheme="majorHAnsi" w:cstheme="majorBidi"/>
      <w:i/>
      <w:iCs/>
      <w:color w:val="2F5496" w:themeColor="accent1" w:themeShade="BF"/>
      <w:sz w:val="20"/>
      <w:szCs w:val="20"/>
    </w:rPr>
  </w:style>
  <w:style w:type="character" w:customStyle="1" w:styleId="Heading5Char">
    <w:name w:val="Heading 5 Char"/>
    <w:basedOn w:val="DefaultParagraphFont"/>
    <w:link w:val="Heading5"/>
    <w:uiPriority w:val="9"/>
    <w:semiHidden/>
    <w:rsid w:val="00E84B1B"/>
    <w:rPr>
      <w:rFonts w:asciiTheme="majorHAnsi" w:eastAsiaTheme="majorEastAsia" w:hAnsiTheme="majorHAnsi" w:cstheme="majorBidi"/>
      <w:color w:val="2F5496" w:themeColor="accent1" w:themeShade="BF"/>
      <w:sz w:val="20"/>
      <w:szCs w:val="20"/>
    </w:rPr>
  </w:style>
  <w:style w:type="character" w:customStyle="1" w:styleId="Heading6Char">
    <w:name w:val="Heading 6 Char"/>
    <w:basedOn w:val="DefaultParagraphFont"/>
    <w:link w:val="Heading6"/>
    <w:uiPriority w:val="9"/>
    <w:semiHidden/>
    <w:rsid w:val="00E84B1B"/>
    <w:rPr>
      <w:rFonts w:asciiTheme="majorHAnsi" w:eastAsiaTheme="majorEastAsia" w:hAnsiTheme="majorHAnsi" w:cstheme="majorBidi"/>
      <w:color w:val="1F3763" w:themeColor="accent1" w:themeShade="7F"/>
      <w:sz w:val="20"/>
      <w:szCs w:val="20"/>
    </w:rPr>
  </w:style>
  <w:style w:type="character" w:customStyle="1" w:styleId="Heading7Char">
    <w:name w:val="Heading 7 Char"/>
    <w:basedOn w:val="DefaultParagraphFont"/>
    <w:link w:val="Heading7"/>
    <w:uiPriority w:val="9"/>
    <w:semiHidden/>
    <w:rsid w:val="00E84B1B"/>
    <w:rPr>
      <w:rFonts w:asciiTheme="majorHAnsi" w:eastAsiaTheme="majorEastAsia" w:hAnsiTheme="majorHAnsi" w:cstheme="majorBidi"/>
      <w:i/>
      <w:iCs/>
      <w:color w:val="1F3763" w:themeColor="accent1" w:themeShade="7F"/>
      <w:sz w:val="20"/>
      <w:szCs w:val="20"/>
    </w:rPr>
  </w:style>
  <w:style w:type="character" w:customStyle="1" w:styleId="Heading8Char">
    <w:name w:val="Heading 8 Char"/>
    <w:basedOn w:val="DefaultParagraphFont"/>
    <w:link w:val="Heading8"/>
    <w:uiPriority w:val="9"/>
    <w:semiHidden/>
    <w:rsid w:val="00E84B1B"/>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E84B1B"/>
    <w:rPr>
      <w:rFonts w:asciiTheme="majorHAnsi" w:eastAsiaTheme="majorEastAsia" w:hAnsiTheme="majorHAnsi" w:cstheme="majorBidi"/>
      <w:i/>
      <w:iCs/>
      <w:color w:val="272727" w:themeColor="text1" w:themeTint="D8"/>
      <w:sz w:val="21"/>
      <w:szCs w:val="21"/>
    </w:rPr>
  </w:style>
  <w:style w:type="paragraph" w:styleId="Header">
    <w:name w:val="header"/>
    <w:basedOn w:val="Normal"/>
    <w:link w:val="HeaderChar"/>
    <w:uiPriority w:val="99"/>
    <w:unhideWhenUsed/>
    <w:rsid w:val="00E84B1B"/>
    <w:pPr>
      <w:tabs>
        <w:tab w:val="center" w:pos="4680"/>
        <w:tab w:val="right" w:pos="9360"/>
      </w:tabs>
    </w:pPr>
  </w:style>
  <w:style w:type="character" w:customStyle="1" w:styleId="HeaderChar">
    <w:name w:val="Header Char"/>
    <w:basedOn w:val="DefaultParagraphFont"/>
    <w:link w:val="Header"/>
    <w:uiPriority w:val="99"/>
    <w:rsid w:val="00E84B1B"/>
    <w:rPr>
      <w:rFonts w:cs="Arial"/>
      <w:sz w:val="20"/>
      <w:szCs w:val="20"/>
    </w:rPr>
  </w:style>
  <w:style w:type="paragraph" w:styleId="Footer">
    <w:name w:val="footer"/>
    <w:basedOn w:val="Normal"/>
    <w:link w:val="FooterChar"/>
    <w:uiPriority w:val="99"/>
    <w:unhideWhenUsed/>
    <w:rsid w:val="00E84B1B"/>
    <w:pPr>
      <w:tabs>
        <w:tab w:val="center" w:pos="4680"/>
        <w:tab w:val="right" w:pos="9360"/>
      </w:tabs>
    </w:pPr>
  </w:style>
  <w:style w:type="character" w:customStyle="1" w:styleId="FooterChar">
    <w:name w:val="Footer Char"/>
    <w:basedOn w:val="DefaultParagraphFont"/>
    <w:link w:val="Footer"/>
    <w:uiPriority w:val="99"/>
    <w:rsid w:val="00E84B1B"/>
    <w:rPr>
      <w:rFonts w:cs="Arial"/>
      <w:sz w:val="20"/>
      <w:szCs w:val="20"/>
    </w:rPr>
  </w:style>
  <w:style w:type="paragraph" w:styleId="ListParagraph">
    <w:name w:val="List Paragraph"/>
    <w:basedOn w:val="Normal"/>
    <w:uiPriority w:val="34"/>
    <w:qFormat/>
    <w:rsid w:val="00E84B1B"/>
    <w:pPr>
      <w:ind w:left="720"/>
      <w:contextualSpacing/>
    </w:pPr>
  </w:style>
  <w:style w:type="character" w:styleId="Hyperlink">
    <w:name w:val="Hyperlink"/>
    <w:basedOn w:val="DefaultParagraphFont"/>
    <w:uiPriority w:val="99"/>
    <w:unhideWhenUsed/>
    <w:rsid w:val="00E84B1B"/>
    <w:rPr>
      <w:color w:val="0563C1" w:themeColor="hyperlink"/>
      <w:u w:val="single"/>
    </w:rPr>
  </w:style>
  <w:style w:type="character" w:customStyle="1" w:styleId="UnresolvedMention1">
    <w:name w:val="Unresolved Mention1"/>
    <w:basedOn w:val="DefaultParagraphFont"/>
    <w:uiPriority w:val="99"/>
    <w:rsid w:val="00E84B1B"/>
    <w:rPr>
      <w:color w:val="808080"/>
      <w:shd w:val="clear" w:color="auto" w:fill="E6E6E6"/>
    </w:rPr>
  </w:style>
  <w:style w:type="paragraph" w:styleId="NormalWeb">
    <w:name w:val="Normal (Web)"/>
    <w:basedOn w:val="Normal"/>
    <w:uiPriority w:val="99"/>
    <w:semiHidden/>
    <w:unhideWhenUsed/>
    <w:rsid w:val="00E84B1B"/>
    <w:pPr>
      <w:spacing w:before="100" w:beforeAutospacing="1" w:after="100" w:afterAutospacing="1"/>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rsid w:val="00E84B1B"/>
    <w:rPr>
      <w:sz w:val="18"/>
    </w:rPr>
  </w:style>
  <w:style w:type="character" w:customStyle="1" w:styleId="FootnoteTextChar">
    <w:name w:val="Footnote Text Char"/>
    <w:basedOn w:val="DefaultParagraphFont"/>
    <w:link w:val="FootnoteText"/>
    <w:uiPriority w:val="99"/>
    <w:rsid w:val="00E84B1B"/>
    <w:rPr>
      <w:rFonts w:cs="Arial"/>
      <w:sz w:val="18"/>
      <w:szCs w:val="20"/>
    </w:rPr>
  </w:style>
  <w:style w:type="character" w:styleId="FootnoteReference">
    <w:name w:val="footnote reference"/>
    <w:aliases w:val="ftref,16 Point,Superscript 6 Point,Footnotes refss,Texto de nota al pie,Appel note de bas de page,Ref. de nota al pi,Superscript 6 Point + 11 pt,Footnote Reference Char Char Char,Carattere Carattere Char Char Char Carattere Char"/>
    <w:basedOn w:val="DefaultParagraphFont"/>
    <w:uiPriority w:val="99"/>
    <w:unhideWhenUsed/>
    <w:rsid w:val="00E84B1B"/>
    <w:rPr>
      <w:vertAlign w:val="superscript"/>
    </w:rPr>
  </w:style>
  <w:style w:type="paragraph" w:customStyle="1" w:styleId="Footnote">
    <w:name w:val="Footnote"/>
    <w:basedOn w:val="FootnoteText"/>
    <w:qFormat/>
    <w:rsid w:val="00E84B1B"/>
    <w:pPr>
      <w:spacing w:after="60"/>
    </w:pPr>
    <w:rPr>
      <w:rFonts w:asciiTheme="majorHAnsi" w:eastAsia="ヒラギノ角ゴ Pro W3" w:hAnsiTheme="majorHAnsi" w:cs="Times New Roman"/>
      <w:color w:val="000000"/>
      <w:szCs w:val="24"/>
    </w:rPr>
  </w:style>
  <w:style w:type="character" w:styleId="PageNumber">
    <w:name w:val="page number"/>
    <w:basedOn w:val="DefaultParagraphFont"/>
    <w:uiPriority w:val="99"/>
    <w:semiHidden/>
    <w:unhideWhenUsed/>
    <w:rsid w:val="00E84B1B"/>
  </w:style>
  <w:style w:type="table" w:styleId="TableGrid">
    <w:name w:val="Table Grid"/>
    <w:basedOn w:val="TableNormal"/>
    <w:uiPriority w:val="39"/>
    <w:rsid w:val="00E84B1B"/>
    <w:rPr>
      <w:rFonts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84B1B"/>
    <w:rPr>
      <w:sz w:val="16"/>
      <w:szCs w:val="16"/>
    </w:rPr>
  </w:style>
  <w:style w:type="paragraph" w:styleId="CommentText">
    <w:name w:val="annotation text"/>
    <w:basedOn w:val="Normal"/>
    <w:link w:val="CommentTextChar"/>
    <w:uiPriority w:val="99"/>
    <w:semiHidden/>
    <w:unhideWhenUsed/>
    <w:rsid w:val="00E84B1B"/>
    <w:pPr>
      <w:spacing w:line="240" w:lineRule="auto"/>
    </w:pPr>
  </w:style>
  <w:style w:type="character" w:customStyle="1" w:styleId="CommentTextChar">
    <w:name w:val="Comment Text Char"/>
    <w:basedOn w:val="DefaultParagraphFont"/>
    <w:link w:val="CommentText"/>
    <w:uiPriority w:val="99"/>
    <w:semiHidden/>
    <w:rsid w:val="00E84B1B"/>
    <w:rPr>
      <w:rFonts w:cs="Arial"/>
      <w:sz w:val="20"/>
      <w:szCs w:val="20"/>
    </w:rPr>
  </w:style>
  <w:style w:type="paragraph" w:styleId="CommentSubject">
    <w:name w:val="annotation subject"/>
    <w:basedOn w:val="CommentText"/>
    <w:next w:val="CommentText"/>
    <w:link w:val="CommentSubjectChar"/>
    <w:uiPriority w:val="99"/>
    <w:semiHidden/>
    <w:unhideWhenUsed/>
    <w:rsid w:val="00E84B1B"/>
    <w:rPr>
      <w:b/>
      <w:bCs/>
    </w:rPr>
  </w:style>
  <w:style w:type="character" w:customStyle="1" w:styleId="CommentSubjectChar">
    <w:name w:val="Comment Subject Char"/>
    <w:basedOn w:val="CommentTextChar"/>
    <w:link w:val="CommentSubject"/>
    <w:uiPriority w:val="99"/>
    <w:semiHidden/>
    <w:rsid w:val="00E84B1B"/>
    <w:rPr>
      <w:rFonts w:cs="Arial"/>
      <w:b/>
      <w:bCs/>
      <w:sz w:val="20"/>
      <w:szCs w:val="20"/>
    </w:rPr>
  </w:style>
  <w:style w:type="character" w:styleId="FollowedHyperlink">
    <w:name w:val="FollowedHyperlink"/>
    <w:basedOn w:val="DefaultParagraphFont"/>
    <w:uiPriority w:val="99"/>
    <w:semiHidden/>
    <w:unhideWhenUsed/>
    <w:rsid w:val="00E84B1B"/>
    <w:rPr>
      <w:color w:val="954F72" w:themeColor="followedHyperlink"/>
      <w:u w:val="single"/>
    </w:rPr>
  </w:style>
  <w:style w:type="character" w:customStyle="1" w:styleId="Mencinsinresolver1">
    <w:name w:val="Mención sin resolver1"/>
    <w:basedOn w:val="DefaultParagraphFont"/>
    <w:uiPriority w:val="99"/>
    <w:semiHidden/>
    <w:unhideWhenUsed/>
    <w:rsid w:val="00E84B1B"/>
    <w:rPr>
      <w:color w:val="605E5C"/>
      <w:shd w:val="clear" w:color="auto" w:fill="E1DFDD"/>
    </w:rPr>
  </w:style>
  <w:style w:type="paragraph" w:styleId="Revision">
    <w:name w:val="Revision"/>
    <w:hidden/>
    <w:uiPriority w:val="99"/>
    <w:semiHidden/>
    <w:rsid w:val="00E84B1B"/>
    <w:rPr>
      <w:rFonts w:cs="Arial"/>
      <w:sz w:val="20"/>
      <w:szCs w:val="20"/>
    </w:rPr>
  </w:style>
  <w:style w:type="paragraph" w:customStyle="1" w:styleId="Default">
    <w:name w:val="Default"/>
    <w:rsid w:val="00E84B1B"/>
    <w:pPr>
      <w:autoSpaceDE w:val="0"/>
      <w:autoSpaceDN w:val="0"/>
      <w:adjustRightInd w:val="0"/>
    </w:pPr>
    <w:rPr>
      <w:rFonts w:ascii="Arial" w:hAnsi="Arial" w:cs="Arial"/>
      <w:color w:val="000000"/>
      <w:sz w:val="24"/>
    </w:rPr>
  </w:style>
  <w:style w:type="character" w:styleId="UnresolvedMention">
    <w:name w:val="Unresolved Mention"/>
    <w:basedOn w:val="DefaultParagraphFont"/>
    <w:uiPriority w:val="99"/>
    <w:rsid w:val="00C05554"/>
    <w:rPr>
      <w:color w:val="605E5C"/>
      <w:shd w:val="clear" w:color="auto" w:fill="E1DFDD"/>
    </w:rPr>
  </w:style>
  <w:style w:type="character" w:customStyle="1" w:styleId="tlid-translation">
    <w:name w:val="tlid-translation"/>
    <w:basedOn w:val="DefaultParagraphFont"/>
    <w:rsid w:val="00C22A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710336">
      <w:bodyDiv w:val="1"/>
      <w:marLeft w:val="0"/>
      <w:marRight w:val="0"/>
      <w:marTop w:val="0"/>
      <w:marBottom w:val="0"/>
      <w:divBdr>
        <w:top w:val="none" w:sz="0" w:space="0" w:color="auto"/>
        <w:left w:val="none" w:sz="0" w:space="0" w:color="auto"/>
        <w:bottom w:val="none" w:sz="0" w:space="0" w:color="auto"/>
        <w:right w:val="none" w:sz="0" w:space="0" w:color="auto"/>
      </w:divBdr>
    </w:div>
    <w:div w:id="456027565">
      <w:bodyDiv w:val="1"/>
      <w:marLeft w:val="0"/>
      <w:marRight w:val="0"/>
      <w:marTop w:val="0"/>
      <w:marBottom w:val="0"/>
      <w:divBdr>
        <w:top w:val="none" w:sz="0" w:space="0" w:color="auto"/>
        <w:left w:val="none" w:sz="0" w:space="0" w:color="auto"/>
        <w:bottom w:val="none" w:sz="0" w:space="0" w:color="auto"/>
        <w:right w:val="none" w:sz="0" w:space="0" w:color="auto"/>
      </w:divBdr>
    </w:div>
    <w:div w:id="748429641">
      <w:bodyDiv w:val="1"/>
      <w:marLeft w:val="0"/>
      <w:marRight w:val="0"/>
      <w:marTop w:val="0"/>
      <w:marBottom w:val="0"/>
      <w:divBdr>
        <w:top w:val="none" w:sz="0" w:space="0" w:color="auto"/>
        <w:left w:val="none" w:sz="0" w:space="0" w:color="auto"/>
        <w:bottom w:val="none" w:sz="0" w:space="0" w:color="auto"/>
        <w:right w:val="none" w:sz="0" w:space="0" w:color="auto"/>
      </w:divBdr>
    </w:div>
    <w:div w:id="794102362">
      <w:bodyDiv w:val="1"/>
      <w:marLeft w:val="0"/>
      <w:marRight w:val="0"/>
      <w:marTop w:val="0"/>
      <w:marBottom w:val="0"/>
      <w:divBdr>
        <w:top w:val="none" w:sz="0" w:space="0" w:color="auto"/>
        <w:left w:val="none" w:sz="0" w:space="0" w:color="auto"/>
        <w:bottom w:val="none" w:sz="0" w:space="0" w:color="auto"/>
        <w:right w:val="none" w:sz="0" w:space="0" w:color="auto"/>
      </w:divBdr>
    </w:div>
    <w:div w:id="867984665">
      <w:bodyDiv w:val="1"/>
      <w:marLeft w:val="0"/>
      <w:marRight w:val="0"/>
      <w:marTop w:val="0"/>
      <w:marBottom w:val="0"/>
      <w:divBdr>
        <w:top w:val="none" w:sz="0" w:space="0" w:color="auto"/>
        <w:left w:val="none" w:sz="0" w:space="0" w:color="auto"/>
        <w:bottom w:val="none" w:sz="0" w:space="0" w:color="auto"/>
        <w:right w:val="none" w:sz="0" w:space="0" w:color="auto"/>
      </w:divBdr>
    </w:div>
    <w:div w:id="874201049">
      <w:bodyDiv w:val="1"/>
      <w:marLeft w:val="0"/>
      <w:marRight w:val="0"/>
      <w:marTop w:val="0"/>
      <w:marBottom w:val="0"/>
      <w:divBdr>
        <w:top w:val="none" w:sz="0" w:space="0" w:color="auto"/>
        <w:left w:val="none" w:sz="0" w:space="0" w:color="auto"/>
        <w:bottom w:val="none" w:sz="0" w:space="0" w:color="auto"/>
        <w:right w:val="none" w:sz="0" w:space="0" w:color="auto"/>
      </w:divBdr>
    </w:div>
    <w:div w:id="976836022">
      <w:bodyDiv w:val="1"/>
      <w:marLeft w:val="0"/>
      <w:marRight w:val="0"/>
      <w:marTop w:val="0"/>
      <w:marBottom w:val="0"/>
      <w:divBdr>
        <w:top w:val="none" w:sz="0" w:space="0" w:color="auto"/>
        <w:left w:val="none" w:sz="0" w:space="0" w:color="auto"/>
        <w:bottom w:val="none" w:sz="0" w:space="0" w:color="auto"/>
        <w:right w:val="none" w:sz="0" w:space="0" w:color="auto"/>
      </w:divBdr>
    </w:div>
    <w:div w:id="1121917737">
      <w:bodyDiv w:val="1"/>
      <w:marLeft w:val="0"/>
      <w:marRight w:val="0"/>
      <w:marTop w:val="0"/>
      <w:marBottom w:val="0"/>
      <w:divBdr>
        <w:top w:val="none" w:sz="0" w:space="0" w:color="auto"/>
        <w:left w:val="none" w:sz="0" w:space="0" w:color="auto"/>
        <w:bottom w:val="none" w:sz="0" w:space="0" w:color="auto"/>
        <w:right w:val="none" w:sz="0" w:space="0" w:color="auto"/>
      </w:divBdr>
    </w:div>
    <w:div w:id="1272277981">
      <w:bodyDiv w:val="1"/>
      <w:marLeft w:val="0"/>
      <w:marRight w:val="0"/>
      <w:marTop w:val="0"/>
      <w:marBottom w:val="0"/>
      <w:divBdr>
        <w:top w:val="none" w:sz="0" w:space="0" w:color="auto"/>
        <w:left w:val="none" w:sz="0" w:space="0" w:color="auto"/>
        <w:bottom w:val="none" w:sz="0" w:space="0" w:color="auto"/>
        <w:right w:val="none" w:sz="0" w:space="0" w:color="auto"/>
      </w:divBdr>
    </w:div>
    <w:div w:id="1277911947">
      <w:bodyDiv w:val="1"/>
      <w:marLeft w:val="0"/>
      <w:marRight w:val="0"/>
      <w:marTop w:val="0"/>
      <w:marBottom w:val="0"/>
      <w:divBdr>
        <w:top w:val="none" w:sz="0" w:space="0" w:color="auto"/>
        <w:left w:val="none" w:sz="0" w:space="0" w:color="auto"/>
        <w:bottom w:val="none" w:sz="0" w:space="0" w:color="auto"/>
        <w:right w:val="none" w:sz="0" w:space="0" w:color="auto"/>
      </w:divBdr>
    </w:div>
    <w:div w:id="1431897226">
      <w:bodyDiv w:val="1"/>
      <w:marLeft w:val="0"/>
      <w:marRight w:val="0"/>
      <w:marTop w:val="0"/>
      <w:marBottom w:val="0"/>
      <w:divBdr>
        <w:top w:val="none" w:sz="0" w:space="0" w:color="auto"/>
        <w:left w:val="none" w:sz="0" w:space="0" w:color="auto"/>
        <w:bottom w:val="none" w:sz="0" w:space="0" w:color="auto"/>
        <w:right w:val="none" w:sz="0" w:space="0" w:color="auto"/>
      </w:divBdr>
    </w:div>
    <w:div w:id="1761176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about:blank" TargetMode="External"/><Relationship Id="rId3" Type="http://schemas.openxmlformats.org/officeDocument/2006/relationships/hyperlink" Target="about:blank" TargetMode="External"/><Relationship Id="rId7" Type="http://schemas.openxmlformats.org/officeDocument/2006/relationships/hyperlink" Target="about:blank" TargetMode="External"/><Relationship Id="rId2" Type="http://schemas.openxmlformats.org/officeDocument/2006/relationships/hyperlink" Target="about:blank" TargetMode="External"/><Relationship Id="rId1" Type="http://schemas.openxmlformats.org/officeDocument/2006/relationships/hyperlink" Target="about:blank" TargetMode="External"/><Relationship Id="rId6" Type="http://schemas.openxmlformats.org/officeDocument/2006/relationships/hyperlink" Target="about:blank" TargetMode="External"/><Relationship Id="rId11" Type="http://schemas.openxmlformats.org/officeDocument/2006/relationships/hyperlink" Target="about:blank" TargetMode="External"/><Relationship Id="rId5" Type="http://schemas.openxmlformats.org/officeDocument/2006/relationships/hyperlink" Target="about:blank" TargetMode="External"/><Relationship Id="rId10" Type="http://schemas.openxmlformats.org/officeDocument/2006/relationships/hyperlink" Target="about:blank" TargetMode="External"/><Relationship Id="rId4" Type="http://schemas.openxmlformats.org/officeDocument/2006/relationships/hyperlink" Target="about:blank" TargetMode="External"/><Relationship Id="rId9" Type="http://schemas.openxmlformats.org/officeDocument/2006/relationships/hyperlink" Target="about:blan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DF52C2-3A4E-4AF2-ADBE-8EDFF5C6B0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5200</Words>
  <Characters>29644</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2020-09-21T23:37:00Z</dcterms:created>
  <dcterms:modified xsi:type="dcterms:W3CDTF">2020-09-21T23:38:00Z</dcterms:modified>
</cp:coreProperties>
</file>