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B2789" w14:textId="77777777" w:rsidR="003C2277" w:rsidRPr="00C963CD" w:rsidRDefault="003C2277" w:rsidP="004D4485">
      <w:pPr>
        <w:pStyle w:val="Title"/>
        <w:jc w:val="center"/>
        <w:rPr>
          <w:rFonts w:ascii="Bookman Old Style" w:hAnsi="Bookman Old Style"/>
        </w:rPr>
      </w:pPr>
      <w:r w:rsidRPr="00C963CD">
        <w:rPr>
          <w:rFonts w:ascii="Bookman Old Style" w:hAnsi="Bookman Old Style"/>
        </w:rPr>
        <w:t>Economic Analysis</w:t>
      </w:r>
    </w:p>
    <w:p w14:paraId="33389DD8" w14:textId="77777777" w:rsidR="003C2277" w:rsidRPr="00C963CD" w:rsidRDefault="003C2277" w:rsidP="003C2277">
      <w:pPr>
        <w:spacing w:after="0" w:line="240" w:lineRule="auto"/>
        <w:rPr>
          <w:rFonts w:ascii="Bookman Old Style" w:hAnsi="Bookman Old Style" w:cstheme="minorHAnsi"/>
          <w:sz w:val="24"/>
          <w:szCs w:val="24"/>
        </w:rPr>
      </w:pPr>
    </w:p>
    <w:p w14:paraId="1E0C309A" w14:textId="77777777" w:rsidR="00D1462E" w:rsidRPr="00C963CD" w:rsidRDefault="004D4485" w:rsidP="004D4485">
      <w:pPr>
        <w:pStyle w:val="Heading1"/>
        <w:numPr>
          <w:ilvl w:val="0"/>
          <w:numId w:val="6"/>
        </w:numPr>
        <w:rPr>
          <w:rFonts w:ascii="Bookman Old Style" w:hAnsi="Bookman Old Style"/>
        </w:rPr>
      </w:pPr>
      <w:r w:rsidRPr="00C963CD">
        <w:rPr>
          <w:rFonts w:ascii="Bookman Old Style" w:hAnsi="Bookman Old Style"/>
        </w:rPr>
        <w:t>Introduction</w:t>
      </w:r>
    </w:p>
    <w:p w14:paraId="6BD860C9" w14:textId="445EDEC4" w:rsidR="000F5EB2" w:rsidRDefault="00D846B9" w:rsidP="00D846B9">
      <w:pPr>
        <w:pStyle w:val="ListParagraph"/>
        <w:numPr>
          <w:ilvl w:val="0"/>
          <w:numId w:val="7"/>
        </w:numPr>
        <w:spacing w:line="240" w:lineRule="auto"/>
        <w:jc w:val="both"/>
        <w:rPr>
          <w:rFonts w:ascii="Bookman Old Style" w:hAnsi="Bookman Old Style" w:cstheme="minorHAnsi"/>
          <w:sz w:val="24"/>
          <w:szCs w:val="20"/>
          <w:lang w:eastAsia="en-GB"/>
        </w:rPr>
      </w:pPr>
      <w:r w:rsidRPr="00D846B9">
        <w:rPr>
          <w:rFonts w:ascii="Bookman Old Style" w:hAnsi="Bookman Old Style" w:cstheme="minorHAnsi"/>
          <w:sz w:val="24"/>
          <w:szCs w:val="20"/>
          <w:lang w:eastAsia="en-GB"/>
        </w:rPr>
        <w:t xml:space="preserve">The objective of this </w:t>
      </w:r>
      <w:r w:rsidR="00A077C8" w:rsidRPr="00D846B9">
        <w:rPr>
          <w:rFonts w:ascii="Bookman Old Style" w:hAnsi="Bookman Old Style" w:cstheme="minorHAnsi"/>
          <w:sz w:val="24"/>
          <w:szCs w:val="20"/>
          <w:lang w:eastAsia="en-GB"/>
        </w:rPr>
        <w:t>five-year</w:t>
      </w:r>
      <w:r w:rsidRPr="00D846B9">
        <w:rPr>
          <w:rFonts w:ascii="Bookman Old Style" w:hAnsi="Bookman Old Style" w:cstheme="minorHAnsi"/>
          <w:sz w:val="24"/>
          <w:szCs w:val="20"/>
          <w:lang w:eastAsia="en-GB"/>
        </w:rPr>
        <w:t xml:space="preserve"> Inclusive green financing for climate resilient and low emission smallholder agriculture project is to increase the resilience of smallholder farmers to adverse impacts of climate change by </w:t>
      </w:r>
      <w:r w:rsidRPr="000F5EB2">
        <w:rPr>
          <w:rFonts w:ascii="Bookman Old Style" w:hAnsi="Bookman Old Style" w:cstheme="minorHAnsi"/>
          <w:b/>
          <w:sz w:val="24"/>
          <w:szCs w:val="20"/>
          <w:u w:val="single"/>
          <w:lang w:eastAsia="en-GB"/>
        </w:rPr>
        <w:t xml:space="preserve">removing barriers to access to green financial and non-financial services for adopting and implementing concrete innovative </w:t>
      </w:r>
      <w:r w:rsidR="00A077C8" w:rsidRPr="000F5EB2">
        <w:rPr>
          <w:rFonts w:ascii="Bookman Old Style" w:hAnsi="Bookman Old Style" w:cstheme="minorHAnsi"/>
          <w:b/>
          <w:sz w:val="24"/>
          <w:szCs w:val="20"/>
          <w:u w:val="single"/>
          <w:lang w:eastAsia="en-GB"/>
        </w:rPr>
        <w:t>adaptation and</w:t>
      </w:r>
      <w:r w:rsidRPr="000F5EB2">
        <w:rPr>
          <w:rFonts w:ascii="Bookman Old Style" w:hAnsi="Bookman Old Style" w:cstheme="minorHAnsi"/>
          <w:b/>
          <w:sz w:val="24"/>
          <w:szCs w:val="20"/>
          <w:u w:val="single"/>
          <w:lang w:eastAsia="en-GB"/>
        </w:rPr>
        <w:t xml:space="preserve"> mitigation measures</w:t>
      </w:r>
      <w:r w:rsidR="000F5EB2">
        <w:rPr>
          <w:rFonts w:ascii="Bookman Old Style" w:hAnsi="Bookman Old Style" w:cstheme="minorHAnsi"/>
          <w:sz w:val="24"/>
          <w:szCs w:val="20"/>
          <w:lang w:eastAsia="en-GB"/>
        </w:rPr>
        <w:t>.</w:t>
      </w:r>
    </w:p>
    <w:p w14:paraId="2C94B1D9" w14:textId="165A9066" w:rsidR="00D846B9" w:rsidRPr="000F5EB2" w:rsidRDefault="000F5EB2" w:rsidP="00740307">
      <w:pPr>
        <w:pStyle w:val="ListParagraph"/>
        <w:numPr>
          <w:ilvl w:val="0"/>
          <w:numId w:val="7"/>
        </w:numPr>
        <w:spacing w:line="240" w:lineRule="auto"/>
        <w:jc w:val="both"/>
        <w:rPr>
          <w:rFonts w:ascii="Bookman Old Style" w:hAnsi="Bookman Old Style" w:cstheme="minorHAnsi"/>
          <w:sz w:val="24"/>
          <w:szCs w:val="20"/>
          <w:lang w:eastAsia="en-GB"/>
        </w:rPr>
      </w:pPr>
      <w:r w:rsidRPr="000F5EB2">
        <w:rPr>
          <w:rFonts w:ascii="Bookman Old Style" w:hAnsi="Bookman Old Style" w:cstheme="minorHAnsi"/>
          <w:sz w:val="24"/>
          <w:szCs w:val="20"/>
          <w:lang w:eastAsia="en-GB"/>
        </w:rPr>
        <w:t xml:space="preserve">These measures include </w:t>
      </w:r>
      <w:r w:rsidR="00D846B9" w:rsidRPr="000F5EB2">
        <w:rPr>
          <w:rFonts w:ascii="Bookman Old Style" w:hAnsi="Bookman Old Style" w:cstheme="minorHAnsi"/>
          <w:sz w:val="24"/>
          <w:szCs w:val="20"/>
          <w:lang w:eastAsia="en-GB"/>
        </w:rPr>
        <w:t>water capture, borehole irrigation, in-situ re-introduction of more stress resistant breeds and crop varieties, sand stabilization and other land management and agronomic techniques, Ecosystem-Based Adaptation (EbA), capacity building and awareness raising; Renewable Energy Technologies (RETs) adaptation (energy for water mobilization) and value addition along value chains</w:t>
      </w:r>
      <w:r w:rsidR="00E31684" w:rsidRPr="000F5EB2">
        <w:rPr>
          <w:rFonts w:ascii="Bookman Old Style" w:hAnsi="Bookman Old Style" w:cstheme="minorHAnsi"/>
          <w:sz w:val="24"/>
          <w:szCs w:val="20"/>
          <w:lang w:eastAsia="en-GB"/>
        </w:rPr>
        <w:t xml:space="preserve"> </w:t>
      </w:r>
      <w:r w:rsidR="00D846B9" w:rsidRPr="000F5EB2">
        <w:rPr>
          <w:rFonts w:ascii="Bookman Old Style" w:hAnsi="Bookman Old Style" w:cstheme="minorHAnsi"/>
          <w:sz w:val="24"/>
          <w:szCs w:val="20"/>
          <w:lang w:eastAsia="en-GB"/>
        </w:rPr>
        <w:t>(</w:t>
      </w:r>
      <w:r w:rsidR="00A077C8" w:rsidRPr="000F5EB2">
        <w:rPr>
          <w:rFonts w:ascii="Bookman Old Style" w:hAnsi="Bookman Old Style" w:cstheme="minorHAnsi"/>
          <w:sz w:val="24"/>
          <w:szCs w:val="20"/>
          <w:lang w:eastAsia="en-GB"/>
        </w:rPr>
        <w:t>processing,</w:t>
      </w:r>
      <w:r w:rsidR="00D846B9" w:rsidRPr="000F5EB2">
        <w:rPr>
          <w:rFonts w:ascii="Bookman Old Style" w:hAnsi="Bookman Old Style" w:cstheme="minorHAnsi"/>
          <w:sz w:val="24"/>
          <w:szCs w:val="20"/>
          <w:lang w:eastAsia="en-GB"/>
        </w:rPr>
        <w:t xml:space="preserve"> packaging, maintenance).</w:t>
      </w:r>
    </w:p>
    <w:p w14:paraId="13F4F025" w14:textId="77777777" w:rsidR="00BD7A50" w:rsidRPr="00BD7A50" w:rsidRDefault="00D846B9" w:rsidP="00D846B9">
      <w:pPr>
        <w:pStyle w:val="ListParagraph"/>
        <w:numPr>
          <w:ilvl w:val="0"/>
          <w:numId w:val="7"/>
        </w:numPr>
        <w:spacing w:line="240" w:lineRule="auto"/>
        <w:jc w:val="both"/>
        <w:rPr>
          <w:rFonts w:ascii="Bookman Old Style" w:hAnsi="Bookman Old Style" w:cstheme="minorHAnsi"/>
          <w:sz w:val="28"/>
        </w:rPr>
      </w:pPr>
      <w:r w:rsidRPr="00D846B9">
        <w:rPr>
          <w:rFonts w:ascii="Bookman Old Style" w:hAnsi="Bookman Old Style" w:cstheme="minorHAnsi"/>
          <w:sz w:val="24"/>
          <w:szCs w:val="20"/>
          <w:lang w:eastAsia="en-GB"/>
        </w:rPr>
        <w:t xml:space="preserve">This initiative will be implemented in targeted regions (Maradi, Zinder, Taouha and Diffa) that are highly vulnerable to climate change and have great potential for agricultural development, but where the existence of banking services geared towards the agricultural sector is still limited. This project will </w:t>
      </w:r>
      <w:r w:rsidR="0074618A" w:rsidRPr="00D846B9">
        <w:rPr>
          <w:rFonts w:ascii="Bookman Old Style" w:hAnsi="Bookman Old Style" w:cstheme="minorHAnsi"/>
          <w:sz w:val="24"/>
          <w:szCs w:val="20"/>
          <w:lang w:eastAsia="en-GB"/>
        </w:rPr>
        <w:t>complement the</w:t>
      </w:r>
      <w:r w:rsidRPr="00D846B9">
        <w:rPr>
          <w:rFonts w:ascii="Bookman Old Style" w:hAnsi="Bookman Old Style" w:cstheme="minorHAnsi"/>
          <w:sz w:val="24"/>
          <w:szCs w:val="20"/>
          <w:lang w:eastAsia="en-GB"/>
        </w:rPr>
        <w:t xml:space="preserve"> new IFAD investment called Projet de renforcement de la résilience des communautés Rurales à l’insécurité alimentaire et nutritionnelle au Niger (PRECIS) under the technical supervision of the Ministry in charge of Agriculture and to be implemented   according to the IFAD Country Program Approach in Niger.  </w:t>
      </w:r>
    </w:p>
    <w:p w14:paraId="27A1BCA9" w14:textId="33BBE6FC" w:rsidR="00F54ABE" w:rsidRPr="00523F46" w:rsidRDefault="00DB77F9" w:rsidP="008B6E84">
      <w:pPr>
        <w:pStyle w:val="ListParagraph"/>
        <w:numPr>
          <w:ilvl w:val="0"/>
          <w:numId w:val="7"/>
        </w:numPr>
        <w:spacing w:line="240" w:lineRule="auto"/>
        <w:jc w:val="both"/>
        <w:rPr>
          <w:rFonts w:ascii="Bookman Old Style" w:hAnsi="Bookman Old Style" w:cstheme="minorHAnsi"/>
          <w:sz w:val="32"/>
        </w:rPr>
      </w:pPr>
      <w:r w:rsidRPr="00523F46">
        <w:rPr>
          <w:rFonts w:ascii="Bookman Old Style" w:hAnsi="Bookman Old Style" w:cstheme="minorHAnsi"/>
          <w:sz w:val="24"/>
          <w:szCs w:val="20"/>
          <w:lang w:val="en-GB" w:eastAsia="ja-JP"/>
        </w:rPr>
        <w:t xml:space="preserve">The purpose of this project is </w:t>
      </w:r>
      <w:r w:rsidR="00295023" w:rsidRPr="00523F46">
        <w:rPr>
          <w:rFonts w:ascii="Bookman Old Style" w:hAnsi="Bookman Old Style" w:cstheme="minorHAnsi"/>
          <w:sz w:val="24"/>
          <w:szCs w:val="20"/>
          <w:lang w:val="en-GB" w:eastAsia="ja-JP"/>
        </w:rPr>
        <w:t xml:space="preserve">to </w:t>
      </w:r>
      <w:r w:rsidR="003D1902" w:rsidRPr="00523F46">
        <w:rPr>
          <w:rFonts w:ascii="Bookman Old Style" w:hAnsi="Bookman Old Style" w:cstheme="minorHAnsi"/>
          <w:sz w:val="24"/>
          <w:szCs w:val="20"/>
          <w:lang w:val="en-GB" w:eastAsia="ja-JP"/>
        </w:rPr>
        <w:t>provid</w:t>
      </w:r>
      <w:r w:rsidR="00295023" w:rsidRPr="00523F46">
        <w:rPr>
          <w:rFonts w:ascii="Bookman Old Style" w:hAnsi="Bookman Old Style" w:cstheme="minorHAnsi"/>
          <w:sz w:val="24"/>
          <w:szCs w:val="20"/>
          <w:lang w:val="en-GB" w:eastAsia="ja-JP"/>
        </w:rPr>
        <w:t>e</w:t>
      </w:r>
      <w:r w:rsidR="003D1902" w:rsidRPr="00523F46">
        <w:rPr>
          <w:rFonts w:ascii="Bookman Old Style" w:hAnsi="Bookman Old Style" w:cstheme="minorHAnsi"/>
          <w:sz w:val="24"/>
          <w:szCs w:val="20"/>
          <w:lang w:val="en-GB" w:eastAsia="ja-JP"/>
        </w:rPr>
        <w:t xml:space="preserve"> </w:t>
      </w:r>
      <w:r w:rsidRPr="00523F46">
        <w:rPr>
          <w:rFonts w:ascii="Bookman Old Style" w:hAnsi="Bookman Old Style" w:cstheme="minorHAnsi"/>
          <w:sz w:val="24"/>
          <w:szCs w:val="20"/>
          <w:lang w:val="en-GB" w:eastAsia="ja-JP"/>
        </w:rPr>
        <w:t>financing</w:t>
      </w:r>
      <w:r w:rsidR="003D1902" w:rsidRPr="00523F46">
        <w:rPr>
          <w:rFonts w:ascii="Bookman Old Style" w:hAnsi="Bookman Old Style" w:cstheme="minorHAnsi"/>
          <w:sz w:val="24"/>
          <w:szCs w:val="20"/>
          <w:lang w:val="en-GB" w:eastAsia="ja-JP"/>
        </w:rPr>
        <w:t xml:space="preserve"> for</w:t>
      </w:r>
      <w:r w:rsidRPr="00523F46">
        <w:rPr>
          <w:rFonts w:ascii="Bookman Old Style" w:hAnsi="Bookman Old Style" w:cstheme="minorHAnsi"/>
          <w:sz w:val="24"/>
          <w:szCs w:val="20"/>
          <w:lang w:val="en-GB" w:eastAsia="ja-JP"/>
        </w:rPr>
        <w:t xml:space="preserve"> the agricultural secto</w:t>
      </w:r>
      <w:r w:rsidR="00295023" w:rsidRPr="00523F46">
        <w:rPr>
          <w:rFonts w:ascii="Bookman Old Style" w:hAnsi="Bookman Old Style" w:cstheme="minorHAnsi"/>
          <w:sz w:val="24"/>
          <w:szCs w:val="20"/>
          <w:lang w:val="en-GB" w:eastAsia="ja-JP"/>
        </w:rPr>
        <w:t>r. Specifically, p</w:t>
      </w:r>
      <w:r w:rsidRPr="00523F46">
        <w:rPr>
          <w:rFonts w:ascii="Bookman Old Style" w:hAnsi="Bookman Old Style" w:cstheme="minorHAnsi"/>
          <w:sz w:val="24"/>
          <w:szCs w:val="20"/>
          <w:lang w:val="en-GB" w:eastAsia="ja-JP"/>
        </w:rPr>
        <w:t>rovide various financial products to farmers, agricultural enterprises, traders and processors</w:t>
      </w:r>
      <w:r w:rsidR="00295023" w:rsidRPr="00523F46">
        <w:rPr>
          <w:rFonts w:ascii="Bookman Old Style" w:hAnsi="Bookman Old Style" w:cstheme="minorHAnsi"/>
          <w:sz w:val="24"/>
          <w:szCs w:val="20"/>
          <w:lang w:val="en-GB" w:eastAsia="ja-JP"/>
        </w:rPr>
        <w:t>.</w:t>
      </w:r>
      <w:r w:rsidR="00295023" w:rsidRPr="00523F46">
        <w:rPr>
          <w:rFonts w:ascii="Bookman Old Style" w:hAnsi="Bookman Old Style" w:cstheme="minorHAnsi"/>
          <w:sz w:val="24"/>
          <w:szCs w:val="20"/>
        </w:rPr>
        <w:t xml:space="preserve"> T</w:t>
      </w:r>
      <w:r w:rsidRPr="00523F46">
        <w:rPr>
          <w:rFonts w:ascii="Bookman Old Style" w:hAnsi="Bookman Old Style" w:cstheme="minorHAnsi"/>
          <w:sz w:val="24"/>
          <w:szCs w:val="20"/>
          <w:lang w:val="en-GB" w:eastAsia="ja-JP"/>
        </w:rPr>
        <w:t>wo types of credit will be provided with the project</w:t>
      </w:r>
      <w:r w:rsidR="00F54ABE" w:rsidRPr="00523F46">
        <w:rPr>
          <w:rFonts w:ascii="Bookman Old Style" w:hAnsi="Bookman Old Style" w:cstheme="minorHAnsi"/>
          <w:sz w:val="24"/>
          <w:szCs w:val="20"/>
          <w:lang w:val="en-GB" w:eastAsia="ja-JP"/>
        </w:rPr>
        <w:t>.</w:t>
      </w:r>
    </w:p>
    <w:p w14:paraId="680A1836" w14:textId="2B624DE1" w:rsidR="005171DF" w:rsidRPr="00F54ABE" w:rsidRDefault="00295023" w:rsidP="00F54ABE">
      <w:pPr>
        <w:pStyle w:val="ListParagraph"/>
        <w:numPr>
          <w:ilvl w:val="0"/>
          <w:numId w:val="7"/>
        </w:numPr>
        <w:spacing w:line="240" w:lineRule="auto"/>
        <w:jc w:val="both"/>
        <w:rPr>
          <w:rFonts w:ascii="Bookman Old Style" w:hAnsi="Bookman Old Style" w:cstheme="minorHAnsi"/>
          <w:sz w:val="32"/>
        </w:rPr>
      </w:pPr>
      <w:r w:rsidRPr="00F54ABE">
        <w:rPr>
          <w:rFonts w:ascii="Bookman Old Style" w:hAnsi="Bookman Old Style" w:cstheme="minorHAnsi"/>
          <w:sz w:val="24"/>
          <w:szCs w:val="20"/>
          <w:lang w:val="en-GB" w:eastAsia="ja-JP"/>
        </w:rPr>
        <w:t xml:space="preserve">Window </w:t>
      </w:r>
      <w:r w:rsidR="004858C3">
        <w:rPr>
          <w:rFonts w:ascii="Bookman Old Style" w:hAnsi="Bookman Old Style" w:cstheme="minorHAnsi"/>
          <w:sz w:val="24"/>
          <w:szCs w:val="20"/>
          <w:lang w:val="en-GB" w:eastAsia="ja-JP"/>
        </w:rPr>
        <w:t>I</w:t>
      </w:r>
      <w:r w:rsidRPr="00F54ABE">
        <w:rPr>
          <w:rFonts w:ascii="Bookman Old Style" w:hAnsi="Bookman Old Style" w:cstheme="minorHAnsi"/>
          <w:sz w:val="24"/>
          <w:szCs w:val="20"/>
          <w:lang w:val="en-GB" w:eastAsia="ja-JP"/>
        </w:rPr>
        <w:t>: credit to strengthen EbA and planning, conservation measures (land restoration, community gardening, Non-Timber Forest tree plantations, restoration of riparian areas, dunes stabilization, sensitive areas management for recreational purpose) and concrete adaptation measures along value agricultural value chains.</w:t>
      </w:r>
      <w:r w:rsidR="00F54ABE" w:rsidRPr="00F54ABE">
        <w:rPr>
          <w:rFonts w:ascii="Bookman Old Style" w:hAnsi="Bookman Old Style" w:cstheme="minorHAnsi"/>
          <w:sz w:val="24"/>
          <w:szCs w:val="20"/>
          <w:lang w:val="en-GB" w:eastAsia="ja-JP"/>
        </w:rPr>
        <w:t xml:space="preserve"> Type of loans</w:t>
      </w:r>
      <w:r w:rsidR="00F54ABE">
        <w:rPr>
          <w:rFonts w:ascii="Bookman Old Style" w:hAnsi="Bookman Old Style" w:cstheme="minorHAnsi"/>
          <w:sz w:val="24"/>
          <w:szCs w:val="20"/>
          <w:lang w:val="en-GB" w:eastAsia="ja-JP"/>
        </w:rPr>
        <w:t xml:space="preserve"> include:</w:t>
      </w:r>
    </w:p>
    <w:p w14:paraId="7160AA0A" w14:textId="205A7A6C" w:rsidR="00F54ABE" w:rsidRPr="00F54ABE" w:rsidRDefault="00F54ABE" w:rsidP="00F54ABE">
      <w:pPr>
        <w:pStyle w:val="ColorfulShading-Accent31"/>
        <w:numPr>
          <w:ilvl w:val="1"/>
          <w:numId w:val="24"/>
        </w:numPr>
        <w:spacing w:line="240" w:lineRule="auto"/>
        <w:jc w:val="both"/>
        <w:rPr>
          <w:rFonts w:ascii="Bookman Old Style" w:hAnsi="Bookman Old Style" w:cstheme="minorHAnsi"/>
          <w:sz w:val="24"/>
          <w:szCs w:val="20"/>
          <w:lang w:val="en-GB" w:eastAsia="ja-JP"/>
        </w:rPr>
      </w:pPr>
      <w:r w:rsidRPr="00F54ABE">
        <w:rPr>
          <w:rFonts w:ascii="Bookman Old Style" w:hAnsi="Bookman Old Style" w:cstheme="minorHAnsi"/>
          <w:sz w:val="24"/>
          <w:szCs w:val="20"/>
          <w:lang w:val="en-GB" w:eastAsia="ja-JP"/>
        </w:rPr>
        <w:t xml:space="preserve">Direct investment loan on EbA </w:t>
      </w:r>
      <w:r w:rsidR="000C260F">
        <w:rPr>
          <w:rFonts w:ascii="Bookman Old Style" w:hAnsi="Bookman Old Style" w:cstheme="minorHAnsi"/>
          <w:sz w:val="24"/>
          <w:szCs w:val="20"/>
          <w:lang w:val="en-GB" w:eastAsia="ja-JP"/>
        </w:rPr>
        <w:t>with</w:t>
      </w:r>
      <w:r w:rsidRPr="00F54ABE">
        <w:rPr>
          <w:rFonts w:ascii="Bookman Old Style" w:hAnsi="Bookman Old Style" w:cstheme="minorHAnsi"/>
          <w:sz w:val="24"/>
          <w:szCs w:val="20"/>
          <w:lang w:val="en-GB" w:eastAsia="ja-JP"/>
        </w:rPr>
        <w:t xml:space="preserve"> return on investment and concrete eligible adaptation measures with income generation connected to EbA and adaptation measures</w:t>
      </w:r>
    </w:p>
    <w:p w14:paraId="4B48A7CE" w14:textId="77777777" w:rsidR="00F54ABE" w:rsidRPr="00F54ABE" w:rsidRDefault="00F54ABE" w:rsidP="00F54ABE">
      <w:pPr>
        <w:pStyle w:val="ColorfulShading-Accent31"/>
        <w:numPr>
          <w:ilvl w:val="1"/>
          <w:numId w:val="24"/>
        </w:numPr>
        <w:spacing w:line="240" w:lineRule="auto"/>
        <w:jc w:val="both"/>
        <w:rPr>
          <w:rFonts w:ascii="Bookman Old Style" w:hAnsi="Bookman Old Style" w:cstheme="minorHAnsi"/>
          <w:sz w:val="24"/>
          <w:szCs w:val="20"/>
          <w:lang w:val="en-GB" w:eastAsia="ja-JP"/>
        </w:rPr>
      </w:pPr>
      <w:r w:rsidRPr="00F54ABE">
        <w:rPr>
          <w:rFonts w:ascii="Bookman Old Style" w:hAnsi="Bookman Old Style" w:cstheme="minorHAnsi"/>
          <w:sz w:val="24"/>
          <w:szCs w:val="20"/>
          <w:lang w:val="en-GB" w:eastAsia="ja-JP"/>
        </w:rPr>
        <w:t xml:space="preserve">Working capital loans for FOs, Cooperatives, MSMEs, MFIs working on EbA and on adaptation measures </w:t>
      </w:r>
    </w:p>
    <w:p w14:paraId="4799D1AA" w14:textId="559E28BD" w:rsidR="004858C3" w:rsidRPr="004858C3" w:rsidRDefault="004858C3" w:rsidP="004858C3">
      <w:pPr>
        <w:pStyle w:val="ColorfulShading-Accent31"/>
        <w:numPr>
          <w:ilvl w:val="0"/>
          <w:numId w:val="7"/>
        </w:numPr>
        <w:spacing w:line="240" w:lineRule="auto"/>
        <w:jc w:val="both"/>
        <w:rPr>
          <w:rFonts w:ascii="Bookman Old Style" w:hAnsi="Bookman Old Style" w:cstheme="minorHAnsi"/>
          <w:sz w:val="24"/>
          <w:szCs w:val="20"/>
          <w:lang w:val="en-GB" w:eastAsia="ja-JP"/>
        </w:rPr>
      </w:pPr>
      <w:r>
        <w:rPr>
          <w:rFonts w:ascii="Bookman Old Style" w:hAnsi="Bookman Old Style" w:cstheme="minorHAnsi"/>
          <w:sz w:val="24"/>
          <w:szCs w:val="20"/>
          <w:lang w:val="en-GB" w:eastAsia="ja-JP"/>
        </w:rPr>
        <w:t xml:space="preserve">Window II: </w:t>
      </w:r>
      <w:r w:rsidR="002D00BF" w:rsidRPr="002D00BF">
        <w:rPr>
          <w:rFonts w:ascii="Bookman Old Style" w:hAnsi="Bookman Old Style" w:cstheme="minorHAnsi"/>
          <w:sz w:val="24"/>
          <w:szCs w:val="20"/>
          <w:lang w:val="en-GB" w:eastAsia="ja-JP"/>
        </w:rPr>
        <w:t>Strengthen,</w:t>
      </w:r>
      <w:r w:rsidR="002D00BF">
        <w:rPr>
          <w:rFonts w:ascii="Bookman Old Style" w:hAnsi="Bookman Old Style" w:cstheme="minorHAnsi"/>
          <w:sz w:val="24"/>
          <w:szCs w:val="20"/>
          <w:lang w:val="en-GB" w:eastAsia="ja-JP"/>
        </w:rPr>
        <w:t xml:space="preserve"> </w:t>
      </w:r>
      <w:r w:rsidR="002D00BF" w:rsidRPr="002D00BF">
        <w:rPr>
          <w:rFonts w:ascii="Bookman Old Style" w:hAnsi="Bookman Old Style" w:cstheme="minorHAnsi"/>
          <w:sz w:val="24"/>
          <w:szCs w:val="20"/>
          <w:lang w:val="en-GB" w:eastAsia="ja-JP"/>
        </w:rPr>
        <w:t xml:space="preserve">develop and scale up innovative rural electrification model through hybridized solar micro and mini-grids, off-grid solutions, standalone systems for powering agricultural value chains </w:t>
      </w:r>
      <w:r w:rsidR="002D00BF" w:rsidRPr="002D00BF">
        <w:rPr>
          <w:rFonts w:ascii="Bookman Old Style" w:hAnsi="Bookman Old Style" w:cstheme="minorHAnsi"/>
          <w:sz w:val="24"/>
          <w:szCs w:val="20"/>
          <w:lang w:val="en-GB" w:eastAsia="ja-JP"/>
        </w:rPr>
        <w:lastRenderedPageBreak/>
        <w:t xml:space="preserve">and multi-purpose water pumps, mills for grinding, hulling, </w:t>
      </w:r>
      <w:r w:rsidR="002D00BF">
        <w:rPr>
          <w:rFonts w:ascii="Bookman Old Style" w:hAnsi="Bookman Old Style" w:cstheme="minorHAnsi"/>
          <w:sz w:val="24"/>
          <w:szCs w:val="20"/>
          <w:lang w:val="en-GB" w:eastAsia="ja-JP"/>
        </w:rPr>
        <w:t xml:space="preserve">and </w:t>
      </w:r>
      <w:r w:rsidR="002D00BF" w:rsidRPr="002D00BF">
        <w:rPr>
          <w:rFonts w:ascii="Bookman Old Style" w:hAnsi="Bookman Old Style" w:cstheme="minorHAnsi"/>
          <w:sz w:val="24"/>
          <w:szCs w:val="20"/>
          <w:lang w:val="en-GB" w:eastAsia="ja-JP"/>
        </w:rPr>
        <w:t xml:space="preserve">pressing financed by </w:t>
      </w:r>
      <w:r w:rsidR="00A077C8" w:rsidRPr="00A077C8">
        <w:rPr>
          <w:rFonts w:ascii="Bookman Old Style" w:hAnsi="Bookman Old Style" w:cstheme="minorHAnsi"/>
          <w:sz w:val="24"/>
          <w:szCs w:val="20"/>
          <w:lang w:val="en-GB" w:eastAsia="ja-JP"/>
        </w:rPr>
        <w:t>Banque Agricole du Niger (BAGRI)</w:t>
      </w:r>
      <w:r w:rsidR="002D00BF" w:rsidRPr="002D00BF">
        <w:rPr>
          <w:rFonts w:ascii="Bookman Old Style" w:hAnsi="Bookman Old Style" w:cstheme="minorHAnsi"/>
          <w:sz w:val="24"/>
          <w:szCs w:val="20"/>
          <w:lang w:val="en-GB" w:eastAsia="ja-JP"/>
        </w:rPr>
        <w:t xml:space="preserve"> conventional investment and window 1</w:t>
      </w:r>
      <w:r w:rsidR="002D00BF">
        <w:rPr>
          <w:rFonts w:ascii="Bookman Old Style" w:hAnsi="Bookman Old Style" w:cstheme="minorHAnsi"/>
          <w:sz w:val="24"/>
          <w:szCs w:val="20"/>
          <w:lang w:val="en-GB" w:eastAsia="ja-JP"/>
        </w:rPr>
        <w:t xml:space="preserve">. </w:t>
      </w:r>
      <w:r w:rsidRPr="004858C3">
        <w:rPr>
          <w:rFonts w:ascii="Bookman Old Style" w:hAnsi="Bookman Old Style" w:cstheme="minorHAnsi"/>
          <w:sz w:val="24"/>
          <w:szCs w:val="20"/>
          <w:lang w:val="en-GB" w:eastAsia="ja-JP"/>
        </w:rPr>
        <w:t>Type of loans</w:t>
      </w:r>
      <w:r w:rsidR="002D00BF">
        <w:rPr>
          <w:rFonts w:ascii="Bookman Old Style" w:hAnsi="Bookman Old Style" w:cstheme="minorHAnsi"/>
          <w:sz w:val="24"/>
          <w:szCs w:val="20"/>
          <w:lang w:val="en-GB" w:eastAsia="ja-JP"/>
        </w:rPr>
        <w:t xml:space="preserve"> will include</w:t>
      </w:r>
      <w:r w:rsidRPr="004858C3">
        <w:rPr>
          <w:rFonts w:ascii="Bookman Old Style" w:hAnsi="Bookman Old Style" w:cstheme="minorHAnsi"/>
          <w:sz w:val="24"/>
          <w:szCs w:val="20"/>
          <w:lang w:val="en-GB" w:eastAsia="ja-JP"/>
        </w:rPr>
        <w:t xml:space="preserve">: </w:t>
      </w:r>
    </w:p>
    <w:p w14:paraId="730D46AA" w14:textId="0809871D" w:rsidR="004858C3" w:rsidRPr="004858C3" w:rsidRDefault="004858C3" w:rsidP="002D00BF">
      <w:pPr>
        <w:pStyle w:val="ColorfulShading-Accent31"/>
        <w:numPr>
          <w:ilvl w:val="0"/>
          <w:numId w:val="28"/>
        </w:numPr>
        <w:spacing w:line="240" w:lineRule="auto"/>
        <w:jc w:val="both"/>
        <w:rPr>
          <w:rFonts w:ascii="Bookman Old Style" w:hAnsi="Bookman Old Style" w:cstheme="minorHAnsi"/>
          <w:sz w:val="24"/>
          <w:szCs w:val="20"/>
          <w:lang w:val="en-GB" w:eastAsia="ja-JP"/>
        </w:rPr>
      </w:pPr>
      <w:r w:rsidRPr="004858C3">
        <w:rPr>
          <w:rFonts w:ascii="Bookman Old Style" w:hAnsi="Bookman Old Style" w:cstheme="minorHAnsi"/>
          <w:sz w:val="24"/>
          <w:szCs w:val="20"/>
          <w:lang w:val="en-GB" w:eastAsia="ja-JP"/>
        </w:rPr>
        <w:t xml:space="preserve">Solar Loans to invest on solar panel equipment's and systems for FOs, Cooperatives, MSMEs for </w:t>
      </w:r>
      <w:r w:rsidR="002D00BF" w:rsidRPr="004858C3">
        <w:rPr>
          <w:rFonts w:ascii="Bookman Old Style" w:hAnsi="Bookman Old Style" w:cstheme="minorHAnsi"/>
          <w:sz w:val="24"/>
          <w:szCs w:val="20"/>
          <w:lang w:val="en-GB" w:eastAsia="ja-JP"/>
        </w:rPr>
        <w:t>irrigation,</w:t>
      </w:r>
      <w:r w:rsidRPr="004858C3">
        <w:rPr>
          <w:rFonts w:ascii="Bookman Old Style" w:hAnsi="Bookman Old Style" w:cstheme="minorHAnsi"/>
          <w:sz w:val="24"/>
          <w:szCs w:val="20"/>
          <w:lang w:val="en-GB" w:eastAsia="ja-JP"/>
        </w:rPr>
        <w:t xml:space="preserve"> processing, </w:t>
      </w:r>
      <w:r w:rsidR="002D00BF">
        <w:rPr>
          <w:rFonts w:ascii="Bookman Old Style" w:hAnsi="Bookman Old Style" w:cstheme="minorHAnsi"/>
          <w:sz w:val="24"/>
          <w:szCs w:val="20"/>
          <w:lang w:val="en-GB" w:eastAsia="ja-JP"/>
        </w:rPr>
        <w:t xml:space="preserve">and </w:t>
      </w:r>
      <w:r w:rsidRPr="004858C3">
        <w:rPr>
          <w:rFonts w:ascii="Bookman Old Style" w:hAnsi="Bookman Old Style" w:cstheme="minorHAnsi"/>
          <w:sz w:val="24"/>
          <w:szCs w:val="20"/>
          <w:lang w:val="en-GB" w:eastAsia="ja-JP"/>
        </w:rPr>
        <w:t>household</w:t>
      </w:r>
      <w:r w:rsidR="002D00BF">
        <w:rPr>
          <w:rFonts w:ascii="Bookman Old Style" w:hAnsi="Bookman Old Style" w:cstheme="minorHAnsi"/>
          <w:sz w:val="24"/>
          <w:szCs w:val="20"/>
          <w:lang w:val="en-GB" w:eastAsia="ja-JP"/>
        </w:rPr>
        <w:t xml:space="preserve"> use.</w:t>
      </w:r>
    </w:p>
    <w:p w14:paraId="075BBB3A" w14:textId="77777777" w:rsidR="004858C3" w:rsidRPr="004858C3" w:rsidRDefault="004858C3" w:rsidP="002D00BF">
      <w:pPr>
        <w:pStyle w:val="ColorfulShading-Accent31"/>
        <w:numPr>
          <w:ilvl w:val="0"/>
          <w:numId w:val="28"/>
        </w:numPr>
        <w:spacing w:line="240" w:lineRule="auto"/>
        <w:jc w:val="both"/>
        <w:rPr>
          <w:rFonts w:ascii="Bookman Old Style" w:hAnsi="Bookman Old Style" w:cstheme="minorHAnsi"/>
          <w:sz w:val="24"/>
          <w:szCs w:val="20"/>
          <w:lang w:val="en-GB" w:eastAsia="ja-JP"/>
        </w:rPr>
      </w:pPr>
      <w:r w:rsidRPr="004858C3">
        <w:rPr>
          <w:rFonts w:ascii="Bookman Old Style" w:hAnsi="Bookman Old Style" w:cstheme="minorHAnsi"/>
          <w:sz w:val="24"/>
          <w:szCs w:val="20"/>
          <w:lang w:val="en-GB" w:eastAsia="ja-JP"/>
        </w:rPr>
        <w:t xml:space="preserve">Loans to MFIs to on-lend to solar importers, wholesalers, retailers, installers, and solar electricity service providers </w:t>
      </w:r>
    </w:p>
    <w:p w14:paraId="21EE2964" w14:textId="77777777" w:rsidR="004858C3" w:rsidRPr="004858C3" w:rsidRDefault="004858C3" w:rsidP="002D00BF">
      <w:pPr>
        <w:pStyle w:val="ColorfulShading-Accent31"/>
        <w:numPr>
          <w:ilvl w:val="0"/>
          <w:numId w:val="28"/>
        </w:numPr>
        <w:spacing w:line="240" w:lineRule="auto"/>
        <w:jc w:val="both"/>
        <w:rPr>
          <w:rFonts w:ascii="Bookman Old Style" w:hAnsi="Bookman Old Style" w:cstheme="minorHAnsi"/>
          <w:sz w:val="24"/>
          <w:szCs w:val="20"/>
          <w:lang w:val="en-GB" w:eastAsia="ja-JP"/>
        </w:rPr>
      </w:pPr>
      <w:r w:rsidRPr="004858C3">
        <w:rPr>
          <w:rFonts w:ascii="Bookman Old Style" w:hAnsi="Bookman Old Style" w:cstheme="minorHAnsi"/>
          <w:sz w:val="24"/>
          <w:szCs w:val="20"/>
          <w:lang w:val="en-GB" w:eastAsia="ja-JP"/>
        </w:rPr>
        <w:t>Working capital loans for solar importers, wholesalers, retailers, installers, and solar electricity service providers</w:t>
      </w:r>
    </w:p>
    <w:p w14:paraId="3ED7A5AF" w14:textId="5395C240" w:rsidR="005845B0" w:rsidRPr="00B81E73" w:rsidRDefault="00EF5AAE" w:rsidP="00CB288F">
      <w:pPr>
        <w:pStyle w:val="ListParagraph"/>
        <w:numPr>
          <w:ilvl w:val="0"/>
          <w:numId w:val="7"/>
        </w:numPr>
        <w:rPr>
          <w:rFonts w:ascii="Bookman Old Style" w:hAnsi="Bookman Old Style"/>
          <w:sz w:val="24"/>
        </w:rPr>
      </w:pPr>
      <w:r w:rsidRPr="00B81E73">
        <w:rPr>
          <w:rFonts w:ascii="Bookman Old Style" w:hAnsi="Bookman Old Style"/>
          <w:sz w:val="24"/>
        </w:rPr>
        <w:t>Each of the</w:t>
      </w:r>
      <w:r w:rsidR="00894B8B" w:rsidRPr="00B81E73">
        <w:rPr>
          <w:rFonts w:ascii="Bookman Old Style" w:hAnsi="Bookman Old Style"/>
          <w:sz w:val="24"/>
        </w:rPr>
        <w:t xml:space="preserve">se interventions </w:t>
      </w:r>
      <w:r w:rsidRPr="00B81E73">
        <w:rPr>
          <w:rFonts w:ascii="Bookman Old Style" w:hAnsi="Bookman Old Style"/>
          <w:sz w:val="24"/>
        </w:rPr>
        <w:t xml:space="preserve">are geared towards </w:t>
      </w:r>
      <w:r w:rsidR="00CB288F" w:rsidRPr="00B81E73">
        <w:rPr>
          <w:rFonts w:ascii="Bookman Old Style" w:hAnsi="Bookman Old Style"/>
          <w:bCs/>
          <w:sz w:val="24"/>
        </w:rPr>
        <w:t xml:space="preserve">strengthening resilience of vulnerable </w:t>
      </w:r>
      <w:r w:rsidR="00DC440E">
        <w:rPr>
          <w:rFonts w:ascii="Bookman Old Style" w:hAnsi="Bookman Old Style"/>
          <w:bCs/>
          <w:sz w:val="24"/>
        </w:rPr>
        <w:t>households</w:t>
      </w:r>
      <w:r w:rsidR="00CB288F" w:rsidRPr="00B81E73">
        <w:rPr>
          <w:rFonts w:ascii="Bookman Old Style" w:hAnsi="Bookman Old Style"/>
          <w:bCs/>
          <w:sz w:val="24"/>
        </w:rPr>
        <w:t xml:space="preserve">, particularly </w:t>
      </w:r>
      <w:r w:rsidR="00DC440E">
        <w:rPr>
          <w:rFonts w:ascii="Bookman Old Style" w:hAnsi="Bookman Old Style"/>
          <w:bCs/>
          <w:sz w:val="24"/>
        </w:rPr>
        <w:t xml:space="preserve">youth and </w:t>
      </w:r>
      <w:r w:rsidR="00CB288F" w:rsidRPr="00B81E73">
        <w:rPr>
          <w:rFonts w:ascii="Bookman Old Style" w:hAnsi="Bookman Old Style"/>
          <w:bCs/>
          <w:sz w:val="24"/>
        </w:rPr>
        <w:t xml:space="preserve">women, in </w:t>
      </w:r>
      <w:r w:rsidR="00DC440E" w:rsidRPr="00DC440E">
        <w:rPr>
          <w:rFonts w:ascii="Bookman Old Style" w:hAnsi="Bookman Old Style"/>
          <w:bCs/>
          <w:sz w:val="24"/>
        </w:rPr>
        <w:t xml:space="preserve">Maradi, Zinder, Taouha and Diffa </w:t>
      </w:r>
      <w:r w:rsidR="00DC440E">
        <w:rPr>
          <w:rFonts w:ascii="Bookman Old Style" w:hAnsi="Bookman Old Style"/>
          <w:bCs/>
          <w:sz w:val="24"/>
        </w:rPr>
        <w:t>facing</w:t>
      </w:r>
      <w:r w:rsidR="00CB288F" w:rsidRPr="00B81E73">
        <w:rPr>
          <w:rFonts w:ascii="Bookman Old Style" w:hAnsi="Bookman Old Style"/>
          <w:bCs/>
          <w:sz w:val="24"/>
        </w:rPr>
        <w:t xml:space="preserve"> increasing climate risks and impacts.</w:t>
      </w:r>
    </w:p>
    <w:p w14:paraId="06398A29" w14:textId="7CEE55F3" w:rsidR="005845B0" w:rsidRPr="00B81E73" w:rsidRDefault="005845B0" w:rsidP="005845B0">
      <w:pPr>
        <w:pStyle w:val="ListParagraph"/>
        <w:numPr>
          <w:ilvl w:val="0"/>
          <w:numId w:val="7"/>
        </w:numPr>
        <w:rPr>
          <w:rFonts w:ascii="Bookman Old Style" w:hAnsi="Bookman Old Style"/>
          <w:sz w:val="24"/>
        </w:rPr>
      </w:pPr>
      <w:r w:rsidRPr="00B81E73">
        <w:rPr>
          <w:rFonts w:ascii="Bookman Old Style" w:hAnsi="Bookman Old Style"/>
          <w:sz w:val="24"/>
        </w:rPr>
        <w:t xml:space="preserve">The economic feasibility of the project was determined using funds flow from small-scale farmers who will benefit from the project. Financial and gross margin analyses were conducted to assess the financial </w:t>
      </w:r>
      <w:r w:rsidR="003F52D2" w:rsidRPr="00B81E73">
        <w:rPr>
          <w:rFonts w:ascii="Bookman Old Style" w:hAnsi="Bookman Old Style"/>
          <w:sz w:val="24"/>
        </w:rPr>
        <w:t>returns</w:t>
      </w:r>
      <w:r w:rsidRPr="00B81E73">
        <w:rPr>
          <w:rFonts w:ascii="Bookman Old Style" w:hAnsi="Bookman Old Style"/>
          <w:sz w:val="24"/>
        </w:rPr>
        <w:t xml:space="preserve"> of the project’s interventions for the project’s beneficiaries.</w:t>
      </w:r>
    </w:p>
    <w:p w14:paraId="71C2BC2D" w14:textId="1F21D940" w:rsidR="00424E5A" w:rsidRPr="00523F46" w:rsidRDefault="005845B0" w:rsidP="004F2F77">
      <w:pPr>
        <w:pStyle w:val="ListParagraph"/>
        <w:numPr>
          <w:ilvl w:val="0"/>
          <w:numId w:val="7"/>
        </w:numPr>
        <w:rPr>
          <w:rFonts w:ascii="Bookman Old Style" w:hAnsi="Bookman Old Style"/>
          <w:sz w:val="24"/>
        </w:rPr>
      </w:pPr>
      <w:r w:rsidRPr="00523F46">
        <w:rPr>
          <w:rFonts w:ascii="Bookman Old Style" w:hAnsi="Bookman Old Style"/>
          <w:sz w:val="24"/>
        </w:rPr>
        <w:t xml:space="preserve">Economic cost-benefit analysis was carried out to assess the impact of the project on society’s welfare. Discounted fund flows period </w:t>
      </w:r>
      <w:r w:rsidR="00523F46" w:rsidRPr="00523F46">
        <w:rPr>
          <w:rFonts w:ascii="Bookman Old Style" w:hAnsi="Bookman Old Style"/>
          <w:sz w:val="24"/>
        </w:rPr>
        <w:t>is assumed to be 1</w:t>
      </w:r>
      <w:r w:rsidR="003F52D2" w:rsidRPr="00523F46">
        <w:rPr>
          <w:rFonts w:ascii="Bookman Old Style" w:hAnsi="Bookman Old Style"/>
          <w:sz w:val="24"/>
        </w:rPr>
        <w:t>5</w:t>
      </w:r>
      <w:r w:rsidRPr="00523F46">
        <w:rPr>
          <w:rFonts w:ascii="Bookman Old Style" w:hAnsi="Bookman Old Style"/>
          <w:sz w:val="24"/>
        </w:rPr>
        <w:t xml:space="preserve"> years</w:t>
      </w:r>
      <w:r w:rsidR="006442FD">
        <w:rPr>
          <w:rFonts w:ascii="Bookman Old Style" w:hAnsi="Bookman Old Style"/>
          <w:sz w:val="24"/>
        </w:rPr>
        <w:t xml:space="preserve"> and benefits such as emissions avoided are calculated based on this lifespan</w:t>
      </w:r>
      <w:r w:rsidRPr="00523F46">
        <w:rPr>
          <w:rFonts w:ascii="Bookman Old Style" w:hAnsi="Bookman Old Style"/>
          <w:sz w:val="24"/>
        </w:rPr>
        <w:t>.</w:t>
      </w:r>
    </w:p>
    <w:p w14:paraId="08C0E5CB" w14:textId="356455D4" w:rsidR="00A67122" w:rsidRPr="00B81E73" w:rsidRDefault="00122FCF" w:rsidP="00F9498C">
      <w:pPr>
        <w:pStyle w:val="Heading1"/>
        <w:numPr>
          <w:ilvl w:val="0"/>
          <w:numId w:val="6"/>
        </w:numPr>
        <w:rPr>
          <w:rFonts w:ascii="Bookman Old Style" w:hAnsi="Bookman Old Style"/>
        </w:rPr>
      </w:pPr>
      <w:r w:rsidRPr="00B81E73">
        <w:rPr>
          <w:rFonts w:ascii="Bookman Old Style" w:hAnsi="Bookman Old Style"/>
        </w:rPr>
        <w:t>Identifying the Costs and benefits of project intervention</w:t>
      </w:r>
    </w:p>
    <w:p w14:paraId="6782FF15" w14:textId="50C2B194" w:rsidR="00523F46" w:rsidRPr="00523F46" w:rsidRDefault="00523F46" w:rsidP="00523F46">
      <w:pPr>
        <w:pStyle w:val="ListParagraph"/>
        <w:numPr>
          <w:ilvl w:val="0"/>
          <w:numId w:val="7"/>
        </w:numPr>
        <w:rPr>
          <w:rFonts w:ascii="Bookman Old Style" w:hAnsi="Bookman Old Style"/>
          <w:sz w:val="24"/>
        </w:rPr>
      </w:pPr>
      <w:r w:rsidRPr="00523F46">
        <w:rPr>
          <w:rFonts w:ascii="Bookman Old Style" w:hAnsi="Bookman Old Style"/>
          <w:sz w:val="24"/>
        </w:rPr>
        <w:t>Niger is one of the least banked countries in West Africa</w:t>
      </w:r>
      <w:r w:rsidR="00A077C8">
        <w:rPr>
          <w:rFonts w:ascii="Bookman Old Style" w:hAnsi="Bookman Old Style"/>
          <w:sz w:val="24"/>
        </w:rPr>
        <w:t xml:space="preserve"> (World Bank (2017)</w:t>
      </w:r>
      <w:r w:rsidRPr="00523F46">
        <w:rPr>
          <w:rFonts w:ascii="Bookman Old Style" w:hAnsi="Bookman Old Style"/>
          <w:sz w:val="24"/>
        </w:rPr>
        <w:t>. Financing for working capital and investments and instruments to transfer funds are critical to the smooth operation of any industrial sector, including agriculture and livestock.</w:t>
      </w:r>
    </w:p>
    <w:p w14:paraId="17DDA223" w14:textId="16CE9AF4" w:rsidR="006A5D8C" w:rsidRPr="006A5D8C" w:rsidRDefault="006A5D8C" w:rsidP="00D9633A">
      <w:pPr>
        <w:numPr>
          <w:ilvl w:val="0"/>
          <w:numId w:val="7"/>
        </w:numPr>
        <w:spacing w:line="240" w:lineRule="auto"/>
        <w:rPr>
          <w:rFonts w:ascii="Bookman Old Style" w:hAnsi="Bookman Old Style"/>
          <w:sz w:val="24"/>
        </w:rPr>
      </w:pPr>
      <w:r w:rsidRPr="006A5D8C">
        <w:rPr>
          <w:rFonts w:ascii="Bookman Old Style" w:hAnsi="Bookman Old Style"/>
          <w:sz w:val="24"/>
        </w:rPr>
        <w:t xml:space="preserve">Two benefits with the project are estimated in this analysis. Increased productivity due to access to credit (Window 1 and 2) and </w:t>
      </w:r>
      <w:r>
        <w:rPr>
          <w:rFonts w:ascii="Bookman Old Style" w:hAnsi="Bookman Old Style"/>
          <w:sz w:val="24"/>
        </w:rPr>
        <w:t>m</w:t>
      </w:r>
      <w:r w:rsidRPr="006A5D8C">
        <w:rPr>
          <w:rFonts w:ascii="Bookman Old Style" w:hAnsi="Bookman Old Style"/>
          <w:sz w:val="24"/>
        </w:rPr>
        <w:t>itigation benefit from solar and renewable energy use</w:t>
      </w:r>
      <w:r>
        <w:rPr>
          <w:rFonts w:ascii="Bookman Old Style" w:hAnsi="Bookman Old Style"/>
          <w:sz w:val="24"/>
        </w:rPr>
        <w:t>.</w:t>
      </w:r>
    </w:p>
    <w:p w14:paraId="215415F2" w14:textId="5A2EAAAD" w:rsidR="006A5D8C" w:rsidRPr="006A5D8C" w:rsidRDefault="006A5D8C" w:rsidP="00DB39FB">
      <w:pPr>
        <w:numPr>
          <w:ilvl w:val="0"/>
          <w:numId w:val="7"/>
        </w:numPr>
        <w:spacing w:line="240" w:lineRule="auto"/>
        <w:rPr>
          <w:rFonts w:ascii="Bookman Old Style" w:hAnsi="Bookman Old Style"/>
          <w:sz w:val="24"/>
        </w:rPr>
      </w:pPr>
      <w:r w:rsidRPr="006A5D8C">
        <w:rPr>
          <w:rFonts w:ascii="Bookman Old Style" w:hAnsi="Bookman Old Style"/>
          <w:sz w:val="24"/>
        </w:rPr>
        <w:t xml:space="preserve">For the Innovative Financing Mechanism component, we </w:t>
      </w:r>
      <w:r>
        <w:rPr>
          <w:rFonts w:ascii="Bookman Old Style" w:hAnsi="Bookman Old Style"/>
          <w:sz w:val="24"/>
        </w:rPr>
        <w:t>assume that this would yield a multiple of 1.5 times the support provided</w:t>
      </w:r>
      <w:r w:rsidR="00215900">
        <w:rPr>
          <w:rFonts w:ascii="Bookman Old Style" w:hAnsi="Bookman Old Style"/>
          <w:sz w:val="24"/>
        </w:rPr>
        <w:t xml:space="preserve"> (investment from component1 only)</w:t>
      </w:r>
      <w:r>
        <w:rPr>
          <w:rFonts w:ascii="Bookman Old Style" w:hAnsi="Bookman Old Style"/>
          <w:sz w:val="24"/>
        </w:rPr>
        <w:t xml:space="preserve"> with a lag of 3 years. This is a conservative estimate compared to earlier economic analysis carried out by the World Bank in Niger </w:t>
      </w:r>
      <w:r w:rsidRPr="006A5D8C">
        <w:rPr>
          <w:rFonts w:ascii="Bookman Old Style" w:hAnsi="Bookman Old Style"/>
          <w:sz w:val="24"/>
        </w:rPr>
        <w:t xml:space="preserve">that assume that as a result of increased investment in production technologies and therefore efficiency, sales, and capacity utilization, the supported farmers and firms would yield an increase in output at a multiple of 2 times the support provided with a lag of 2 years. </w:t>
      </w:r>
      <w:r>
        <w:rPr>
          <w:rFonts w:ascii="Bookman Old Style" w:hAnsi="Bookman Old Style"/>
          <w:sz w:val="24"/>
        </w:rPr>
        <w:lastRenderedPageBreak/>
        <w:t xml:space="preserve">Other studies in Burkina Faso had assumed </w:t>
      </w:r>
      <w:r w:rsidRPr="006A5D8C">
        <w:rPr>
          <w:rFonts w:ascii="Bookman Old Style" w:hAnsi="Bookman Old Style"/>
          <w:sz w:val="24"/>
        </w:rPr>
        <w:t>a multiple of 10 times the grant was used</w:t>
      </w:r>
      <w:r>
        <w:rPr>
          <w:rFonts w:ascii="Bookman Old Style" w:hAnsi="Bookman Old Style"/>
          <w:sz w:val="24"/>
        </w:rPr>
        <w:t>.</w:t>
      </w:r>
    </w:p>
    <w:p w14:paraId="393348B5" w14:textId="518CEB24" w:rsidR="006A5D8C" w:rsidRPr="006A5D8C" w:rsidRDefault="006A5D8C" w:rsidP="005C6E47">
      <w:pPr>
        <w:numPr>
          <w:ilvl w:val="0"/>
          <w:numId w:val="7"/>
        </w:numPr>
        <w:spacing w:line="240" w:lineRule="auto"/>
        <w:rPr>
          <w:rFonts w:ascii="Bookman Old Style" w:hAnsi="Bookman Old Style"/>
          <w:sz w:val="24"/>
        </w:rPr>
      </w:pPr>
      <w:r>
        <w:rPr>
          <w:rFonts w:ascii="Bookman Old Style" w:hAnsi="Bookman Old Style"/>
          <w:sz w:val="24"/>
        </w:rPr>
        <w:t xml:space="preserve">For estimating the carbon benefits, </w:t>
      </w:r>
      <w:r w:rsidR="00780436" w:rsidRPr="00780436">
        <w:rPr>
          <w:rFonts w:ascii="Bookman Old Style" w:hAnsi="Bookman Old Style"/>
          <w:sz w:val="24"/>
        </w:rPr>
        <w:t>EX-ACT Carbon Calculation Methodology</w:t>
      </w:r>
      <w:r w:rsidR="00780436">
        <w:rPr>
          <w:rFonts w:ascii="Bookman Old Style" w:hAnsi="Bookman Old Style"/>
          <w:sz w:val="24"/>
        </w:rPr>
        <w:t xml:space="preserve"> </w:t>
      </w:r>
      <w:r>
        <w:rPr>
          <w:rFonts w:ascii="Bookman Old Style" w:hAnsi="Bookman Old Style"/>
          <w:sz w:val="24"/>
        </w:rPr>
        <w:t xml:space="preserve">was used showing a cumulative mitigation benefit of </w:t>
      </w:r>
      <w:r w:rsidRPr="0026595E">
        <w:rPr>
          <w:rFonts w:ascii="Bookman Old Style" w:hAnsi="Bookman Old Style"/>
          <w:b/>
          <w:bCs/>
          <w:sz w:val="24"/>
          <w:szCs w:val="24"/>
        </w:rPr>
        <w:t>1,</w:t>
      </w:r>
      <w:r w:rsidR="005C6E47">
        <w:rPr>
          <w:rFonts w:ascii="Bookman Old Style" w:hAnsi="Bookman Old Style"/>
          <w:b/>
          <w:bCs/>
          <w:sz w:val="24"/>
          <w:szCs w:val="24"/>
        </w:rPr>
        <w:t>606,242</w:t>
      </w:r>
      <w:bookmarkStart w:id="0" w:name="_GoBack"/>
      <w:bookmarkEnd w:id="0"/>
      <w:r w:rsidRPr="0026595E">
        <w:rPr>
          <w:rFonts w:ascii="Bookman Old Style" w:hAnsi="Bookman Old Style"/>
          <w:b/>
          <w:bCs/>
          <w:sz w:val="24"/>
          <w:szCs w:val="24"/>
        </w:rPr>
        <w:t xml:space="preserve"> </w:t>
      </w:r>
      <w:r w:rsidRPr="0026595E">
        <w:rPr>
          <w:rFonts w:ascii="Bookman Old Style" w:hAnsi="Bookman Old Style"/>
          <w:sz w:val="24"/>
          <w:szCs w:val="24"/>
        </w:rPr>
        <w:t>tCO</w:t>
      </w:r>
      <w:r w:rsidRPr="0026595E">
        <w:rPr>
          <w:rFonts w:ascii="Bookman Old Style" w:hAnsi="Bookman Old Style"/>
          <w:sz w:val="24"/>
          <w:szCs w:val="24"/>
          <w:vertAlign w:val="superscript"/>
        </w:rPr>
        <w:t>2</w:t>
      </w:r>
      <w:r w:rsidRPr="0026595E">
        <w:rPr>
          <w:rFonts w:ascii="Bookman Old Style" w:hAnsi="Bookman Old Style"/>
          <w:sz w:val="24"/>
          <w:szCs w:val="24"/>
        </w:rPr>
        <w:t>eq</w:t>
      </w:r>
      <w:r w:rsidRPr="00780436">
        <w:rPr>
          <w:rFonts w:ascii="Bookman Old Style" w:hAnsi="Bookman Old Style"/>
          <w:sz w:val="24"/>
        </w:rPr>
        <w:t>.</w:t>
      </w:r>
      <w:r w:rsidR="00780436" w:rsidRPr="00780436">
        <w:rPr>
          <w:rFonts w:ascii="Bookman Old Style" w:hAnsi="Bookman Old Style"/>
          <w:sz w:val="24"/>
        </w:rPr>
        <w:t xml:space="preserve"> A</w:t>
      </w:r>
      <w:r w:rsidRPr="00780436">
        <w:rPr>
          <w:rFonts w:ascii="Bookman Old Style" w:hAnsi="Bookman Old Style"/>
          <w:sz w:val="24"/>
        </w:rPr>
        <w:t xml:space="preserve"> breakdown of this by project activity is presented in the table below with details in Annex 12.</w:t>
      </w:r>
    </w:p>
    <w:tbl>
      <w:tblPr>
        <w:tblStyle w:val="TableGrid"/>
        <w:tblW w:w="9322" w:type="dxa"/>
        <w:tblLook w:val="04A0" w:firstRow="1" w:lastRow="0" w:firstColumn="1" w:lastColumn="0" w:noHBand="0" w:noVBand="1"/>
      </w:tblPr>
      <w:tblGrid>
        <w:gridCol w:w="3936"/>
        <w:gridCol w:w="5386"/>
      </w:tblGrid>
      <w:tr w:rsidR="005C6E47" w:rsidRPr="000C22FE" w14:paraId="50329153" w14:textId="77777777" w:rsidTr="00A84779">
        <w:trPr>
          <w:trHeight w:val="408"/>
        </w:trPr>
        <w:tc>
          <w:tcPr>
            <w:tcW w:w="3936" w:type="dxa"/>
          </w:tcPr>
          <w:p w14:paraId="77463783" w14:textId="77777777" w:rsidR="005C6E47" w:rsidRPr="000C22FE" w:rsidRDefault="005C6E47" w:rsidP="00A84779">
            <w:pPr>
              <w:rPr>
                <w:b/>
                <w:bCs/>
              </w:rPr>
            </w:pPr>
            <w:r>
              <w:rPr>
                <w:b/>
                <w:bCs/>
              </w:rPr>
              <w:t>Project Activity Category</w:t>
            </w:r>
          </w:p>
        </w:tc>
        <w:tc>
          <w:tcPr>
            <w:tcW w:w="5386" w:type="dxa"/>
          </w:tcPr>
          <w:p w14:paraId="5BCC85B6" w14:textId="77777777" w:rsidR="005C6E47" w:rsidRPr="000C22FE" w:rsidRDefault="005C6E47" w:rsidP="00A84779">
            <w:pPr>
              <w:rPr>
                <w:b/>
                <w:bCs/>
              </w:rPr>
            </w:pPr>
            <w:r>
              <w:rPr>
                <w:b/>
                <w:bCs/>
              </w:rPr>
              <w:t xml:space="preserve">Total mitigation </w:t>
            </w:r>
            <w:r w:rsidRPr="00AC66A4">
              <w:rPr>
                <w:b/>
                <w:bCs/>
              </w:rPr>
              <w:t>benefit (tCO</w:t>
            </w:r>
            <w:r w:rsidRPr="00AC66A4">
              <w:rPr>
                <w:b/>
                <w:bCs/>
                <w:vertAlign w:val="superscript"/>
              </w:rPr>
              <w:t>2</w:t>
            </w:r>
            <w:r w:rsidRPr="00AC66A4">
              <w:rPr>
                <w:b/>
                <w:bCs/>
              </w:rPr>
              <w:t>eq)</w:t>
            </w:r>
          </w:p>
        </w:tc>
      </w:tr>
      <w:tr w:rsidR="005C6E47" w14:paraId="761F2FFA" w14:textId="77777777" w:rsidTr="00A84779">
        <w:tc>
          <w:tcPr>
            <w:tcW w:w="3936" w:type="dxa"/>
          </w:tcPr>
          <w:p w14:paraId="3EFE00CF" w14:textId="77777777" w:rsidR="005C6E47" w:rsidRDefault="005C6E47" w:rsidP="00A84779">
            <w:r>
              <w:t>Woodlot development and pastoral forest restoration</w:t>
            </w:r>
          </w:p>
        </w:tc>
        <w:tc>
          <w:tcPr>
            <w:tcW w:w="5386" w:type="dxa"/>
          </w:tcPr>
          <w:p w14:paraId="3171CF01" w14:textId="77777777" w:rsidR="005C6E47" w:rsidRPr="00AD6532" w:rsidRDefault="005C6E47" w:rsidP="00A84779">
            <w:r>
              <w:t xml:space="preserve"> 1,178,068</w:t>
            </w:r>
          </w:p>
        </w:tc>
      </w:tr>
      <w:tr w:rsidR="005C6E47" w14:paraId="1AD742C5" w14:textId="77777777" w:rsidTr="00A84779">
        <w:tc>
          <w:tcPr>
            <w:tcW w:w="3936" w:type="dxa"/>
          </w:tcPr>
          <w:p w14:paraId="25808920" w14:textId="77777777" w:rsidR="005C6E47" w:rsidRDefault="005C6E47" w:rsidP="00A84779">
            <w:r>
              <w:t>Annual cropland restoration</w:t>
            </w:r>
          </w:p>
        </w:tc>
        <w:tc>
          <w:tcPr>
            <w:tcW w:w="5386" w:type="dxa"/>
          </w:tcPr>
          <w:p w14:paraId="4F195B7A" w14:textId="77777777" w:rsidR="005C6E47" w:rsidRPr="00AD6532" w:rsidRDefault="005C6E47" w:rsidP="00A84779">
            <w:r w:rsidRPr="00AD6532">
              <w:t>-139 506</w:t>
            </w:r>
          </w:p>
        </w:tc>
      </w:tr>
      <w:tr w:rsidR="005C6E47" w14:paraId="72A1D90C" w14:textId="77777777" w:rsidTr="00A84779">
        <w:tc>
          <w:tcPr>
            <w:tcW w:w="3936" w:type="dxa"/>
          </w:tcPr>
          <w:p w14:paraId="4F29452D" w14:textId="77777777" w:rsidR="005C6E47" w:rsidRDefault="005C6E47" w:rsidP="00A84779">
            <w:r>
              <w:t>Grassland restoration</w:t>
            </w:r>
          </w:p>
        </w:tc>
        <w:tc>
          <w:tcPr>
            <w:tcW w:w="5386" w:type="dxa"/>
          </w:tcPr>
          <w:p w14:paraId="7D4F9F5E" w14:textId="77777777" w:rsidR="005C6E47" w:rsidRPr="00AD6532" w:rsidRDefault="005C6E47" w:rsidP="00A84779">
            <w:r w:rsidRPr="00AD6532">
              <w:t>-255 688</w:t>
            </w:r>
          </w:p>
        </w:tc>
      </w:tr>
      <w:tr w:rsidR="005C6E47" w14:paraId="436AD34F" w14:textId="77777777" w:rsidTr="00A84779">
        <w:tc>
          <w:tcPr>
            <w:tcW w:w="3936" w:type="dxa"/>
          </w:tcPr>
          <w:p w14:paraId="4610A3F6" w14:textId="77777777" w:rsidR="005C6E47" w:rsidRDefault="005C6E47" w:rsidP="00A84779">
            <w:r>
              <w:t>Other LUC (associated GHG mitigation)</w:t>
            </w:r>
          </w:p>
        </w:tc>
        <w:tc>
          <w:tcPr>
            <w:tcW w:w="5386" w:type="dxa"/>
          </w:tcPr>
          <w:p w14:paraId="076EDEED" w14:textId="77777777" w:rsidR="005C6E47" w:rsidRPr="00AD6532" w:rsidRDefault="005C6E47" w:rsidP="00A84779">
            <w:r w:rsidRPr="00AD6532">
              <w:t>-</w:t>
            </w:r>
            <w:r>
              <w:t>6,949</w:t>
            </w:r>
          </w:p>
        </w:tc>
      </w:tr>
      <w:tr w:rsidR="005C6E47" w14:paraId="64B07BB1" w14:textId="77777777" w:rsidTr="00A84779">
        <w:tc>
          <w:tcPr>
            <w:tcW w:w="3936" w:type="dxa"/>
          </w:tcPr>
          <w:p w14:paraId="743953CA" w14:textId="77777777" w:rsidR="005C6E47" w:rsidRDefault="005C6E47" w:rsidP="00A84779">
            <w:r>
              <w:t>Renewable Energy investment</w:t>
            </w:r>
          </w:p>
        </w:tc>
        <w:tc>
          <w:tcPr>
            <w:tcW w:w="5386" w:type="dxa"/>
          </w:tcPr>
          <w:p w14:paraId="56506145" w14:textId="77777777" w:rsidR="005C6E47" w:rsidRPr="00AD6532" w:rsidRDefault="005C6E47" w:rsidP="00A84779">
            <w:r w:rsidRPr="00AD6532">
              <w:t>-</w:t>
            </w:r>
            <w:r>
              <w:t>39,927</w:t>
            </w:r>
          </w:p>
        </w:tc>
      </w:tr>
      <w:tr w:rsidR="005C6E47" w14:paraId="788E4670" w14:textId="77777777" w:rsidTr="00A84779">
        <w:tc>
          <w:tcPr>
            <w:tcW w:w="3936" w:type="dxa"/>
          </w:tcPr>
          <w:p w14:paraId="61861728" w14:textId="77777777" w:rsidR="005C6E47" w:rsidRPr="00126B7C" w:rsidRDefault="005C6E47" w:rsidP="00A84779">
            <w:pPr>
              <w:rPr>
                <w:b/>
                <w:bCs/>
              </w:rPr>
            </w:pPr>
            <w:r w:rsidRPr="00126B7C">
              <w:rPr>
                <w:b/>
                <w:bCs/>
              </w:rPr>
              <w:t>Total</w:t>
            </w:r>
          </w:p>
        </w:tc>
        <w:tc>
          <w:tcPr>
            <w:tcW w:w="5386" w:type="dxa"/>
          </w:tcPr>
          <w:p w14:paraId="70333BE9" w14:textId="77777777" w:rsidR="005C6E47" w:rsidRPr="00126B7C" w:rsidRDefault="005C6E47" w:rsidP="00A84779">
            <w:pPr>
              <w:rPr>
                <w:b/>
                <w:bCs/>
              </w:rPr>
            </w:pPr>
            <w:r>
              <w:rPr>
                <w:b/>
                <w:bCs/>
              </w:rPr>
              <w:t>-1,606,242</w:t>
            </w:r>
          </w:p>
        </w:tc>
      </w:tr>
    </w:tbl>
    <w:p w14:paraId="7F506593" w14:textId="5B5E25EB" w:rsidR="006A5D8C" w:rsidRDefault="006A5D8C" w:rsidP="006A5D8C">
      <w:pPr>
        <w:spacing w:before="40" w:after="40"/>
        <w:jc w:val="center"/>
        <w:rPr>
          <w:lang w:val="en-GB"/>
        </w:rPr>
      </w:pPr>
      <w:r w:rsidRPr="006A5D8C">
        <w:rPr>
          <w:sz w:val="20"/>
        </w:rPr>
        <w:t>Breakdown of estimated mitigation of tCO2eq by individual activity</w:t>
      </w:r>
    </w:p>
    <w:p w14:paraId="5022B4A2" w14:textId="7EA218D4" w:rsidR="006442FD" w:rsidRDefault="00780436" w:rsidP="008867D3">
      <w:pPr>
        <w:numPr>
          <w:ilvl w:val="0"/>
          <w:numId w:val="7"/>
        </w:numPr>
        <w:spacing w:line="240" w:lineRule="auto"/>
        <w:rPr>
          <w:rFonts w:ascii="Bookman Old Style" w:hAnsi="Bookman Old Style"/>
          <w:sz w:val="24"/>
        </w:rPr>
      </w:pPr>
      <w:r>
        <w:rPr>
          <w:rFonts w:ascii="Bookman Old Style" w:hAnsi="Bookman Old Style"/>
          <w:sz w:val="24"/>
        </w:rPr>
        <w:t xml:space="preserve">We converted the mitigation benefit to dollar amount in line with </w:t>
      </w:r>
      <w:bookmarkStart w:id="1" w:name="_Hlk20305219"/>
      <w:r w:rsidR="006442FD" w:rsidRPr="006442FD">
        <w:rPr>
          <w:rFonts w:ascii="Bookman Old Style" w:hAnsi="Bookman Old Style"/>
          <w:sz w:val="24"/>
        </w:rPr>
        <w:t>World Bank</w:t>
      </w:r>
      <w:r>
        <w:rPr>
          <w:rFonts w:ascii="Bookman Old Style" w:hAnsi="Bookman Old Style"/>
          <w:sz w:val="24"/>
        </w:rPr>
        <w:t>’s</w:t>
      </w:r>
      <w:r w:rsidR="006442FD" w:rsidRPr="006442FD">
        <w:rPr>
          <w:rFonts w:ascii="Bookman Old Style" w:hAnsi="Bookman Old Style"/>
          <w:sz w:val="24"/>
        </w:rPr>
        <w:t>, Sept. 2017</w:t>
      </w:r>
      <w:r w:rsidR="004E3D57" w:rsidRPr="006442FD">
        <w:rPr>
          <w:rFonts w:ascii="Bookman Old Style" w:hAnsi="Bookman Old Style"/>
          <w:sz w:val="24"/>
        </w:rPr>
        <w:t xml:space="preserve"> ‘Guidance Note on Shadow Price of Carbon in Economic Analysis’</w:t>
      </w:r>
      <w:bookmarkEnd w:id="1"/>
      <w:r>
        <w:rPr>
          <w:rFonts w:ascii="Bookman Old Style" w:hAnsi="Bookman Old Style"/>
          <w:sz w:val="24"/>
        </w:rPr>
        <w:t>. It is estimated that</w:t>
      </w:r>
      <w:r w:rsidR="004E3D57" w:rsidRPr="006442FD">
        <w:rPr>
          <w:rFonts w:ascii="Bookman Old Style" w:hAnsi="Bookman Old Style"/>
          <w:sz w:val="24"/>
        </w:rPr>
        <w:t xml:space="preserve"> </w:t>
      </w:r>
      <w:r w:rsidR="006442FD" w:rsidRPr="006442FD">
        <w:rPr>
          <w:rFonts w:ascii="Bookman Old Style" w:hAnsi="Bookman Old Style"/>
          <w:sz w:val="24"/>
        </w:rPr>
        <w:t>t</w:t>
      </w:r>
      <w:r w:rsidR="004E3D57" w:rsidRPr="006442FD">
        <w:rPr>
          <w:rFonts w:ascii="Bookman Old Style" w:hAnsi="Bookman Old Style"/>
          <w:sz w:val="24"/>
        </w:rPr>
        <w:t xml:space="preserve">he low value of the shadow price </w:t>
      </w:r>
      <w:r>
        <w:rPr>
          <w:rFonts w:ascii="Bookman Old Style" w:hAnsi="Bookman Old Style"/>
          <w:sz w:val="24"/>
        </w:rPr>
        <w:t>is</w:t>
      </w:r>
      <w:r w:rsidR="004E3D57" w:rsidRPr="006442FD">
        <w:rPr>
          <w:rFonts w:ascii="Bookman Old Style" w:hAnsi="Bookman Old Style"/>
          <w:sz w:val="24"/>
        </w:rPr>
        <w:t xml:space="preserve"> US$40 per tCO2e emission in year 2020 </w:t>
      </w:r>
      <w:r>
        <w:rPr>
          <w:rFonts w:ascii="Bookman Old Style" w:hAnsi="Bookman Old Style"/>
          <w:sz w:val="24"/>
        </w:rPr>
        <w:t>which will</w:t>
      </w:r>
      <w:r w:rsidR="004E3D57" w:rsidRPr="006442FD">
        <w:rPr>
          <w:rFonts w:ascii="Bookman Old Style" w:hAnsi="Bookman Old Style"/>
          <w:sz w:val="24"/>
        </w:rPr>
        <w:t xml:space="preserve"> increase to US$54 per tCO2e emission in year 2034; the high values of the</w:t>
      </w:r>
      <w:r w:rsidR="006442FD">
        <w:rPr>
          <w:rFonts w:ascii="Bookman Old Style" w:hAnsi="Bookman Old Style"/>
          <w:sz w:val="24"/>
        </w:rPr>
        <w:t xml:space="preserve"> </w:t>
      </w:r>
      <w:r w:rsidR="004E3D57" w:rsidRPr="006442FD">
        <w:rPr>
          <w:rFonts w:ascii="Bookman Old Style" w:hAnsi="Bookman Old Style"/>
          <w:sz w:val="24"/>
        </w:rPr>
        <w:t>shadow price are estimated at US$80 per tCO2e emission in year 2020 and increase to US$109 per tCO2e emission in year 2034.</w:t>
      </w:r>
      <w:r>
        <w:rPr>
          <w:rFonts w:ascii="Bookman Old Style" w:hAnsi="Bookman Old Style"/>
          <w:sz w:val="24"/>
        </w:rPr>
        <w:t xml:space="preserve"> We used the 2034 low values to convert the total mitigation benefit.</w:t>
      </w:r>
    </w:p>
    <w:p w14:paraId="2EAA1B88" w14:textId="555B0155" w:rsidR="00B448BD" w:rsidRPr="00B81E73" w:rsidRDefault="00780436" w:rsidP="009A1675">
      <w:pPr>
        <w:pStyle w:val="ListParagraph"/>
        <w:numPr>
          <w:ilvl w:val="0"/>
          <w:numId w:val="7"/>
        </w:numPr>
        <w:rPr>
          <w:rFonts w:ascii="Bookman Old Style" w:hAnsi="Bookman Old Style"/>
          <w:sz w:val="24"/>
        </w:rPr>
      </w:pPr>
      <w:r>
        <w:rPr>
          <w:rFonts w:ascii="Bookman Old Style" w:hAnsi="Bookman Old Style"/>
          <w:sz w:val="24"/>
        </w:rPr>
        <w:t>Given that this project will primarily be providing access to credit, an explicit O&amp;M plan is not calculated. Individual investments will include a detailed O&amp;M plan.</w:t>
      </w:r>
    </w:p>
    <w:p w14:paraId="16494DC3" w14:textId="08C0419F" w:rsidR="00CB1001" w:rsidRPr="00B81E73" w:rsidRDefault="00CB1001" w:rsidP="00CB1001">
      <w:pPr>
        <w:rPr>
          <w:rFonts w:ascii="Bookman Old Style" w:hAnsi="Bookman Old Style"/>
          <w:sz w:val="24"/>
        </w:rPr>
      </w:pPr>
      <w:r w:rsidRPr="00B81E73">
        <w:rPr>
          <w:rFonts w:ascii="Bookman Old Style" w:hAnsi="Bookman Old Style"/>
          <w:sz w:val="24"/>
        </w:rPr>
        <w:t>Other significant benefits not quantified:</w:t>
      </w:r>
    </w:p>
    <w:p w14:paraId="52A2237D" w14:textId="7B50FF26" w:rsidR="00CB1001" w:rsidRPr="00B81E73" w:rsidRDefault="00CB1001">
      <w:pPr>
        <w:pStyle w:val="ListParagraph"/>
        <w:numPr>
          <w:ilvl w:val="0"/>
          <w:numId w:val="7"/>
        </w:numPr>
        <w:rPr>
          <w:rFonts w:ascii="Bookman Old Style" w:hAnsi="Bookman Old Style"/>
          <w:sz w:val="24"/>
        </w:rPr>
      </w:pPr>
      <w:r w:rsidRPr="00B81E73">
        <w:rPr>
          <w:rFonts w:ascii="Bookman Old Style" w:hAnsi="Bookman Old Style"/>
          <w:sz w:val="24"/>
        </w:rPr>
        <w:t>Other benefits not quantified include</w:t>
      </w:r>
      <w:r w:rsidR="00780436">
        <w:rPr>
          <w:rFonts w:ascii="Bookman Old Style" w:hAnsi="Bookman Old Style"/>
          <w:sz w:val="24"/>
        </w:rPr>
        <w:t xml:space="preserve"> benefits on s</w:t>
      </w:r>
      <w:r w:rsidR="00780436" w:rsidRPr="00780436">
        <w:rPr>
          <w:rFonts w:ascii="Bookman Old Style" w:hAnsi="Bookman Old Style"/>
          <w:sz w:val="24"/>
        </w:rPr>
        <w:t>trengthened capacity and business planning for FOs, women and youth organizations and or cooperatives, MSMEs including solar operators (disaggregated by gender and Youth</w:t>
      </w:r>
      <w:r w:rsidR="00BF3BA8" w:rsidRPr="00780436">
        <w:rPr>
          <w:rFonts w:ascii="Bookman Old Style" w:hAnsi="Bookman Old Style"/>
          <w:sz w:val="24"/>
        </w:rPr>
        <w:t>), to</w:t>
      </w:r>
      <w:r w:rsidR="00780436" w:rsidRPr="00780436">
        <w:rPr>
          <w:rFonts w:ascii="Bookman Old Style" w:hAnsi="Bookman Old Style"/>
          <w:sz w:val="24"/>
        </w:rPr>
        <w:t xml:space="preserve"> design business plans </w:t>
      </w:r>
      <w:r w:rsidR="00D03102" w:rsidRPr="00780436">
        <w:rPr>
          <w:rFonts w:ascii="Bookman Old Style" w:hAnsi="Bookman Old Style"/>
          <w:sz w:val="24"/>
        </w:rPr>
        <w:t>and access</w:t>
      </w:r>
      <w:r w:rsidR="00780436" w:rsidRPr="00780436">
        <w:rPr>
          <w:rFonts w:ascii="Bookman Old Style" w:hAnsi="Bookman Old Style"/>
          <w:sz w:val="24"/>
        </w:rPr>
        <w:t xml:space="preserve"> green lines products  from BAGRI and other MFIs and commercial banks and   implement diversified, climate resilient livelihood options</w:t>
      </w:r>
      <w:r w:rsidR="00227FDA" w:rsidRPr="00B81E73">
        <w:rPr>
          <w:rFonts w:ascii="Bookman Old Style" w:hAnsi="Bookman Old Style"/>
          <w:sz w:val="24"/>
        </w:rPr>
        <w:t>.</w:t>
      </w:r>
      <w:r w:rsidR="00780436">
        <w:rPr>
          <w:rFonts w:ascii="Bookman Old Style" w:hAnsi="Bookman Old Style"/>
          <w:sz w:val="24"/>
        </w:rPr>
        <w:t xml:space="preserve"> Other benefits include i</w:t>
      </w:r>
      <w:r w:rsidR="00780436" w:rsidRPr="00780436">
        <w:rPr>
          <w:rFonts w:ascii="Bookman Old Style" w:hAnsi="Bookman Old Style"/>
          <w:sz w:val="24"/>
        </w:rPr>
        <w:t xml:space="preserve">mproved policy dialogue, government technical and institutional </w:t>
      </w:r>
      <w:r w:rsidR="00780436" w:rsidRPr="00780436">
        <w:rPr>
          <w:rFonts w:ascii="Bookman Old Style" w:hAnsi="Bookman Old Style"/>
          <w:sz w:val="24"/>
        </w:rPr>
        <w:lastRenderedPageBreak/>
        <w:t>capacity, advocacy, training, knowledge management, information dissemination and stakeholder management through organizing round table and events with special emphasis given to the specific issues women and youth face and capacity building o</w:t>
      </w:r>
      <w:r w:rsidR="00BD0941">
        <w:rPr>
          <w:rFonts w:ascii="Bookman Old Style" w:hAnsi="Bookman Old Style"/>
          <w:sz w:val="24"/>
        </w:rPr>
        <w:t>f</w:t>
      </w:r>
      <w:r w:rsidR="00780436" w:rsidRPr="00780436">
        <w:rPr>
          <w:rFonts w:ascii="Bookman Old Style" w:hAnsi="Bookman Old Style"/>
          <w:sz w:val="24"/>
        </w:rPr>
        <w:t xml:space="preserve"> </w:t>
      </w:r>
      <w:r w:rsidR="00267DD4" w:rsidRPr="00780436">
        <w:rPr>
          <w:rFonts w:ascii="Bookman Old Style" w:hAnsi="Bookman Old Style"/>
          <w:sz w:val="24"/>
        </w:rPr>
        <w:t>government technical</w:t>
      </w:r>
      <w:r w:rsidR="00780436" w:rsidRPr="00780436">
        <w:rPr>
          <w:rFonts w:ascii="Bookman Old Style" w:hAnsi="Bookman Old Style"/>
          <w:sz w:val="24"/>
        </w:rPr>
        <w:t xml:space="preserve"> and institutional capacities.</w:t>
      </w:r>
    </w:p>
    <w:p w14:paraId="0C85BE1E" w14:textId="065AB0F0" w:rsidR="00C963CD" w:rsidRPr="00BF3BA8" w:rsidRDefault="00227FDA" w:rsidP="00B81E73">
      <w:pPr>
        <w:pStyle w:val="ListParagraph"/>
        <w:numPr>
          <w:ilvl w:val="0"/>
          <w:numId w:val="7"/>
        </w:numPr>
        <w:rPr>
          <w:rFonts w:ascii="Bookman Old Style" w:hAnsi="Bookman Old Style"/>
          <w:sz w:val="24"/>
        </w:rPr>
      </w:pPr>
      <w:r w:rsidRPr="00B81E73">
        <w:rPr>
          <w:rFonts w:ascii="Bookman Old Style" w:hAnsi="Bookman Old Style"/>
          <w:sz w:val="24"/>
        </w:rPr>
        <w:t xml:space="preserve">While the impact estimates capture total benefits </w:t>
      </w:r>
      <w:r w:rsidR="00780436">
        <w:rPr>
          <w:rFonts w:ascii="Bookman Old Style" w:hAnsi="Bookman Old Style"/>
          <w:sz w:val="24"/>
        </w:rPr>
        <w:t>of mitigation and access to loans</w:t>
      </w:r>
      <w:r w:rsidRPr="00B81E73">
        <w:rPr>
          <w:rFonts w:ascii="Bookman Old Style" w:hAnsi="Bookman Old Style"/>
          <w:sz w:val="24"/>
        </w:rPr>
        <w:t>, potential impacts like this can lead to higher benefits than the conservative estimate used in the analysis.</w:t>
      </w:r>
    </w:p>
    <w:p w14:paraId="4D556EBE" w14:textId="2BF054A5" w:rsidR="00841A83" w:rsidRPr="00B81E73" w:rsidRDefault="00841A83" w:rsidP="00841A83">
      <w:pPr>
        <w:pStyle w:val="Heading1"/>
        <w:numPr>
          <w:ilvl w:val="0"/>
          <w:numId w:val="6"/>
        </w:numPr>
        <w:rPr>
          <w:rFonts w:ascii="Bookman Old Style" w:hAnsi="Bookman Old Style"/>
        </w:rPr>
      </w:pPr>
      <w:r w:rsidRPr="00B81E73">
        <w:rPr>
          <w:rFonts w:ascii="Bookman Old Style" w:hAnsi="Bookman Old Style"/>
        </w:rPr>
        <w:t>Methodology and Parameter Assumptions</w:t>
      </w:r>
    </w:p>
    <w:p w14:paraId="165BF0F0" w14:textId="36C2FEA9" w:rsidR="00180F68" w:rsidRPr="00B81E73" w:rsidRDefault="00180F68" w:rsidP="00180F68">
      <w:pPr>
        <w:pStyle w:val="ListParagraph"/>
        <w:numPr>
          <w:ilvl w:val="0"/>
          <w:numId w:val="7"/>
        </w:numPr>
        <w:rPr>
          <w:rFonts w:ascii="Bookman Old Style" w:hAnsi="Bookman Old Style"/>
          <w:sz w:val="24"/>
        </w:rPr>
      </w:pPr>
      <w:r w:rsidRPr="00B81E73">
        <w:rPr>
          <w:rFonts w:ascii="Bookman Old Style" w:hAnsi="Bookman Old Style"/>
          <w:sz w:val="24"/>
        </w:rPr>
        <w:t xml:space="preserve">The economic analysis is based on the following </w:t>
      </w:r>
      <w:r w:rsidR="00FF3538" w:rsidRPr="00B81E73">
        <w:rPr>
          <w:rFonts w:ascii="Bookman Old Style" w:hAnsi="Bookman Old Style"/>
          <w:sz w:val="24"/>
        </w:rPr>
        <w:t xml:space="preserve">additional </w:t>
      </w:r>
      <w:r w:rsidRPr="00B81E73">
        <w:rPr>
          <w:rFonts w:ascii="Bookman Old Style" w:hAnsi="Bookman Old Style"/>
          <w:sz w:val="24"/>
        </w:rPr>
        <w:t>assumptions about the project and economic conditions:</w:t>
      </w:r>
    </w:p>
    <w:p w14:paraId="3E92F27A" w14:textId="269D6549" w:rsidR="0072717C" w:rsidRPr="00B81E73" w:rsidRDefault="00C06BDD" w:rsidP="00742B28">
      <w:pPr>
        <w:pStyle w:val="ListParagraph"/>
        <w:numPr>
          <w:ilvl w:val="1"/>
          <w:numId w:val="7"/>
        </w:numPr>
        <w:rPr>
          <w:rFonts w:ascii="Bookman Old Style" w:hAnsi="Bookman Old Style"/>
          <w:sz w:val="24"/>
        </w:rPr>
      </w:pPr>
      <w:r w:rsidRPr="00B81E73">
        <w:rPr>
          <w:rFonts w:ascii="Bookman Old Style" w:hAnsi="Bookman Old Style"/>
          <w:sz w:val="24"/>
        </w:rPr>
        <w:t>Benefits</w:t>
      </w:r>
      <w:r w:rsidR="00277CF1" w:rsidRPr="00B81E73">
        <w:rPr>
          <w:rFonts w:ascii="Bookman Old Style" w:hAnsi="Bookman Old Style"/>
          <w:sz w:val="24"/>
        </w:rPr>
        <w:t xml:space="preserve"> </w:t>
      </w:r>
      <w:r w:rsidR="008C71DE" w:rsidRPr="00B81E73">
        <w:rPr>
          <w:rFonts w:ascii="Bookman Old Style" w:hAnsi="Bookman Old Style"/>
          <w:sz w:val="24"/>
        </w:rPr>
        <w:t xml:space="preserve">generally won’t accrue the </w:t>
      </w:r>
      <w:r w:rsidR="003A1FB7" w:rsidRPr="00B81E73">
        <w:rPr>
          <w:rFonts w:ascii="Bookman Old Style" w:hAnsi="Bookman Old Style"/>
          <w:sz w:val="24"/>
        </w:rPr>
        <w:t>t</w:t>
      </w:r>
      <w:r w:rsidR="00C5288E">
        <w:rPr>
          <w:rFonts w:ascii="Bookman Old Style" w:hAnsi="Bookman Old Style"/>
          <w:sz w:val="24"/>
        </w:rPr>
        <w:t>hree</w:t>
      </w:r>
      <w:r w:rsidR="008C71DE" w:rsidRPr="00B81E73">
        <w:rPr>
          <w:rFonts w:ascii="Bookman Old Style" w:hAnsi="Bookman Old Style"/>
          <w:sz w:val="24"/>
        </w:rPr>
        <w:t xml:space="preserve"> year</w:t>
      </w:r>
      <w:r w:rsidR="003A1FB7" w:rsidRPr="00B81E73">
        <w:rPr>
          <w:rFonts w:ascii="Bookman Old Style" w:hAnsi="Bookman Old Style"/>
          <w:sz w:val="24"/>
        </w:rPr>
        <w:t>s</w:t>
      </w:r>
      <w:r w:rsidR="008C71DE" w:rsidRPr="00B81E73">
        <w:rPr>
          <w:rFonts w:ascii="Bookman Old Style" w:hAnsi="Bookman Old Style"/>
          <w:sz w:val="24"/>
        </w:rPr>
        <w:t xml:space="preserve"> of the project</w:t>
      </w:r>
      <w:r w:rsidR="00762CE2" w:rsidRPr="00B81E73">
        <w:rPr>
          <w:rFonts w:ascii="Bookman Old Style" w:hAnsi="Bookman Old Style"/>
          <w:sz w:val="24"/>
        </w:rPr>
        <w:t>.</w:t>
      </w:r>
      <w:r w:rsidR="00272CDE" w:rsidRPr="00B81E73">
        <w:rPr>
          <w:rFonts w:ascii="Bookman Old Style" w:hAnsi="Bookman Old Style"/>
          <w:sz w:val="24"/>
        </w:rPr>
        <w:t xml:space="preserve"> Because of the soft nature of </w:t>
      </w:r>
      <w:r w:rsidR="003A1FB7" w:rsidRPr="00B81E73">
        <w:rPr>
          <w:rFonts w:ascii="Bookman Old Style" w:hAnsi="Bookman Old Style"/>
          <w:sz w:val="24"/>
        </w:rPr>
        <w:t xml:space="preserve">some of the </w:t>
      </w:r>
      <w:r w:rsidR="00272CDE" w:rsidRPr="00B81E73">
        <w:rPr>
          <w:rFonts w:ascii="Bookman Old Style" w:hAnsi="Bookman Old Style"/>
          <w:sz w:val="24"/>
        </w:rPr>
        <w:t>interventions, benefits can accrue</w:t>
      </w:r>
      <w:r w:rsidR="00742B28" w:rsidRPr="00B81E73">
        <w:rPr>
          <w:rFonts w:ascii="Bookman Old Style" w:hAnsi="Bookman Old Style"/>
          <w:sz w:val="24"/>
        </w:rPr>
        <w:t xml:space="preserve"> starting from the </w:t>
      </w:r>
      <w:r w:rsidR="00C5288E">
        <w:rPr>
          <w:rFonts w:ascii="Bookman Old Style" w:hAnsi="Bookman Old Style"/>
          <w:sz w:val="24"/>
        </w:rPr>
        <w:t>fourth</w:t>
      </w:r>
      <w:r w:rsidR="00742B28" w:rsidRPr="00B81E73">
        <w:rPr>
          <w:rFonts w:ascii="Bookman Old Style" w:hAnsi="Bookman Old Style"/>
          <w:sz w:val="24"/>
        </w:rPr>
        <w:t xml:space="preserve"> year</w:t>
      </w:r>
      <w:r w:rsidR="00FF3538" w:rsidRPr="00B81E73">
        <w:rPr>
          <w:rFonts w:ascii="Bookman Old Style" w:hAnsi="Bookman Old Style" w:cstheme="minorHAnsi"/>
          <w:sz w:val="24"/>
        </w:rPr>
        <w:t>.</w:t>
      </w:r>
    </w:p>
    <w:p w14:paraId="4AA93D59" w14:textId="0A1FA378" w:rsidR="001106B8" w:rsidRPr="00B81E73" w:rsidRDefault="00267DD4" w:rsidP="00267DD4">
      <w:pPr>
        <w:pStyle w:val="ListParagraph"/>
        <w:numPr>
          <w:ilvl w:val="1"/>
          <w:numId w:val="7"/>
        </w:numPr>
        <w:rPr>
          <w:rFonts w:ascii="Bookman Old Style" w:hAnsi="Bookman Old Style"/>
        </w:rPr>
      </w:pPr>
      <w:r>
        <w:rPr>
          <w:rFonts w:ascii="Bookman Old Style" w:hAnsi="Bookman Old Style" w:cstheme="minorHAnsi"/>
          <w:sz w:val="24"/>
        </w:rPr>
        <w:t>Take up rate of the loan is assumed to be 100% with the assumption that there will be enough beneficiaries to keep recruiting till the project target is met.</w:t>
      </w:r>
      <w:r w:rsidRPr="00B81E73">
        <w:rPr>
          <w:rFonts w:ascii="Bookman Old Style" w:hAnsi="Bookman Old Style"/>
        </w:rPr>
        <w:t xml:space="preserve"> </w:t>
      </w:r>
    </w:p>
    <w:p w14:paraId="266CF981" w14:textId="77777777" w:rsidR="009B377B" w:rsidRPr="00B81E73" w:rsidRDefault="009B377B" w:rsidP="009B377B">
      <w:pPr>
        <w:pStyle w:val="Heading1"/>
        <w:numPr>
          <w:ilvl w:val="0"/>
          <w:numId w:val="6"/>
        </w:numPr>
        <w:rPr>
          <w:rFonts w:ascii="Bookman Old Style" w:hAnsi="Bookman Old Style"/>
        </w:rPr>
      </w:pPr>
      <w:r w:rsidRPr="00B81E73">
        <w:rPr>
          <w:rFonts w:ascii="Bookman Old Style" w:hAnsi="Bookman Old Style"/>
        </w:rPr>
        <w:t>Costs and Benefits</w:t>
      </w:r>
    </w:p>
    <w:p w14:paraId="0CEED23F" w14:textId="60D0A4BE" w:rsidR="005D6F85" w:rsidRPr="00B81E73" w:rsidRDefault="002D68B7" w:rsidP="0053198E">
      <w:pPr>
        <w:pStyle w:val="ListParagraph"/>
        <w:numPr>
          <w:ilvl w:val="0"/>
          <w:numId w:val="7"/>
        </w:numPr>
        <w:rPr>
          <w:rFonts w:ascii="Bookman Old Style" w:hAnsi="Bookman Old Style"/>
          <w:sz w:val="24"/>
        </w:rPr>
      </w:pPr>
      <w:r w:rsidRPr="00B81E73">
        <w:rPr>
          <w:rFonts w:ascii="Bookman Old Style" w:hAnsi="Bookman Old Style"/>
          <w:sz w:val="24"/>
        </w:rPr>
        <w:t xml:space="preserve">The total cost of the project amounts to USD </w:t>
      </w:r>
      <w:r w:rsidR="00267DD4" w:rsidRPr="00267DD4">
        <w:rPr>
          <w:rFonts w:ascii="Bookman Old Style" w:hAnsi="Bookman Old Style"/>
          <w:sz w:val="24"/>
        </w:rPr>
        <w:t>11</w:t>
      </w:r>
      <w:r w:rsidR="00267DD4">
        <w:rPr>
          <w:rFonts w:ascii="Bookman Old Style" w:hAnsi="Bookman Old Style"/>
          <w:sz w:val="24"/>
        </w:rPr>
        <w:t>.</w:t>
      </w:r>
      <w:r w:rsidR="00267DD4" w:rsidRPr="00267DD4">
        <w:rPr>
          <w:rFonts w:ascii="Bookman Old Style" w:hAnsi="Bookman Old Style"/>
          <w:sz w:val="24"/>
        </w:rPr>
        <w:t>475</w:t>
      </w:r>
      <w:r w:rsidR="00742B28" w:rsidRPr="00B81E73">
        <w:rPr>
          <w:rFonts w:ascii="Bookman Old Style" w:hAnsi="Bookman Old Style"/>
          <w:sz w:val="24"/>
        </w:rPr>
        <w:t xml:space="preserve"> million</w:t>
      </w:r>
      <w:r w:rsidR="00B3175C" w:rsidRPr="00B81E73">
        <w:rPr>
          <w:rFonts w:ascii="Bookman Old Style" w:hAnsi="Bookman Old Style"/>
          <w:sz w:val="24"/>
        </w:rPr>
        <w:t xml:space="preserve"> including cofinancing </w:t>
      </w:r>
      <w:r w:rsidR="00267DD4">
        <w:rPr>
          <w:rFonts w:ascii="Bookman Old Style" w:hAnsi="Bookman Old Style"/>
          <w:sz w:val="24"/>
        </w:rPr>
        <w:t>from IFAD and BAGRI.</w:t>
      </w:r>
      <w:r w:rsidR="00B3175C" w:rsidRPr="00B81E73">
        <w:rPr>
          <w:rFonts w:ascii="Bookman Old Style" w:hAnsi="Bookman Old Style"/>
          <w:sz w:val="24"/>
        </w:rPr>
        <w:t xml:space="preserve"> This excludes the</w:t>
      </w:r>
      <w:r w:rsidR="008A1E72" w:rsidRPr="00B81E73">
        <w:rPr>
          <w:rFonts w:ascii="Bookman Old Style" w:hAnsi="Bookman Old Style"/>
          <w:sz w:val="24"/>
        </w:rPr>
        <w:t xml:space="preserve"> operating and maintenance costs for the interventions over the lifetime of the project. </w:t>
      </w:r>
    </w:p>
    <w:p w14:paraId="47C13D0C" w14:textId="6B8F695B" w:rsidR="00A2352A" w:rsidRPr="00B81E73" w:rsidRDefault="00A2352A" w:rsidP="00D61315">
      <w:pPr>
        <w:pStyle w:val="ListParagraph"/>
        <w:numPr>
          <w:ilvl w:val="0"/>
          <w:numId w:val="7"/>
        </w:numPr>
        <w:rPr>
          <w:rFonts w:ascii="Bookman Old Style" w:hAnsi="Bookman Old Style"/>
          <w:sz w:val="24"/>
        </w:rPr>
      </w:pPr>
      <w:r w:rsidRPr="00B81E73">
        <w:rPr>
          <w:rFonts w:ascii="Bookman Old Style" w:hAnsi="Bookman Old Style"/>
          <w:sz w:val="24"/>
        </w:rPr>
        <w:t xml:space="preserve">The cost benefit analysis shows that with a 10 percent discount rate, the discounted net present value of the project is valued at </w:t>
      </w:r>
      <w:r w:rsidR="004E4333" w:rsidRPr="00B81E73">
        <w:rPr>
          <w:rFonts w:ascii="Bookman Old Style" w:hAnsi="Bookman Old Style"/>
          <w:sz w:val="24"/>
        </w:rPr>
        <w:t xml:space="preserve">about </w:t>
      </w:r>
      <w:r w:rsidR="00267DD4">
        <w:rPr>
          <w:rFonts w:ascii="Bookman Old Style" w:hAnsi="Bookman Old Style"/>
          <w:sz w:val="24"/>
        </w:rPr>
        <w:t>54.9</w:t>
      </w:r>
      <w:r w:rsidR="00D61315" w:rsidRPr="00B81E73">
        <w:rPr>
          <w:rFonts w:ascii="Bookman Old Style" w:hAnsi="Bookman Old Style"/>
          <w:sz w:val="24"/>
        </w:rPr>
        <w:t xml:space="preserve"> </w:t>
      </w:r>
      <w:r w:rsidR="004E4333" w:rsidRPr="00B81E73">
        <w:rPr>
          <w:rFonts w:ascii="Bookman Old Style" w:hAnsi="Bookman Old Style"/>
          <w:sz w:val="24"/>
        </w:rPr>
        <w:t>million</w:t>
      </w:r>
      <w:r w:rsidRPr="00B81E73">
        <w:rPr>
          <w:rFonts w:ascii="Bookman Old Style" w:hAnsi="Bookman Old Style"/>
          <w:sz w:val="24"/>
        </w:rPr>
        <w:t xml:space="preserve"> USD. The economic</w:t>
      </w:r>
      <w:r w:rsidR="008C146B" w:rsidRPr="00B81E73">
        <w:rPr>
          <w:rFonts w:ascii="Bookman Old Style" w:hAnsi="Bookman Old Style"/>
          <w:sz w:val="24"/>
        </w:rPr>
        <w:t xml:space="preserve"> internal rate of return is </w:t>
      </w:r>
      <w:r w:rsidR="00267DD4">
        <w:rPr>
          <w:rFonts w:ascii="Bookman Old Style" w:hAnsi="Bookman Old Style"/>
          <w:sz w:val="24"/>
        </w:rPr>
        <w:t>42</w:t>
      </w:r>
      <w:r w:rsidRPr="00B81E73">
        <w:rPr>
          <w:rFonts w:ascii="Bookman Old Style" w:hAnsi="Bookman Old Style"/>
          <w:sz w:val="24"/>
        </w:rPr>
        <w:t xml:space="preserve">%, which exceeds </w:t>
      </w:r>
      <w:r w:rsidR="00267DD4">
        <w:rPr>
          <w:rFonts w:ascii="Bookman Old Style" w:hAnsi="Bookman Old Style"/>
          <w:sz w:val="24"/>
        </w:rPr>
        <w:t xml:space="preserve">the discount rate of </w:t>
      </w:r>
      <w:r w:rsidRPr="00B81E73">
        <w:rPr>
          <w:rFonts w:ascii="Bookman Old Style" w:hAnsi="Bookman Old Style"/>
          <w:sz w:val="24"/>
        </w:rPr>
        <w:t>10</w:t>
      </w:r>
      <w:r w:rsidR="00AC726A" w:rsidRPr="00B81E73">
        <w:rPr>
          <w:rFonts w:ascii="Bookman Old Style" w:hAnsi="Bookman Old Style"/>
          <w:sz w:val="24"/>
        </w:rPr>
        <w:t>%</w:t>
      </w:r>
      <w:r w:rsidRPr="00B81E73">
        <w:rPr>
          <w:rFonts w:ascii="Bookman Old Style" w:hAnsi="Bookman Old Style"/>
          <w:sz w:val="24"/>
        </w:rPr>
        <w:t>.</w:t>
      </w:r>
    </w:p>
    <w:p w14:paraId="705DB9F0" w14:textId="2AF0D343" w:rsidR="00E84929" w:rsidRPr="00B81E73" w:rsidRDefault="00332A4C" w:rsidP="0056740F">
      <w:pPr>
        <w:pStyle w:val="ListParagraph"/>
        <w:numPr>
          <w:ilvl w:val="0"/>
          <w:numId w:val="7"/>
        </w:numPr>
        <w:spacing w:after="0"/>
        <w:jc w:val="both"/>
        <w:rPr>
          <w:rFonts w:ascii="Bookman Old Style" w:hAnsi="Bookman Old Style" w:cs="Arial"/>
          <w:sz w:val="24"/>
          <w:szCs w:val="20"/>
        </w:rPr>
      </w:pPr>
      <w:bookmarkStart w:id="2" w:name="_Hlk503380114"/>
      <w:r w:rsidRPr="00B81E73">
        <w:rPr>
          <w:rFonts w:ascii="Bookman Old Style" w:eastAsia="Times New Roman" w:hAnsi="Bookman Old Style" w:cs="Arial"/>
          <w:color w:val="000000"/>
          <w:sz w:val="24"/>
          <w:szCs w:val="20"/>
          <w:lang w:eastAsia="ja-JP"/>
        </w:rPr>
        <w:t xml:space="preserve">Though the internal rate of return is </w:t>
      </w:r>
      <w:r w:rsidR="00267DD4">
        <w:rPr>
          <w:rFonts w:ascii="Bookman Old Style" w:eastAsia="Times New Roman" w:hAnsi="Bookman Old Style" w:cs="Arial"/>
          <w:color w:val="000000"/>
          <w:sz w:val="24"/>
          <w:szCs w:val="20"/>
          <w:lang w:eastAsia="ja-JP"/>
        </w:rPr>
        <w:t>42</w:t>
      </w:r>
      <w:r w:rsidRPr="00B81E73">
        <w:rPr>
          <w:rFonts w:ascii="Bookman Old Style" w:eastAsia="Times New Roman" w:hAnsi="Bookman Old Style" w:cs="Arial"/>
          <w:color w:val="000000"/>
          <w:sz w:val="24"/>
          <w:szCs w:val="20"/>
          <w:lang w:eastAsia="ja-JP"/>
        </w:rPr>
        <w:t xml:space="preserve">% for the </w:t>
      </w:r>
      <w:r w:rsidR="00DC638D" w:rsidRPr="00B81E73">
        <w:rPr>
          <w:rFonts w:ascii="Bookman Old Style" w:eastAsia="Times New Roman" w:hAnsi="Bookman Old Style" w:cs="Arial"/>
          <w:color w:val="000000"/>
          <w:sz w:val="24"/>
          <w:szCs w:val="20"/>
          <w:lang w:eastAsia="ja-JP"/>
        </w:rPr>
        <w:t xml:space="preserve">base </w:t>
      </w:r>
      <w:r w:rsidRPr="00B81E73">
        <w:rPr>
          <w:rFonts w:ascii="Bookman Old Style" w:eastAsia="Times New Roman" w:hAnsi="Bookman Old Style" w:cs="Arial"/>
          <w:color w:val="000000"/>
          <w:sz w:val="24"/>
          <w:szCs w:val="20"/>
          <w:lang w:eastAsia="ja-JP"/>
        </w:rPr>
        <w:t xml:space="preserve">case, </w:t>
      </w:r>
      <w:r w:rsidR="00DC638D" w:rsidRPr="00B81E73">
        <w:rPr>
          <w:rFonts w:ascii="Bookman Old Style" w:eastAsia="Times New Roman" w:hAnsi="Bookman Old Style" w:cs="Arial"/>
          <w:color w:val="000000"/>
          <w:sz w:val="24"/>
          <w:szCs w:val="20"/>
          <w:lang w:eastAsia="ja-JP"/>
        </w:rPr>
        <w:t xml:space="preserve">there are </w:t>
      </w:r>
      <w:r w:rsidRPr="00B81E73">
        <w:rPr>
          <w:rFonts w:ascii="Bookman Old Style" w:eastAsia="Times New Roman" w:hAnsi="Bookman Old Style" w:cs="Arial"/>
          <w:color w:val="000000"/>
          <w:sz w:val="24"/>
          <w:szCs w:val="20"/>
          <w:lang w:eastAsia="ja-JP"/>
        </w:rPr>
        <w:t>other benefits not captured in this analysis</w:t>
      </w:r>
      <w:r w:rsidR="00267DD4">
        <w:rPr>
          <w:rFonts w:ascii="Bookman Old Style" w:eastAsia="Times New Roman" w:hAnsi="Bookman Old Style" w:cs="Arial"/>
          <w:color w:val="000000"/>
          <w:sz w:val="24"/>
          <w:szCs w:val="20"/>
          <w:lang w:eastAsia="ja-JP"/>
        </w:rPr>
        <w:t xml:space="preserve"> highlighted previously. </w:t>
      </w:r>
      <w:r w:rsidR="00DC638D" w:rsidRPr="00B81E73">
        <w:rPr>
          <w:rFonts w:ascii="Bookman Old Style" w:hAnsi="Bookman Old Style"/>
          <w:sz w:val="24"/>
        </w:rPr>
        <w:t>The implication of not capturing the increase in the differences with or without the project in the face of climate change is that benefits estimated in this analysis provides a lower bound on the value of the project.</w:t>
      </w:r>
    </w:p>
    <w:p w14:paraId="021E9295" w14:textId="69619260" w:rsidR="00C963CD" w:rsidRPr="00BF3BA8" w:rsidRDefault="00332A4C" w:rsidP="00BF3BA8">
      <w:pPr>
        <w:pStyle w:val="ListParagraph"/>
        <w:numPr>
          <w:ilvl w:val="0"/>
          <w:numId w:val="7"/>
        </w:numPr>
        <w:spacing w:after="0"/>
        <w:jc w:val="both"/>
        <w:rPr>
          <w:rFonts w:ascii="Bookman Old Style" w:hAnsi="Bookman Old Style" w:cs="Arial"/>
          <w:szCs w:val="20"/>
        </w:rPr>
      </w:pPr>
      <w:r w:rsidRPr="00B81E73">
        <w:rPr>
          <w:rFonts w:ascii="Bookman Old Style" w:hAnsi="Bookman Old Style" w:cs="Arial"/>
          <w:sz w:val="24"/>
          <w:szCs w:val="20"/>
        </w:rPr>
        <w:t xml:space="preserve">Three sensitivity test cases were examined: (i) total cost </w:t>
      </w:r>
      <w:r w:rsidR="00CB1001" w:rsidRPr="00B81E73">
        <w:rPr>
          <w:rFonts w:ascii="Bookman Old Style" w:hAnsi="Bookman Old Style" w:cs="Arial"/>
          <w:sz w:val="24"/>
          <w:szCs w:val="20"/>
        </w:rPr>
        <w:t xml:space="preserve">increased </w:t>
      </w:r>
      <w:r w:rsidRPr="00B81E73">
        <w:rPr>
          <w:rFonts w:ascii="Bookman Old Style" w:hAnsi="Bookman Old Style" w:cs="Arial"/>
          <w:sz w:val="24"/>
          <w:szCs w:val="20"/>
        </w:rPr>
        <w:t>by 20%; and (ii) total benefits decreased by 20%; and (iii) total cost increased by 20% and total benefits simultaneously decreased by 20%. In all cases, the project remains economically feasible</w:t>
      </w:r>
      <w:r w:rsidR="00BD73AF" w:rsidRPr="00B81E73">
        <w:rPr>
          <w:rFonts w:ascii="Bookman Old Style" w:hAnsi="Bookman Old Style"/>
          <w:sz w:val="24"/>
        </w:rPr>
        <w:t xml:space="preserve"> and EIRR remains above the minimum threshold</w:t>
      </w:r>
      <w:r w:rsidRPr="00B81E73">
        <w:rPr>
          <w:rFonts w:ascii="Bookman Old Style" w:hAnsi="Bookman Old Style" w:cs="Arial"/>
          <w:sz w:val="24"/>
          <w:szCs w:val="20"/>
        </w:rPr>
        <w:t>. Results are presented below.</w:t>
      </w:r>
      <w:bookmarkEnd w:id="2"/>
    </w:p>
    <w:p w14:paraId="5F39534D" w14:textId="77777777" w:rsidR="00BF3BA8" w:rsidRPr="00BF3BA8" w:rsidRDefault="00BF3BA8" w:rsidP="00BF3BA8">
      <w:pPr>
        <w:spacing w:after="0"/>
        <w:jc w:val="both"/>
        <w:rPr>
          <w:rFonts w:ascii="Bookman Old Style" w:hAnsi="Bookman Old Style" w:cs="Arial"/>
          <w:szCs w:val="20"/>
        </w:rPr>
      </w:pPr>
    </w:p>
    <w:p w14:paraId="67DC22F6" w14:textId="5A03F465" w:rsidR="00332A4C" w:rsidRPr="00B81E73" w:rsidRDefault="00332A4C" w:rsidP="00332A4C">
      <w:pPr>
        <w:jc w:val="center"/>
        <w:rPr>
          <w:rFonts w:ascii="Bookman Old Style" w:hAnsi="Bookman Old Style"/>
          <w:i/>
          <w:iCs/>
        </w:rPr>
      </w:pPr>
      <w:r w:rsidRPr="00B81E73">
        <w:rPr>
          <w:rFonts w:ascii="Bookman Old Style" w:hAnsi="Bookman Old Style"/>
          <w:i/>
          <w:iCs/>
        </w:rPr>
        <w:t xml:space="preserve">Table </w:t>
      </w:r>
      <w:r w:rsidRPr="00B81E73">
        <w:rPr>
          <w:rFonts w:ascii="Bookman Old Style" w:hAnsi="Bookman Old Style"/>
          <w:i/>
          <w:iCs/>
        </w:rPr>
        <w:fldChar w:fldCharType="begin"/>
      </w:r>
      <w:r w:rsidRPr="00B81E73">
        <w:rPr>
          <w:rFonts w:ascii="Bookman Old Style" w:hAnsi="Bookman Old Style"/>
          <w:i/>
          <w:iCs/>
        </w:rPr>
        <w:instrText xml:space="preserve"> SEQ Table \* ARABIC </w:instrText>
      </w:r>
      <w:r w:rsidRPr="00B81E73">
        <w:rPr>
          <w:rFonts w:ascii="Bookman Old Style" w:hAnsi="Bookman Old Style"/>
          <w:i/>
          <w:iCs/>
        </w:rPr>
        <w:fldChar w:fldCharType="separate"/>
      </w:r>
      <w:r w:rsidR="002962EE" w:rsidRPr="00B81E73">
        <w:rPr>
          <w:rFonts w:ascii="Bookman Old Style" w:hAnsi="Bookman Old Style"/>
          <w:i/>
          <w:iCs/>
          <w:noProof/>
        </w:rPr>
        <w:t>1</w:t>
      </w:r>
      <w:r w:rsidRPr="00B81E73">
        <w:rPr>
          <w:rFonts w:ascii="Bookman Old Style" w:hAnsi="Bookman Old Style"/>
        </w:rPr>
        <w:fldChar w:fldCharType="end"/>
      </w:r>
      <w:r w:rsidRPr="00B81E73">
        <w:rPr>
          <w:rFonts w:ascii="Bookman Old Style" w:hAnsi="Bookman Old Style"/>
          <w:i/>
          <w:iCs/>
        </w:rPr>
        <w:t>: Net present value (million USD)</w:t>
      </w:r>
      <w:r w:rsidR="00F8668D" w:rsidRPr="00B81E73">
        <w:rPr>
          <w:rFonts w:ascii="Bookman Old Style" w:hAnsi="Bookman Old Style"/>
          <w:i/>
          <w:iCs/>
        </w:rPr>
        <w:t xml:space="preserve"> and Economic Internal Rate of Return (EIRR)</w:t>
      </w:r>
    </w:p>
    <w:tbl>
      <w:tblPr>
        <w:tblW w:w="8460" w:type="dxa"/>
        <w:jc w:val="center"/>
        <w:tblLook w:val="04A0" w:firstRow="1" w:lastRow="0" w:firstColumn="1" w:lastColumn="0" w:noHBand="0" w:noVBand="1"/>
      </w:tblPr>
      <w:tblGrid>
        <w:gridCol w:w="4310"/>
        <w:gridCol w:w="2610"/>
        <w:gridCol w:w="1540"/>
      </w:tblGrid>
      <w:tr w:rsidR="00332A4C" w:rsidRPr="00771608" w14:paraId="15F44BDE" w14:textId="77777777" w:rsidTr="00F8668D">
        <w:trPr>
          <w:trHeight w:val="525"/>
          <w:jc w:val="center"/>
        </w:trPr>
        <w:tc>
          <w:tcPr>
            <w:tcW w:w="4310" w:type="dxa"/>
            <w:tcBorders>
              <w:top w:val="single" w:sz="8" w:space="0" w:color="auto"/>
              <w:left w:val="single" w:sz="8" w:space="0" w:color="auto"/>
              <w:bottom w:val="single" w:sz="8" w:space="0" w:color="auto"/>
              <w:right w:val="single" w:sz="8" w:space="0" w:color="auto"/>
            </w:tcBorders>
            <w:shd w:val="clear" w:color="auto" w:fill="auto"/>
            <w:hideMark/>
          </w:tcPr>
          <w:p w14:paraId="03362D02" w14:textId="77777777" w:rsidR="00332A4C" w:rsidRPr="00771608" w:rsidRDefault="00332A4C" w:rsidP="00F8668D">
            <w:pPr>
              <w:rPr>
                <w:rFonts w:ascii="Bookman Old Style" w:hAnsi="Bookman Old Style"/>
                <w:sz w:val="20"/>
                <w:szCs w:val="20"/>
              </w:rPr>
            </w:pPr>
            <w:r w:rsidRPr="00771608">
              <w:rPr>
                <w:rFonts w:ascii="Bookman Old Style" w:hAnsi="Bookman Old Style"/>
                <w:sz w:val="20"/>
                <w:szCs w:val="20"/>
                <w:lang w:val="en-GB"/>
              </w:rPr>
              <w:lastRenderedPageBreak/>
              <w:t> </w:t>
            </w:r>
          </w:p>
        </w:tc>
        <w:tc>
          <w:tcPr>
            <w:tcW w:w="2610" w:type="dxa"/>
            <w:tcBorders>
              <w:top w:val="single" w:sz="8" w:space="0" w:color="auto"/>
              <w:left w:val="nil"/>
              <w:bottom w:val="single" w:sz="8" w:space="0" w:color="auto"/>
              <w:right w:val="single" w:sz="8" w:space="0" w:color="auto"/>
            </w:tcBorders>
            <w:shd w:val="clear" w:color="auto" w:fill="auto"/>
            <w:hideMark/>
          </w:tcPr>
          <w:p w14:paraId="50695FF2" w14:textId="2130624C" w:rsidR="00332A4C" w:rsidRPr="00771608" w:rsidRDefault="00F8668D" w:rsidP="00F8668D">
            <w:pPr>
              <w:rPr>
                <w:rFonts w:ascii="Bookman Old Style" w:hAnsi="Bookman Old Style"/>
                <w:sz w:val="20"/>
                <w:szCs w:val="20"/>
              </w:rPr>
            </w:pPr>
            <w:r w:rsidRPr="00771608">
              <w:rPr>
                <w:rFonts w:ascii="Bookman Old Style" w:hAnsi="Bookman Old Style"/>
                <w:sz w:val="20"/>
                <w:szCs w:val="20"/>
                <w:lang w:val="en-GB"/>
              </w:rPr>
              <w:t>NPV</w:t>
            </w:r>
          </w:p>
        </w:tc>
        <w:tc>
          <w:tcPr>
            <w:tcW w:w="1540" w:type="dxa"/>
            <w:tcBorders>
              <w:top w:val="single" w:sz="8" w:space="0" w:color="auto"/>
              <w:left w:val="nil"/>
              <w:bottom w:val="single" w:sz="8" w:space="0" w:color="auto"/>
              <w:right w:val="single" w:sz="8" w:space="0" w:color="auto"/>
            </w:tcBorders>
            <w:shd w:val="clear" w:color="auto" w:fill="auto"/>
            <w:hideMark/>
          </w:tcPr>
          <w:p w14:paraId="7592A5EC" w14:textId="1B65A049" w:rsidR="00332A4C" w:rsidRPr="00771608" w:rsidRDefault="00F8668D" w:rsidP="00F8668D">
            <w:pPr>
              <w:rPr>
                <w:rFonts w:ascii="Bookman Old Style" w:hAnsi="Bookman Old Style"/>
                <w:sz w:val="20"/>
                <w:szCs w:val="20"/>
              </w:rPr>
            </w:pPr>
            <w:r w:rsidRPr="00771608">
              <w:rPr>
                <w:rFonts w:ascii="Bookman Old Style" w:hAnsi="Bookman Old Style"/>
                <w:sz w:val="20"/>
                <w:szCs w:val="20"/>
                <w:lang w:val="en-GB"/>
              </w:rPr>
              <w:t>EIRR</w:t>
            </w:r>
          </w:p>
        </w:tc>
      </w:tr>
      <w:tr w:rsidR="006D72A2" w:rsidRPr="00771608" w14:paraId="256172EA" w14:textId="77777777" w:rsidTr="003B3D98">
        <w:trPr>
          <w:trHeight w:val="315"/>
          <w:jc w:val="center"/>
        </w:trPr>
        <w:tc>
          <w:tcPr>
            <w:tcW w:w="4310" w:type="dxa"/>
            <w:tcBorders>
              <w:top w:val="nil"/>
              <w:left w:val="single" w:sz="8" w:space="0" w:color="auto"/>
              <w:bottom w:val="single" w:sz="8" w:space="0" w:color="auto"/>
              <w:right w:val="single" w:sz="8" w:space="0" w:color="auto"/>
            </w:tcBorders>
            <w:shd w:val="clear" w:color="auto" w:fill="auto"/>
            <w:hideMark/>
          </w:tcPr>
          <w:p w14:paraId="580F444F" w14:textId="77777777" w:rsidR="006D72A2" w:rsidRPr="00771608" w:rsidRDefault="006D72A2" w:rsidP="006D72A2">
            <w:pPr>
              <w:rPr>
                <w:rFonts w:ascii="Bookman Old Style" w:hAnsi="Bookman Old Style"/>
                <w:sz w:val="20"/>
                <w:szCs w:val="20"/>
              </w:rPr>
            </w:pPr>
            <w:r w:rsidRPr="00771608">
              <w:rPr>
                <w:rFonts w:ascii="Bookman Old Style" w:hAnsi="Bookman Old Style"/>
                <w:sz w:val="20"/>
                <w:szCs w:val="20"/>
                <w:lang w:val="en-GB"/>
              </w:rPr>
              <w:t>Base case</w:t>
            </w:r>
          </w:p>
        </w:tc>
        <w:tc>
          <w:tcPr>
            <w:tcW w:w="2610" w:type="dxa"/>
            <w:tcBorders>
              <w:top w:val="single" w:sz="4" w:space="0" w:color="auto"/>
              <w:left w:val="single" w:sz="4" w:space="0" w:color="auto"/>
              <w:bottom w:val="single" w:sz="4" w:space="0" w:color="auto"/>
              <w:right w:val="single" w:sz="4" w:space="0" w:color="auto"/>
            </w:tcBorders>
            <w:shd w:val="clear" w:color="000000" w:fill="FCFCFF"/>
            <w:vAlign w:val="center"/>
            <w:hideMark/>
          </w:tcPr>
          <w:p w14:paraId="5CBC8189" w14:textId="031C4ED3" w:rsidR="006D72A2" w:rsidRPr="00771608" w:rsidRDefault="006D72A2" w:rsidP="006D72A2">
            <w:pPr>
              <w:rPr>
                <w:rFonts w:ascii="Bookman Old Style" w:hAnsi="Bookman Old Style"/>
                <w:sz w:val="20"/>
                <w:szCs w:val="20"/>
              </w:rPr>
            </w:pPr>
            <w:r>
              <w:rPr>
                <w:rFonts w:ascii="Arial" w:hAnsi="Arial" w:cs="Arial"/>
                <w:color w:val="000000"/>
                <w:sz w:val="20"/>
                <w:szCs w:val="20"/>
              </w:rPr>
              <w:t>$</w:t>
            </w:r>
            <w:r w:rsidR="00267DD4">
              <w:rPr>
                <w:rFonts w:ascii="Arial" w:hAnsi="Arial" w:cs="Arial"/>
                <w:color w:val="000000"/>
                <w:sz w:val="20"/>
                <w:szCs w:val="20"/>
              </w:rPr>
              <w:t>54.90</w:t>
            </w:r>
            <w:r>
              <w:rPr>
                <w:rFonts w:ascii="Arial" w:hAnsi="Arial" w:cs="Arial"/>
                <w:color w:val="000000"/>
                <w:sz w:val="20"/>
                <w:szCs w:val="20"/>
              </w:rPr>
              <w:t>M</w:t>
            </w:r>
          </w:p>
        </w:tc>
        <w:tc>
          <w:tcPr>
            <w:tcW w:w="1540" w:type="dxa"/>
            <w:tcBorders>
              <w:top w:val="single" w:sz="4" w:space="0" w:color="auto"/>
              <w:left w:val="single" w:sz="4" w:space="0" w:color="auto"/>
              <w:bottom w:val="single" w:sz="4" w:space="0" w:color="auto"/>
              <w:right w:val="single" w:sz="4" w:space="0" w:color="auto"/>
            </w:tcBorders>
            <w:shd w:val="clear" w:color="000000" w:fill="63BE7B"/>
            <w:vAlign w:val="center"/>
            <w:hideMark/>
          </w:tcPr>
          <w:p w14:paraId="46C241C1" w14:textId="2D515804" w:rsidR="006D72A2" w:rsidRPr="00771608" w:rsidRDefault="00267DD4" w:rsidP="006D72A2">
            <w:pPr>
              <w:rPr>
                <w:rFonts w:ascii="Bookman Old Style" w:hAnsi="Bookman Old Style"/>
                <w:sz w:val="20"/>
                <w:szCs w:val="20"/>
              </w:rPr>
            </w:pPr>
            <w:r>
              <w:rPr>
                <w:rFonts w:ascii="Arial" w:hAnsi="Arial" w:cs="Arial"/>
                <w:color w:val="000000"/>
                <w:sz w:val="20"/>
                <w:szCs w:val="20"/>
              </w:rPr>
              <w:t>42</w:t>
            </w:r>
            <w:r w:rsidR="006D72A2">
              <w:rPr>
                <w:rFonts w:ascii="Arial" w:hAnsi="Arial" w:cs="Arial"/>
                <w:color w:val="000000"/>
                <w:sz w:val="20"/>
                <w:szCs w:val="20"/>
              </w:rPr>
              <w:t>%</w:t>
            </w:r>
          </w:p>
        </w:tc>
      </w:tr>
      <w:tr w:rsidR="006D72A2" w:rsidRPr="00771608" w14:paraId="0FF97593" w14:textId="77777777" w:rsidTr="003B3D98">
        <w:trPr>
          <w:trHeight w:val="315"/>
          <w:jc w:val="center"/>
        </w:trPr>
        <w:tc>
          <w:tcPr>
            <w:tcW w:w="4310" w:type="dxa"/>
            <w:tcBorders>
              <w:top w:val="nil"/>
              <w:left w:val="single" w:sz="8" w:space="0" w:color="auto"/>
              <w:bottom w:val="single" w:sz="8" w:space="0" w:color="auto"/>
              <w:right w:val="single" w:sz="8" w:space="0" w:color="auto"/>
            </w:tcBorders>
            <w:shd w:val="clear" w:color="auto" w:fill="auto"/>
            <w:hideMark/>
          </w:tcPr>
          <w:p w14:paraId="268240C5" w14:textId="77777777" w:rsidR="006D72A2" w:rsidRPr="00771608" w:rsidRDefault="006D72A2" w:rsidP="006D72A2">
            <w:pPr>
              <w:rPr>
                <w:rFonts w:ascii="Bookman Old Style" w:hAnsi="Bookman Old Style"/>
                <w:sz w:val="20"/>
                <w:szCs w:val="20"/>
              </w:rPr>
            </w:pPr>
            <w:r w:rsidRPr="00771608">
              <w:rPr>
                <w:rFonts w:ascii="Bookman Old Style" w:hAnsi="Bookman Old Style"/>
                <w:sz w:val="20"/>
                <w:szCs w:val="20"/>
                <w:lang w:val="en-GB"/>
              </w:rPr>
              <w:t>Cost +20%</w:t>
            </w:r>
          </w:p>
        </w:tc>
        <w:tc>
          <w:tcPr>
            <w:tcW w:w="2610" w:type="dxa"/>
            <w:tcBorders>
              <w:top w:val="single" w:sz="4" w:space="0" w:color="auto"/>
              <w:left w:val="single" w:sz="4" w:space="0" w:color="auto"/>
              <w:bottom w:val="single" w:sz="4" w:space="0" w:color="auto"/>
              <w:right w:val="single" w:sz="4" w:space="0" w:color="auto"/>
            </w:tcBorders>
            <w:shd w:val="clear" w:color="000000" w:fill="E4F2EA"/>
            <w:vAlign w:val="center"/>
            <w:hideMark/>
          </w:tcPr>
          <w:p w14:paraId="6DFB7D29" w14:textId="6E4F9E08" w:rsidR="006D72A2" w:rsidRPr="00771608" w:rsidRDefault="006D72A2" w:rsidP="006D72A2">
            <w:pPr>
              <w:rPr>
                <w:rFonts w:ascii="Bookman Old Style" w:hAnsi="Bookman Old Style"/>
                <w:sz w:val="20"/>
                <w:szCs w:val="20"/>
              </w:rPr>
            </w:pPr>
            <w:r>
              <w:rPr>
                <w:rFonts w:ascii="Arial" w:hAnsi="Arial" w:cs="Arial"/>
                <w:color w:val="000000"/>
                <w:sz w:val="20"/>
                <w:szCs w:val="20"/>
              </w:rPr>
              <w:t>$</w:t>
            </w:r>
            <w:r w:rsidR="00267DD4">
              <w:rPr>
                <w:rFonts w:ascii="Arial" w:hAnsi="Arial" w:cs="Arial"/>
                <w:color w:val="000000"/>
                <w:sz w:val="20"/>
                <w:szCs w:val="20"/>
              </w:rPr>
              <w:t>53.16</w:t>
            </w:r>
            <w:r>
              <w:rPr>
                <w:rFonts w:ascii="Arial" w:hAnsi="Arial" w:cs="Arial"/>
                <w:color w:val="000000"/>
                <w:sz w:val="20"/>
                <w:szCs w:val="20"/>
              </w:rPr>
              <w:t>M</w:t>
            </w:r>
          </w:p>
        </w:tc>
        <w:tc>
          <w:tcPr>
            <w:tcW w:w="1540" w:type="dxa"/>
            <w:tcBorders>
              <w:top w:val="single" w:sz="4" w:space="0" w:color="auto"/>
              <w:left w:val="single" w:sz="4" w:space="0" w:color="auto"/>
              <w:bottom w:val="single" w:sz="4" w:space="0" w:color="auto"/>
              <w:right w:val="single" w:sz="4" w:space="0" w:color="auto"/>
            </w:tcBorders>
            <w:shd w:val="clear" w:color="000000" w:fill="63BE7B"/>
            <w:vAlign w:val="center"/>
            <w:hideMark/>
          </w:tcPr>
          <w:p w14:paraId="63FD858E" w14:textId="272775B0" w:rsidR="006D72A2" w:rsidRPr="00771608" w:rsidRDefault="00267DD4" w:rsidP="006D72A2">
            <w:pPr>
              <w:rPr>
                <w:rFonts w:ascii="Bookman Old Style" w:hAnsi="Bookman Old Style"/>
                <w:sz w:val="20"/>
                <w:szCs w:val="20"/>
              </w:rPr>
            </w:pPr>
            <w:r>
              <w:rPr>
                <w:rFonts w:ascii="Arial" w:hAnsi="Arial" w:cs="Arial"/>
                <w:color w:val="000000"/>
                <w:sz w:val="20"/>
                <w:szCs w:val="20"/>
              </w:rPr>
              <w:t>38</w:t>
            </w:r>
            <w:r w:rsidR="006D72A2">
              <w:rPr>
                <w:rFonts w:ascii="Arial" w:hAnsi="Arial" w:cs="Arial"/>
                <w:color w:val="000000"/>
                <w:sz w:val="20"/>
                <w:szCs w:val="20"/>
              </w:rPr>
              <w:t>%</w:t>
            </w:r>
          </w:p>
        </w:tc>
      </w:tr>
      <w:tr w:rsidR="006D72A2" w:rsidRPr="00771608" w14:paraId="5A8ACA0E" w14:textId="77777777" w:rsidTr="003B3D98">
        <w:trPr>
          <w:trHeight w:val="315"/>
          <w:jc w:val="center"/>
        </w:trPr>
        <w:tc>
          <w:tcPr>
            <w:tcW w:w="4310" w:type="dxa"/>
            <w:tcBorders>
              <w:top w:val="nil"/>
              <w:left w:val="single" w:sz="8" w:space="0" w:color="auto"/>
              <w:bottom w:val="single" w:sz="8" w:space="0" w:color="auto"/>
              <w:right w:val="single" w:sz="8" w:space="0" w:color="auto"/>
            </w:tcBorders>
            <w:shd w:val="clear" w:color="auto" w:fill="auto"/>
            <w:hideMark/>
          </w:tcPr>
          <w:p w14:paraId="70204BD6" w14:textId="77777777" w:rsidR="006D72A2" w:rsidRPr="00771608" w:rsidRDefault="006D72A2" w:rsidP="006D72A2">
            <w:pPr>
              <w:rPr>
                <w:rFonts w:ascii="Bookman Old Style" w:hAnsi="Bookman Old Style"/>
                <w:sz w:val="20"/>
                <w:szCs w:val="20"/>
              </w:rPr>
            </w:pPr>
            <w:r w:rsidRPr="00771608">
              <w:rPr>
                <w:rFonts w:ascii="Bookman Old Style" w:hAnsi="Bookman Old Style"/>
                <w:sz w:val="20"/>
                <w:szCs w:val="20"/>
                <w:lang w:val="en-GB"/>
              </w:rPr>
              <w:t>Benefits – 20%</w:t>
            </w:r>
          </w:p>
        </w:tc>
        <w:tc>
          <w:tcPr>
            <w:tcW w:w="2610" w:type="dxa"/>
            <w:tcBorders>
              <w:top w:val="single" w:sz="4" w:space="0" w:color="auto"/>
              <w:left w:val="single" w:sz="4" w:space="0" w:color="auto"/>
              <w:bottom w:val="single" w:sz="4" w:space="0" w:color="auto"/>
              <w:right w:val="single" w:sz="4" w:space="0" w:color="auto"/>
            </w:tcBorders>
            <w:shd w:val="clear" w:color="000000" w:fill="C5E6D0"/>
            <w:vAlign w:val="center"/>
            <w:hideMark/>
          </w:tcPr>
          <w:p w14:paraId="220A3CDE" w14:textId="6C5AB45C" w:rsidR="006D72A2" w:rsidRPr="00771608" w:rsidRDefault="006D72A2" w:rsidP="006D72A2">
            <w:pPr>
              <w:rPr>
                <w:rFonts w:ascii="Bookman Old Style" w:hAnsi="Bookman Old Style"/>
                <w:sz w:val="20"/>
                <w:szCs w:val="20"/>
              </w:rPr>
            </w:pPr>
            <w:r>
              <w:rPr>
                <w:rFonts w:ascii="Arial" w:hAnsi="Arial" w:cs="Arial"/>
                <w:color w:val="000000"/>
                <w:sz w:val="20"/>
                <w:szCs w:val="20"/>
              </w:rPr>
              <w:t>$</w:t>
            </w:r>
            <w:r w:rsidR="00267DD4">
              <w:rPr>
                <w:rFonts w:ascii="Arial" w:hAnsi="Arial" w:cs="Arial"/>
                <w:color w:val="000000"/>
                <w:sz w:val="20"/>
                <w:szCs w:val="20"/>
              </w:rPr>
              <w:t>42.18</w:t>
            </w:r>
            <w:r>
              <w:rPr>
                <w:rFonts w:ascii="Arial" w:hAnsi="Arial" w:cs="Arial"/>
                <w:color w:val="000000"/>
                <w:sz w:val="20"/>
                <w:szCs w:val="20"/>
              </w:rPr>
              <w:t>M</w:t>
            </w:r>
          </w:p>
        </w:tc>
        <w:tc>
          <w:tcPr>
            <w:tcW w:w="1540" w:type="dxa"/>
            <w:tcBorders>
              <w:top w:val="single" w:sz="4" w:space="0" w:color="auto"/>
              <w:left w:val="single" w:sz="4" w:space="0" w:color="auto"/>
              <w:bottom w:val="single" w:sz="4" w:space="0" w:color="auto"/>
              <w:right w:val="single" w:sz="4" w:space="0" w:color="auto"/>
            </w:tcBorders>
            <w:shd w:val="clear" w:color="000000" w:fill="63BE7B"/>
            <w:vAlign w:val="center"/>
            <w:hideMark/>
          </w:tcPr>
          <w:p w14:paraId="7DCDC851" w14:textId="3A09FECC" w:rsidR="006D72A2" w:rsidRPr="00771608" w:rsidRDefault="00267DD4" w:rsidP="006D72A2">
            <w:pPr>
              <w:rPr>
                <w:rFonts w:ascii="Bookman Old Style" w:hAnsi="Bookman Old Style"/>
                <w:sz w:val="20"/>
                <w:szCs w:val="20"/>
              </w:rPr>
            </w:pPr>
            <w:r>
              <w:rPr>
                <w:rFonts w:ascii="Arial" w:hAnsi="Arial" w:cs="Arial"/>
                <w:color w:val="000000"/>
                <w:sz w:val="20"/>
                <w:szCs w:val="20"/>
              </w:rPr>
              <w:t>37</w:t>
            </w:r>
            <w:r w:rsidR="006D72A2">
              <w:rPr>
                <w:rFonts w:ascii="Arial" w:hAnsi="Arial" w:cs="Arial"/>
                <w:color w:val="000000"/>
                <w:sz w:val="20"/>
                <w:szCs w:val="20"/>
              </w:rPr>
              <w:t>%</w:t>
            </w:r>
          </w:p>
        </w:tc>
      </w:tr>
      <w:tr w:rsidR="006D72A2" w:rsidRPr="00771608" w14:paraId="3B9949DF" w14:textId="77777777" w:rsidTr="003B3D98">
        <w:trPr>
          <w:trHeight w:val="525"/>
          <w:jc w:val="center"/>
        </w:trPr>
        <w:tc>
          <w:tcPr>
            <w:tcW w:w="4310" w:type="dxa"/>
            <w:tcBorders>
              <w:top w:val="nil"/>
              <w:left w:val="single" w:sz="8" w:space="0" w:color="auto"/>
              <w:bottom w:val="single" w:sz="8" w:space="0" w:color="auto"/>
              <w:right w:val="single" w:sz="8" w:space="0" w:color="auto"/>
            </w:tcBorders>
            <w:shd w:val="clear" w:color="auto" w:fill="auto"/>
            <w:hideMark/>
          </w:tcPr>
          <w:p w14:paraId="19765407" w14:textId="77777777" w:rsidR="006D72A2" w:rsidRPr="00771608" w:rsidRDefault="006D72A2" w:rsidP="006D72A2">
            <w:pPr>
              <w:rPr>
                <w:rFonts w:ascii="Bookman Old Style" w:hAnsi="Bookman Old Style"/>
                <w:sz w:val="20"/>
                <w:szCs w:val="20"/>
              </w:rPr>
            </w:pPr>
            <w:r w:rsidRPr="00771608">
              <w:rPr>
                <w:rFonts w:ascii="Bookman Old Style" w:hAnsi="Bookman Old Style"/>
                <w:sz w:val="20"/>
                <w:szCs w:val="20"/>
                <w:lang w:val="en-GB"/>
              </w:rPr>
              <w:t>Cost +20% and benefit -20%</w:t>
            </w:r>
          </w:p>
        </w:tc>
        <w:tc>
          <w:tcPr>
            <w:tcW w:w="2610" w:type="dxa"/>
            <w:tcBorders>
              <w:top w:val="single" w:sz="4" w:space="0" w:color="auto"/>
              <w:left w:val="single" w:sz="4" w:space="0" w:color="auto"/>
              <w:bottom w:val="single" w:sz="8" w:space="0" w:color="auto"/>
              <w:right w:val="single" w:sz="4" w:space="0" w:color="auto"/>
            </w:tcBorders>
            <w:shd w:val="clear" w:color="000000" w:fill="AEDCBB"/>
            <w:vAlign w:val="center"/>
            <w:hideMark/>
          </w:tcPr>
          <w:p w14:paraId="6B825B52" w14:textId="69EBB73E" w:rsidR="006D72A2" w:rsidRPr="00771608" w:rsidRDefault="006D72A2" w:rsidP="006D72A2">
            <w:pPr>
              <w:rPr>
                <w:rFonts w:ascii="Bookman Old Style" w:hAnsi="Bookman Old Style"/>
                <w:sz w:val="20"/>
                <w:szCs w:val="20"/>
              </w:rPr>
            </w:pPr>
            <w:r>
              <w:rPr>
                <w:rFonts w:ascii="Arial" w:hAnsi="Arial" w:cs="Arial"/>
                <w:color w:val="000000"/>
                <w:sz w:val="20"/>
                <w:szCs w:val="20"/>
              </w:rPr>
              <w:t>$</w:t>
            </w:r>
            <w:r w:rsidR="00267DD4">
              <w:rPr>
                <w:rFonts w:ascii="Arial" w:hAnsi="Arial" w:cs="Arial"/>
                <w:color w:val="000000"/>
                <w:sz w:val="20"/>
                <w:szCs w:val="20"/>
              </w:rPr>
              <w:t>40.45</w:t>
            </w:r>
            <w:r>
              <w:rPr>
                <w:rFonts w:ascii="Arial" w:hAnsi="Arial" w:cs="Arial"/>
                <w:color w:val="000000"/>
                <w:sz w:val="20"/>
                <w:szCs w:val="20"/>
              </w:rPr>
              <w:t>M</w:t>
            </w:r>
          </w:p>
        </w:tc>
        <w:tc>
          <w:tcPr>
            <w:tcW w:w="1540" w:type="dxa"/>
            <w:tcBorders>
              <w:top w:val="single" w:sz="4" w:space="0" w:color="auto"/>
              <w:left w:val="single" w:sz="4" w:space="0" w:color="auto"/>
              <w:bottom w:val="single" w:sz="8" w:space="0" w:color="auto"/>
              <w:right w:val="single" w:sz="4" w:space="0" w:color="auto"/>
            </w:tcBorders>
            <w:shd w:val="clear" w:color="000000" w:fill="63BE7B"/>
            <w:vAlign w:val="center"/>
            <w:hideMark/>
          </w:tcPr>
          <w:p w14:paraId="02F63D46" w14:textId="5B909640" w:rsidR="006D72A2" w:rsidRPr="00771608" w:rsidRDefault="00267DD4" w:rsidP="006D72A2">
            <w:pPr>
              <w:rPr>
                <w:rFonts w:ascii="Bookman Old Style" w:hAnsi="Bookman Old Style"/>
                <w:sz w:val="20"/>
                <w:szCs w:val="20"/>
              </w:rPr>
            </w:pPr>
            <w:r>
              <w:rPr>
                <w:rFonts w:ascii="Arial" w:hAnsi="Arial" w:cs="Arial"/>
                <w:color w:val="000000"/>
                <w:sz w:val="20"/>
                <w:szCs w:val="20"/>
              </w:rPr>
              <w:t>34</w:t>
            </w:r>
            <w:r w:rsidR="006D72A2">
              <w:rPr>
                <w:rFonts w:ascii="Arial" w:hAnsi="Arial" w:cs="Arial"/>
                <w:color w:val="000000"/>
                <w:sz w:val="20"/>
                <w:szCs w:val="20"/>
              </w:rPr>
              <w:t>%</w:t>
            </w:r>
          </w:p>
        </w:tc>
      </w:tr>
    </w:tbl>
    <w:p w14:paraId="02B3C6A3" w14:textId="4A6BB94E" w:rsidR="00332A4C" w:rsidRPr="00B81E73" w:rsidRDefault="00332A4C" w:rsidP="00332A4C">
      <w:pPr>
        <w:rPr>
          <w:rFonts w:ascii="Bookman Old Style" w:hAnsi="Bookman Old Style"/>
        </w:rPr>
      </w:pPr>
    </w:p>
    <w:p w14:paraId="21B0D4AE" w14:textId="2CE4BE05" w:rsidR="0056740F" w:rsidRPr="00B81E73" w:rsidRDefault="0056740F">
      <w:pPr>
        <w:spacing w:after="160" w:line="259" w:lineRule="auto"/>
        <w:rPr>
          <w:rFonts w:ascii="Bookman Old Style" w:hAnsi="Bookman Old Style"/>
        </w:rPr>
      </w:pPr>
    </w:p>
    <w:p w14:paraId="296DE341" w14:textId="0E5460FC" w:rsidR="008C4E5E" w:rsidRPr="00B81E73" w:rsidRDefault="008C4E5E" w:rsidP="00E84929">
      <w:pPr>
        <w:pStyle w:val="Heading1"/>
        <w:rPr>
          <w:rFonts w:ascii="Bookman Old Style" w:hAnsi="Bookman Old Style"/>
        </w:rPr>
      </w:pPr>
      <w:r w:rsidRPr="00B81E73">
        <w:rPr>
          <w:rFonts w:ascii="Bookman Old Style" w:hAnsi="Bookman Old Style"/>
        </w:rPr>
        <w:t>Reference:</w:t>
      </w:r>
    </w:p>
    <w:p w14:paraId="23E7CDF3" w14:textId="7EEB1DB7" w:rsidR="00956F7C" w:rsidRDefault="00267DD4" w:rsidP="0056740F">
      <w:pPr>
        <w:numPr>
          <w:ilvl w:val="0"/>
          <w:numId w:val="27"/>
        </w:numPr>
        <w:rPr>
          <w:rFonts w:ascii="Bookman Old Style" w:hAnsi="Bookman Old Style"/>
        </w:rPr>
      </w:pPr>
      <w:r>
        <w:rPr>
          <w:rFonts w:ascii="Bookman Old Style" w:hAnsi="Bookman Old Style"/>
        </w:rPr>
        <w:t xml:space="preserve">World Bank (2017). Project Appraisal Document. </w:t>
      </w:r>
      <w:r w:rsidRPr="00267DD4">
        <w:rPr>
          <w:rFonts w:ascii="Bookman Old Style" w:hAnsi="Bookman Old Style"/>
        </w:rPr>
        <w:t>INVESTMENT CLIMATE AND COMPETIVENESS SUPPORT PROJECT</w:t>
      </w:r>
      <w:r>
        <w:rPr>
          <w:rFonts w:ascii="Bookman Old Style" w:hAnsi="Bookman Old Style"/>
        </w:rPr>
        <w:t>.</w:t>
      </w:r>
    </w:p>
    <w:p w14:paraId="2687E1F5" w14:textId="4CB4D91A" w:rsidR="00DC638D" w:rsidRPr="00B81E73" w:rsidRDefault="00BD0941" w:rsidP="00BD0941">
      <w:pPr>
        <w:numPr>
          <w:ilvl w:val="0"/>
          <w:numId w:val="27"/>
        </w:numPr>
        <w:rPr>
          <w:rFonts w:ascii="Bookman Old Style" w:hAnsi="Bookman Old Style"/>
        </w:rPr>
      </w:pPr>
      <w:r w:rsidRPr="00BD0941">
        <w:rPr>
          <w:rFonts w:ascii="Bookman Old Style" w:hAnsi="Bookman Old Style"/>
        </w:rPr>
        <w:t>World Bank</w:t>
      </w:r>
      <w:r>
        <w:rPr>
          <w:rFonts w:ascii="Bookman Old Style" w:hAnsi="Bookman Old Style"/>
        </w:rPr>
        <w:t xml:space="preserve"> (</w:t>
      </w:r>
      <w:r w:rsidRPr="00BD0941">
        <w:rPr>
          <w:rFonts w:ascii="Bookman Old Style" w:hAnsi="Bookman Old Style"/>
        </w:rPr>
        <w:t>2017</w:t>
      </w:r>
      <w:r>
        <w:rPr>
          <w:rFonts w:ascii="Bookman Old Style" w:hAnsi="Bookman Old Style"/>
        </w:rPr>
        <w:t>)</w:t>
      </w:r>
      <w:r w:rsidRPr="00BD0941">
        <w:rPr>
          <w:rFonts w:ascii="Bookman Old Style" w:hAnsi="Bookman Old Style"/>
        </w:rPr>
        <w:t xml:space="preserve"> ‘Guidance Note on Shadow Price of Carbon in Economic Analysis’</w:t>
      </w:r>
      <w:r>
        <w:rPr>
          <w:rFonts w:ascii="Bookman Old Style" w:hAnsi="Bookman Old Style"/>
        </w:rPr>
        <w:t>. World Bank. September 2017</w:t>
      </w:r>
    </w:p>
    <w:sectPr w:rsidR="00DC638D" w:rsidRPr="00B81E73" w:rsidSect="00A4041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320447" w14:textId="77777777" w:rsidR="00CA2CF7" w:rsidRDefault="00CA2CF7" w:rsidP="004D4485">
      <w:pPr>
        <w:spacing w:after="0" w:line="240" w:lineRule="auto"/>
      </w:pPr>
      <w:r>
        <w:separator/>
      </w:r>
    </w:p>
  </w:endnote>
  <w:endnote w:type="continuationSeparator" w:id="0">
    <w:p w14:paraId="289C8CC5" w14:textId="77777777" w:rsidR="00CA2CF7" w:rsidRDefault="00CA2CF7" w:rsidP="004D4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7954122"/>
      <w:docPartObj>
        <w:docPartGallery w:val="Page Numbers (Bottom of Page)"/>
        <w:docPartUnique/>
      </w:docPartObj>
    </w:sdtPr>
    <w:sdtEndPr>
      <w:rPr>
        <w:color w:val="7F7F7F" w:themeColor="background1" w:themeShade="7F"/>
        <w:spacing w:val="60"/>
      </w:rPr>
    </w:sdtEndPr>
    <w:sdtContent>
      <w:p w14:paraId="5F6EE2CF" w14:textId="7E817B45" w:rsidR="0056740F" w:rsidRDefault="0056740F">
        <w:pPr>
          <w:pStyle w:val="Footer"/>
          <w:pBdr>
            <w:top w:val="single" w:sz="4" w:space="1" w:color="D9D9D9" w:themeColor="background1" w:themeShade="D9"/>
          </w:pBdr>
          <w:jc w:val="right"/>
        </w:pPr>
        <w:r>
          <w:fldChar w:fldCharType="begin"/>
        </w:r>
        <w:r>
          <w:instrText xml:space="preserve"> PAGE   \* MERGEFORMAT </w:instrText>
        </w:r>
        <w:r>
          <w:fldChar w:fldCharType="separate"/>
        </w:r>
        <w:r w:rsidR="00D25F0C">
          <w:rPr>
            <w:noProof/>
          </w:rPr>
          <w:t>4</w:t>
        </w:r>
        <w:r>
          <w:rPr>
            <w:noProof/>
          </w:rPr>
          <w:fldChar w:fldCharType="end"/>
        </w:r>
        <w:r>
          <w:t xml:space="preserve"> | </w:t>
        </w:r>
        <w:r>
          <w:rPr>
            <w:color w:val="7F7F7F" w:themeColor="background1" w:themeShade="7F"/>
            <w:spacing w:val="60"/>
          </w:rPr>
          <w:t>Page</w:t>
        </w:r>
      </w:p>
    </w:sdtContent>
  </w:sdt>
  <w:p w14:paraId="0CFDA562" w14:textId="77777777" w:rsidR="0056740F" w:rsidRDefault="005674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C9573" w14:textId="77777777" w:rsidR="00CA2CF7" w:rsidRDefault="00CA2CF7" w:rsidP="004D4485">
      <w:pPr>
        <w:spacing w:after="0" w:line="240" w:lineRule="auto"/>
      </w:pPr>
      <w:r>
        <w:separator/>
      </w:r>
    </w:p>
  </w:footnote>
  <w:footnote w:type="continuationSeparator" w:id="0">
    <w:p w14:paraId="23F7A6E7" w14:textId="77777777" w:rsidR="00CA2CF7" w:rsidRDefault="00CA2CF7" w:rsidP="004D4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741B0" w14:textId="7B052156" w:rsidR="0056740F" w:rsidRPr="00D846B9" w:rsidRDefault="00D846B9" w:rsidP="00D846B9">
    <w:pPr>
      <w:pStyle w:val="Header"/>
    </w:pPr>
    <w:r w:rsidRPr="00D846B9">
      <w:rPr>
        <w:color w:val="7F7F7F" w:themeColor="text1" w:themeTint="80"/>
      </w:rPr>
      <w:t>Inclusive green financing for climate resilient and low smallholder agriculture</w:t>
    </w:r>
    <w:r>
      <w:rPr>
        <w:color w:val="7F7F7F" w:themeColor="text1" w:themeTint="8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75B06"/>
    <w:multiLevelType w:val="hybridMultilevel"/>
    <w:tmpl w:val="9E187A3E"/>
    <w:lvl w:ilvl="0" w:tplc="04090013">
      <w:start w:val="1"/>
      <w:numFmt w:val="upperRoman"/>
      <w:lvlText w:val="%1."/>
      <w:lvlJc w:val="righ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783695D"/>
    <w:multiLevelType w:val="multilevel"/>
    <w:tmpl w:val="0409001D"/>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2" w15:restartNumberingAfterBreak="0">
    <w:nsid w:val="113258CE"/>
    <w:multiLevelType w:val="hybridMultilevel"/>
    <w:tmpl w:val="4378D172"/>
    <w:lvl w:ilvl="0" w:tplc="0409000F">
      <w:start w:val="1"/>
      <w:numFmt w:val="decimal"/>
      <w:lvlText w:val="%1."/>
      <w:lvlJc w:val="left"/>
      <w:pPr>
        <w:ind w:left="720" w:hanging="360"/>
      </w:pPr>
      <w:rPr>
        <w:rFonts w:hint="default"/>
      </w:rPr>
    </w:lvl>
    <w:lvl w:ilvl="1" w:tplc="04090013">
      <w:start w:val="1"/>
      <w:numFmt w:val="upperRoman"/>
      <w:lvlText w:val="%2."/>
      <w:lvlJc w:val="righ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CB313F"/>
    <w:multiLevelType w:val="multilevel"/>
    <w:tmpl w:val="0BB22D68"/>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68446E8"/>
    <w:multiLevelType w:val="hybridMultilevel"/>
    <w:tmpl w:val="F0A2FB70"/>
    <w:lvl w:ilvl="0" w:tplc="FE9ADCEE">
      <w:start w:val="1"/>
      <w:numFmt w:val="bullet"/>
      <w:lvlText w:val="•"/>
      <w:lvlJc w:val="left"/>
      <w:pPr>
        <w:ind w:left="720" w:hanging="360"/>
      </w:pPr>
      <w:rPr>
        <w:rFonts w:ascii="Arial" w:hAnsi="Aria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F303FC"/>
    <w:multiLevelType w:val="hybridMultilevel"/>
    <w:tmpl w:val="B4886E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F775AC"/>
    <w:multiLevelType w:val="hybridMultilevel"/>
    <w:tmpl w:val="438C9D9E"/>
    <w:lvl w:ilvl="0" w:tplc="04090013">
      <w:start w:val="1"/>
      <w:numFmt w:val="upperRoman"/>
      <w:lvlText w:val="%1."/>
      <w:lvlJc w:val="right"/>
      <w:pPr>
        <w:ind w:left="1260" w:hanging="18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43CE7978"/>
    <w:multiLevelType w:val="hybridMultilevel"/>
    <w:tmpl w:val="6A40B98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681225"/>
    <w:multiLevelType w:val="hybridMultilevel"/>
    <w:tmpl w:val="7242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9D5CB1"/>
    <w:multiLevelType w:val="hybridMultilevel"/>
    <w:tmpl w:val="CA7ED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9063DE"/>
    <w:multiLevelType w:val="hybridMultilevel"/>
    <w:tmpl w:val="EB34C0B6"/>
    <w:lvl w:ilvl="0" w:tplc="04090013">
      <w:start w:val="1"/>
      <w:numFmt w:val="upperRoman"/>
      <w:lvlText w:val="%1."/>
      <w:lvlJc w:val="right"/>
      <w:pPr>
        <w:ind w:left="1440" w:hanging="360"/>
      </w:pPr>
      <w:rPr>
        <w:rFonts w:hint="default"/>
        <w:sz w:val="22"/>
      </w:rPr>
    </w:lvl>
    <w:lvl w:ilvl="1" w:tplc="04090001">
      <w:start w:val="1"/>
      <w:numFmt w:val="bullet"/>
      <w:lvlText w:val=""/>
      <w:lvlJc w:val="left"/>
      <w:pPr>
        <w:ind w:left="2160" w:hanging="360"/>
      </w:pPr>
      <w:rPr>
        <w:rFonts w:ascii="Symbol" w:hAnsi="Symbol" w:hint="default"/>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01C1427"/>
    <w:multiLevelType w:val="hybridMultilevel"/>
    <w:tmpl w:val="8DAED5D6"/>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19A454A"/>
    <w:multiLevelType w:val="hybridMultilevel"/>
    <w:tmpl w:val="ECCA7E86"/>
    <w:lvl w:ilvl="0" w:tplc="04090013">
      <w:start w:val="1"/>
      <w:numFmt w:val="upperRoman"/>
      <w:lvlText w:val="%1."/>
      <w:lvlJc w:val="right"/>
      <w:pPr>
        <w:ind w:left="720" w:hanging="360"/>
      </w:pPr>
      <w:rPr>
        <w:rFonts w:hint="default"/>
      </w:rPr>
    </w:lvl>
    <w:lvl w:ilvl="1" w:tplc="04090013">
      <w:start w:val="1"/>
      <w:numFmt w:val="upperRoman"/>
      <w:lvlText w:val="%2."/>
      <w:lvlJc w:val="righ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9F7135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A6F129A"/>
    <w:multiLevelType w:val="hybridMultilevel"/>
    <w:tmpl w:val="B7863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587A45"/>
    <w:multiLevelType w:val="hybridMultilevel"/>
    <w:tmpl w:val="FF0AE1AC"/>
    <w:lvl w:ilvl="0" w:tplc="0409000F">
      <w:start w:val="1"/>
      <w:numFmt w:val="decimal"/>
      <w:lvlText w:val="%1."/>
      <w:lvlJc w:val="left"/>
      <w:pPr>
        <w:ind w:left="720" w:hanging="360"/>
      </w:pPr>
      <w:rPr>
        <w:rFonts w:hint="default"/>
      </w:rPr>
    </w:lvl>
    <w:lvl w:ilvl="1" w:tplc="04090013">
      <w:start w:val="1"/>
      <w:numFmt w:val="upperRoman"/>
      <w:lvlText w:val="%2."/>
      <w:lvlJc w:val="righ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7B447E"/>
    <w:multiLevelType w:val="hybridMultilevel"/>
    <w:tmpl w:val="8CBEDA9E"/>
    <w:lvl w:ilvl="0" w:tplc="6A9C4E28">
      <w:start w:val="1"/>
      <w:numFmt w:val="lowerRoman"/>
      <w:lvlText w:val="(%1)"/>
      <w:lvlJc w:val="right"/>
      <w:pPr>
        <w:tabs>
          <w:tab w:val="num" w:pos="720"/>
        </w:tabs>
        <w:ind w:left="720" w:hanging="360"/>
      </w:pPr>
    </w:lvl>
    <w:lvl w:ilvl="1" w:tplc="DAC2F41E" w:tentative="1">
      <w:start w:val="1"/>
      <w:numFmt w:val="lowerRoman"/>
      <w:lvlText w:val="(%2)"/>
      <w:lvlJc w:val="right"/>
      <w:pPr>
        <w:tabs>
          <w:tab w:val="num" w:pos="1440"/>
        </w:tabs>
        <w:ind w:left="1440" w:hanging="360"/>
      </w:pPr>
    </w:lvl>
    <w:lvl w:ilvl="2" w:tplc="B4BAEC02" w:tentative="1">
      <w:start w:val="1"/>
      <w:numFmt w:val="lowerRoman"/>
      <w:lvlText w:val="(%3)"/>
      <w:lvlJc w:val="right"/>
      <w:pPr>
        <w:tabs>
          <w:tab w:val="num" w:pos="2160"/>
        </w:tabs>
        <w:ind w:left="2160" w:hanging="360"/>
      </w:pPr>
    </w:lvl>
    <w:lvl w:ilvl="3" w:tplc="CF0CB61E" w:tentative="1">
      <w:start w:val="1"/>
      <w:numFmt w:val="lowerRoman"/>
      <w:lvlText w:val="(%4)"/>
      <w:lvlJc w:val="right"/>
      <w:pPr>
        <w:tabs>
          <w:tab w:val="num" w:pos="2880"/>
        </w:tabs>
        <w:ind w:left="2880" w:hanging="360"/>
      </w:pPr>
    </w:lvl>
    <w:lvl w:ilvl="4" w:tplc="0A3E56BC" w:tentative="1">
      <w:start w:val="1"/>
      <w:numFmt w:val="lowerRoman"/>
      <w:lvlText w:val="(%5)"/>
      <w:lvlJc w:val="right"/>
      <w:pPr>
        <w:tabs>
          <w:tab w:val="num" w:pos="3600"/>
        </w:tabs>
        <w:ind w:left="3600" w:hanging="360"/>
      </w:pPr>
    </w:lvl>
    <w:lvl w:ilvl="5" w:tplc="CACC787A" w:tentative="1">
      <w:start w:val="1"/>
      <w:numFmt w:val="lowerRoman"/>
      <w:lvlText w:val="(%6)"/>
      <w:lvlJc w:val="right"/>
      <w:pPr>
        <w:tabs>
          <w:tab w:val="num" w:pos="4320"/>
        </w:tabs>
        <w:ind w:left="4320" w:hanging="360"/>
      </w:pPr>
    </w:lvl>
    <w:lvl w:ilvl="6" w:tplc="765C2524" w:tentative="1">
      <w:start w:val="1"/>
      <w:numFmt w:val="lowerRoman"/>
      <w:lvlText w:val="(%7)"/>
      <w:lvlJc w:val="right"/>
      <w:pPr>
        <w:tabs>
          <w:tab w:val="num" w:pos="5040"/>
        </w:tabs>
        <w:ind w:left="5040" w:hanging="360"/>
      </w:pPr>
    </w:lvl>
    <w:lvl w:ilvl="7" w:tplc="518CF298" w:tentative="1">
      <w:start w:val="1"/>
      <w:numFmt w:val="lowerRoman"/>
      <w:lvlText w:val="(%8)"/>
      <w:lvlJc w:val="right"/>
      <w:pPr>
        <w:tabs>
          <w:tab w:val="num" w:pos="5760"/>
        </w:tabs>
        <w:ind w:left="5760" w:hanging="360"/>
      </w:pPr>
    </w:lvl>
    <w:lvl w:ilvl="8" w:tplc="583661CC" w:tentative="1">
      <w:start w:val="1"/>
      <w:numFmt w:val="lowerRoman"/>
      <w:lvlText w:val="(%9)"/>
      <w:lvlJc w:val="right"/>
      <w:pPr>
        <w:tabs>
          <w:tab w:val="num" w:pos="6480"/>
        </w:tabs>
        <w:ind w:left="6480" w:hanging="360"/>
      </w:pPr>
    </w:lvl>
  </w:abstractNum>
  <w:abstractNum w:abstractNumId="17" w15:restartNumberingAfterBreak="0">
    <w:nsid w:val="5F7B4C22"/>
    <w:multiLevelType w:val="hybridMultilevel"/>
    <w:tmpl w:val="E21A8D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1B7772B"/>
    <w:multiLevelType w:val="hybridMultilevel"/>
    <w:tmpl w:val="C8004DDA"/>
    <w:lvl w:ilvl="0" w:tplc="F2A6813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7269F0"/>
    <w:multiLevelType w:val="hybridMultilevel"/>
    <w:tmpl w:val="7B48E84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5A2005"/>
    <w:multiLevelType w:val="hybridMultilevel"/>
    <w:tmpl w:val="D67AA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F520C2"/>
    <w:multiLevelType w:val="hybridMultilevel"/>
    <w:tmpl w:val="F29E1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463173"/>
    <w:multiLevelType w:val="hybridMultilevel"/>
    <w:tmpl w:val="9A74EB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7463E5"/>
    <w:multiLevelType w:val="hybridMultilevel"/>
    <w:tmpl w:val="29D08ADC"/>
    <w:lvl w:ilvl="0" w:tplc="A60EDD94">
      <w:start w:val="1"/>
      <w:numFmt w:val="decimal"/>
      <w:lvlText w:val="%1."/>
      <w:lvlJc w:val="left"/>
      <w:pPr>
        <w:ind w:left="720" w:hanging="360"/>
      </w:pPr>
      <w:rPr>
        <w:rFonts w:hint="default"/>
        <w:sz w:val="22"/>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40132E"/>
    <w:multiLevelType w:val="hybridMultilevel"/>
    <w:tmpl w:val="42BC95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E8B6C16"/>
    <w:multiLevelType w:val="hybridMultilevel"/>
    <w:tmpl w:val="6888B2A4"/>
    <w:lvl w:ilvl="0" w:tplc="BEB0E9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070E0D"/>
    <w:multiLevelType w:val="hybridMultilevel"/>
    <w:tmpl w:val="6292F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E416C6"/>
    <w:multiLevelType w:val="hybridMultilevel"/>
    <w:tmpl w:val="C8E81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5"/>
  </w:num>
  <w:num w:numId="3">
    <w:abstractNumId w:val="14"/>
  </w:num>
  <w:num w:numId="4">
    <w:abstractNumId w:val="16"/>
  </w:num>
  <w:num w:numId="5">
    <w:abstractNumId w:val="7"/>
  </w:num>
  <w:num w:numId="6">
    <w:abstractNumId w:val="5"/>
  </w:num>
  <w:num w:numId="7">
    <w:abstractNumId w:val="23"/>
  </w:num>
  <w:num w:numId="8">
    <w:abstractNumId w:val="21"/>
  </w:num>
  <w:num w:numId="9">
    <w:abstractNumId w:val="19"/>
  </w:num>
  <w:num w:numId="10">
    <w:abstractNumId w:val="17"/>
  </w:num>
  <w:num w:numId="11">
    <w:abstractNumId w:val="11"/>
  </w:num>
  <w:num w:numId="12">
    <w:abstractNumId w:val="8"/>
  </w:num>
  <w:num w:numId="13">
    <w:abstractNumId w:val="4"/>
  </w:num>
  <w:num w:numId="14">
    <w:abstractNumId w:val="15"/>
  </w:num>
  <w:num w:numId="15">
    <w:abstractNumId w:val="22"/>
  </w:num>
  <w:num w:numId="16">
    <w:abstractNumId w:val="6"/>
  </w:num>
  <w:num w:numId="17">
    <w:abstractNumId w:val="9"/>
  </w:num>
  <w:num w:numId="18">
    <w:abstractNumId w:val="24"/>
  </w:num>
  <w:num w:numId="19">
    <w:abstractNumId w:val="27"/>
  </w:num>
  <w:num w:numId="20">
    <w:abstractNumId w:val="0"/>
  </w:num>
  <w:num w:numId="21">
    <w:abstractNumId w:val="12"/>
  </w:num>
  <w:num w:numId="22">
    <w:abstractNumId w:val="26"/>
  </w:num>
  <w:num w:numId="23">
    <w:abstractNumId w:val="20"/>
  </w:num>
  <w:num w:numId="24">
    <w:abstractNumId w:val="2"/>
  </w:num>
  <w:num w:numId="25">
    <w:abstractNumId w:val="1"/>
  </w:num>
  <w:num w:numId="26">
    <w:abstractNumId w:val="13"/>
  </w:num>
  <w:num w:numId="27">
    <w:abstractNumId w:val="1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277"/>
    <w:rsid w:val="00000484"/>
    <w:rsid w:val="000019C0"/>
    <w:rsid w:val="00006EDC"/>
    <w:rsid w:val="00011A01"/>
    <w:rsid w:val="000240B3"/>
    <w:rsid w:val="00025F6B"/>
    <w:rsid w:val="000373E6"/>
    <w:rsid w:val="00040F65"/>
    <w:rsid w:val="00041619"/>
    <w:rsid w:val="00042C4F"/>
    <w:rsid w:val="000455EC"/>
    <w:rsid w:val="00077000"/>
    <w:rsid w:val="00083F63"/>
    <w:rsid w:val="000853A1"/>
    <w:rsid w:val="00086B07"/>
    <w:rsid w:val="00095B6C"/>
    <w:rsid w:val="00095C78"/>
    <w:rsid w:val="00097503"/>
    <w:rsid w:val="000B1EAC"/>
    <w:rsid w:val="000C260F"/>
    <w:rsid w:val="000C7340"/>
    <w:rsid w:val="000D2E64"/>
    <w:rsid w:val="000E39A5"/>
    <w:rsid w:val="000F098C"/>
    <w:rsid w:val="000F1632"/>
    <w:rsid w:val="000F23FB"/>
    <w:rsid w:val="000F5EB2"/>
    <w:rsid w:val="00105188"/>
    <w:rsid w:val="001106B8"/>
    <w:rsid w:val="00110CA2"/>
    <w:rsid w:val="00122FCF"/>
    <w:rsid w:val="00123E10"/>
    <w:rsid w:val="0012744C"/>
    <w:rsid w:val="00140342"/>
    <w:rsid w:val="001406E9"/>
    <w:rsid w:val="0014294D"/>
    <w:rsid w:val="00150C8B"/>
    <w:rsid w:val="00151A9A"/>
    <w:rsid w:val="001552F3"/>
    <w:rsid w:val="00162771"/>
    <w:rsid w:val="00171C1D"/>
    <w:rsid w:val="00172B8E"/>
    <w:rsid w:val="00180F68"/>
    <w:rsid w:val="00181D7C"/>
    <w:rsid w:val="001923DF"/>
    <w:rsid w:val="001A0C2B"/>
    <w:rsid w:val="001A5A6B"/>
    <w:rsid w:val="001B2DB5"/>
    <w:rsid w:val="001C2FCE"/>
    <w:rsid w:val="001C5EB0"/>
    <w:rsid w:val="001D74CD"/>
    <w:rsid w:val="001F0192"/>
    <w:rsid w:val="001F1F6A"/>
    <w:rsid w:val="001F2106"/>
    <w:rsid w:val="00201627"/>
    <w:rsid w:val="00215900"/>
    <w:rsid w:val="00220860"/>
    <w:rsid w:val="002211CA"/>
    <w:rsid w:val="00225C14"/>
    <w:rsid w:val="00227FDA"/>
    <w:rsid w:val="002409D4"/>
    <w:rsid w:val="00246D53"/>
    <w:rsid w:val="0026595E"/>
    <w:rsid w:val="00267DD4"/>
    <w:rsid w:val="00272000"/>
    <w:rsid w:val="00272CDE"/>
    <w:rsid w:val="00275F4B"/>
    <w:rsid w:val="00277CF1"/>
    <w:rsid w:val="0028039D"/>
    <w:rsid w:val="00285537"/>
    <w:rsid w:val="00293306"/>
    <w:rsid w:val="00295023"/>
    <w:rsid w:val="002962EE"/>
    <w:rsid w:val="0029747F"/>
    <w:rsid w:val="002A3483"/>
    <w:rsid w:val="002A45DA"/>
    <w:rsid w:val="002B0F2C"/>
    <w:rsid w:val="002B5C2D"/>
    <w:rsid w:val="002C08E5"/>
    <w:rsid w:val="002C7CC2"/>
    <w:rsid w:val="002D00BF"/>
    <w:rsid w:val="002D68B7"/>
    <w:rsid w:val="002E14E1"/>
    <w:rsid w:val="002F4D0F"/>
    <w:rsid w:val="00332A4C"/>
    <w:rsid w:val="00343CAE"/>
    <w:rsid w:val="0034683A"/>
    <w:rsid w:val="00350248"/>
    <w:rsid w:val="00354DC1"/>
    <w:rsid w:val="00355203"/>
    <w:rsid w:val="00356F63"/>
    <w:rsid w:val="00357CF1"/>
    <w:rsid w:val="00367E01"/>
    <w:rsid w:val="00370D7B"/>
    <w:rsid w:val="00371C19"/>
    <w:rsid w:val="003A1FB7"/>
    <w:rsid w:val="003C2277"/>
    <w:rsid w:val="003C5021"/>
    <w:rsid w:val="003D1902"/>
    <w:rsid w:val="003D3E5A"/>
    <w:rsid w:val="003E0267"/>
    <w:rsid w:val="003E2C56"/>
    <w:rsid w:val="003F06EE"/>
    <w:rsid w:val="003F0A86"/>
    <w:rsid w:val="003F52D2"/>
    <w:rsid w:val="00406D31"/>
    <w:rsid w:val="00411DA2"/>
    <w:rsid w:val="004124AE"/>
    <w:rsid w:val="0041639A"/>
    <w:rsid w:val="004248BD"/>
    <w:rsid w:val="00424B4F"/>
    <w:rsid w:val="00424E5A"/>
    <w:rsid w:val="004271CA"/>
    <w:rsid w:val="0043372F"/>
    <w:rsid w:val="00434D54"/>
    <w:rsid w:val="00436065"/>
    <w:rsid w:val="00454DAA"/>
    <w:rsid w:val="004578D3"/>
    <w:rsid w:val="00464534"/>
    <w:rsid w:val="00474EE1"/>
    <w:rsid w:val="004858C3"/>
    <w:rsid w:val="00497FAB"/>
    <w:rsid w:val="004D4485"/>
    <w:rsid w:val="004E3694"/>
    <w:rsid w:val="004E3D57"/>
    <w:rsid w:val="004E4333"/>
    <w:rsid w:val="004E4721"/>
    <w:rsid w:val="00501F55"/>
    <w:rsid w:val="005061F1"/>
    <w:rsid w:val="0050631D"/>
    <w:rsid w:val="0050639A"/>
    <w:rsid w:val="0051274D"/>
    <w:rsid w:val="005171DF"/>
    <w:rsid w:val="00523F46"/>
    <w:rsid w:val="0053198E"/>
    <w:rsid w:val="0053203F"/>
    <w:rsid w:val="00535DA3"/>
    <w:rsid w:val="00535DC2"/>
    <w:rsid w:val="005370D8"/>
    <w:rsid w:val="005434D8"/>
    <w:rsid w:val="00553BD5"/>
    <w:rsid w:val="00555F9B"/>
    <w:rsid w:val="005639D4"/>
    <w:rsid w:val="0056740F"/>
    <w:rsid w:val="00570217"/>
    <w:rsid w:val="005845B0"/>
    <w:rsid w:val="0058560E"/>
    <w:rsid w:val="00586288"/>
    <w:rsid w:val="00593470"/>
    <w:rsid w:val="005972F0"/>
    <w:rsid w:val="005A0457"/>
    <w:rsid w:val="005A6360"/>
    <w:rsid w:val="005A6C73"/>
    <w:rsid w:val="005B2C34"/>
    <w:rsid w:val="005C2554"/>
    <w:rsid w:val="005C2B3C"/>
    <w:rsid w:val="005C5259"/>
    <w:rsid w:val="005C68D1"/>
    <w:rsid w:val="005C6E47"/>
    <w:rsid w:val="005D219A"/>
    <w:rsid w:val="005D2CE3"/>
    <w:rsid w:val="005D6F85"/>
    <w:rsid w:val="005E04D6"/>
    <w:rsid w:val="005F0354"/>
    <w:rsid w:val="00615C48"/>
    <w:rsid w:val="006229C5"/>
    <w:rsid w:val="00622F52"/>
    <w:rsid w:val="006364E8"/>
    <w:rsid w:val="00636A9E"/>
    <w:rsid w:val="006442FD"/>
    <w:rsid w:val="00651AA6"/>
    <w:rsid w:val="00651C99"/>
    <w:rsid w:val="006535B8"/>
    <w:rsid w:val="00654038"/>
    <w:rsid w:val="00665B42"/>
    <w:rsid w:val="006708A4"/>
    <w:rsid w:val="00674828"/>
    <w:rsid w:val="006768DE"/>
    <w:rsid w:val="00683EFF"/>
    <w:rsid w:val="00684CB4"/>
    <w:rsid w:val="00687CCF"/>
    <w:rsid w:val="006906F7"/>
    <w:rsid w:val="006A2540"/>
    <w:rsid w:val="006A5D8C"/>
    <w:rsid w:val="006B2669"/>
    <w:rsid w:val="006B3891"/>
    <w:rsid w:val="006D0B51"/>
    <w:rsid w:val="006D72A2"/>
    <w:rsid w:val="00704277"/>
    <w:rsid w:val="00710806"/>
    <w:rsid w:val="00711DF1"/>
    <w:rsid w:val="00712054"/>
    <w:rsid w:val="0072717C"/>
    <w:rsid w:val="00732447"/>
    <w:rsid w:val="00742B28"/>
    <w:rsid w:val="0074456A"/>
    <w:rsid w:val="0074618A"/>
    <w:rsid w:val="00752B2C"/>
    <w:rsid w:val="00752CA1"/>
    <w:rsid w:val="007607EB"/>
    <w:rsid w:val="00762CE2"/>
    <w:rsid w:val="00771608"/>
    <w:rsid w:val="0077343B"/>
    <w:rsid w:val="00776D17"/>
    <w:rsid w:val="00780436"/>
    <w:rsid w:val="007A5BA1"/>
    <w:rsid w:val="007B3865"/>
    <w:rsid w:val="007B711A"/>
    <w:rsid w:val="007C0076"/>
    <w:rsid w:val="007C612A"/>
    <w:rsid w:val="007D4434"/>
    <w:rsid w:val="007E157E"/>
    <w:rsid w:val="007E57EB"/>
    <w:rsid w:val="007F2FFF"/>
    <w:rsid w:val="007F5526"/>
    <w:rsid w:val="00800B93"/>
    <w:rsid w:val="00803A4E"/>
    <w:rsid w:val="00810778"/>
    <w:rsid w:val="00824C9E"/>
    <w:rsid w:val="00841A83"/>
    <w:rsid w:val="008437ED"/>
    <w:rsid w:val="00845351"/>
    <w:rsid w:val="0084699C"/>
    <w:rsid w:val="00846AAE"/>
    <w:rsid w:val="008674FA"/>
    <w:rsid w:val="008730F3"/>
    <w:rsid w:val="00873A17"/>
    <w:rsid w:val="008805C6"/>
    <w:rsid w:val="00881331"/>
    <w:rsid w:val="008873FA"/>
    <w:rsid w:val="00894B8B"/>
    <w:rsid w:val="008957DA"/>
    <w:rsid w:val="008A1E72"/>
    <w:rsid w:val="008A6431"/>
    <w:rsid w:val="008C146B"/>
    <w:rsid w:val="008C4E5E"/>
    <w:rsid w:val="008C71DE"/>
    <w:rsid w:val="008D40C0"/>
    <w:rsid w:val="008E2369"/>
    <w:rsid w:val="008E2FD5"/>
    <w:rsid w:val="008E7F3C"/>
    <w:rsid w:val="008F2327"/>
    <w:rsid w:val="008F3CF2"/>
    <w:rsid w:val="008F621B"/>
    <w:rsid w:val="009072C9"/>
    <w:rsid w:val="00907CCF"/>
    <w:rsid w:val="009246C0"/>
    <w:rsid w:val="0094062C"/>
    <w:rsid w:val="00952A8D"/>
    <w:rsid w:val="0095339C"/>
    <w:rsid w:val="00956F7C"/>
    <w:rsid w:val="009615E3"/>
    <w:rsid w:val="00964197"/>
    <w:rsid w:val="00965A7B"/>
    <w:rsid w:val="00967154"/>
    <w:rsid w:val="0096736C"/>
    <w:rsid w:val="00967BFB"/>
    <w:rsid w:val="00976AE5"/>
    <w:rsid w:val="009817C1"/>
    <w:rsid w:val="0099273B"/>
    <w:rsid w:val="009964C0"/>
    <w:rsid w:val="00996E7F"/>
    <w:rsid w:val="0099795A"/>
    <w:rsid w:val="009A030A"/>
    <w:rsid w:val="009A1675"/>
    <w:rsid w:val="009A29F8"/>
    <w:rsid w:val="009A51FA"/>
    <w:rsid w:val="009B1BDF"/>
    <w:rsid w:val="009B377B"/>
    <w:rsid w:val="009C1158"/>
    <w:rsid w:val="009D1429"/>
    <w:rsid w:val="009D2EFB"/>
    <w:rsid w:val="00A077C8"/>
    <w:rsid w:val="00A136C6"/>
    <w:rsid w:val="00A156D0"/>
    <w:rsid w:val="00A21B7C"/>
    <w:rsid w:val="00A2352A"/>
    <w:rsid w:val="00A33CBB"/>
    <w:rsid w:val="00A40415"/>
    <w:rsid w:val="00A4395F"/>
    <w:rsid w:val="00A624F9"/>
    <w:rsid w:val="00A63FFA"/>
    <w:rsid w:val="00A644AB"/>
    <w:rsid w:val="00A67122"/>
    <w:rsid w:val="00A74445"/>
    <w:rsid w:val="00A82606"/>
    <w:rsid w:val="00A94CFE"/>
    <w:rsid w:val="00AA3A8C"/>
    <w:rsid w:val="00AB22C6"/>
    <w:rsid w:val="00AC01F9"/>
    <w:rsid w:val="00AC479C"/>
    <w:rsid w:val="00AC726A"/>
    <w:rsid w:val="00AD67DE"/>
    <w:rsid w:val="00AD77CD"/>
    <w:rsid w:val="00AD7E55"/>
    <w:rsid w:val="00B03DDF"/>
    <w:rsid w:val="00B04F1C"/>
    <w:rsid w:val="00B15382"/>
    <w:rsid w:val="00B218FD"/>
    <w:rsid w:val="00B2549D"/>
    <w:rsid w:val="00B3175C"/>
    <w:rsid w:val="00B3218E"/>
    <w:rsid w:val="00B328F0"/>
    <w:rsid w:val="00B3421E"/>
    <w:rsid w:val="00B3694E"/>
    <w:rsid w:val="00B369FB"/>
    <w:rsid w:val="00B448BD"/>
    <w:rsid w:val="00B45E55"/>
    <w:rsid w:val="00B46641"/>
    <w:rsid w:val="00B469D4"/>
    <w:rsid w:val="00B51489"/>
    <w:rsid w:val="00B63FA1"/>
    <w:rsid w:val="00B66A54"/>
    <w:rsid w:val="00B7132A"/>
    <w:rsid w:val="00B81E73"/>
    <w:rsid w:val="00B91535"/>
    <w:rsid w:val="00B92807"/>
    <w:rsid w:val="00B92F16"/>
    <w:rsid w:val="00BA406F"/>
    <w:rsid w:val="00BA783B"/>
    <w:rsid w:val="00BB5B31"/>
    <w:rsid w:val="00BC590C"/>
    <w:rsid w:val="00BD0941"/>
    <w:rsid w:val="00BD73AF"/>
    <w:rsid w:val="00BD7A50"/>
    <w:rsid w:val="00BF3BA8"/>
    <w:rsid w:val="00C06BDD"/>
    <w:rsid w:val="00C14D10"/>
    <w:rsid w:val="00C25BF5"/>
    <w:rsid w:val="00C353CA"/>
    <w:rsid w:val="00C3573D"/>
    <w:rsid w:val="00C42CAB"/>
    <w:rsid w:val="00C46250"/>
    <w:rsid w:val="00C5288E"/>
    <w:rsid w:val="00C64CEC"/>
    <w:rsid w:val="00C656DF"/>
    <w:rsid w:val="00C66F25"/>
    <w:rsid w:val="00C67323"/>
    <w:rsid w:val="00C673AA"/>
    <w:rsid w:val="00C67650"/>
    <w:rsid w:val="00C73C08"/>
    <w:rsid w:val="00C82BD9"/>
    <w:rsid w:val="00C83646"/>
    <w:rsid w:val="00C83A9A"/>
    <w:rsid w:val="00C86394"/>
    <w:rsid w:val="00C92CB6"/>
    <w:rsid w:val="00C963CD"/>
    <w:rsid w:val="00C96E77"/>
    <w:rsid w:val="00CA2B70"/>
    <w:rsid w:val="00CA2CF7"/>
    <w:rsid w:val="00CB1001"/>
    <w:rsid w:val="00CB288F"/>
    <w:rsid w:val="00CB47BC"/>
    <w:rsid w:val="00CC6AB0"/>
    <w:rsid w:val="00CC7904"/>
    <w:rsid w:val="00CD1B77"/>
    <w:rsid w:val="00CD2FA3"/>
    <w:rsid w:val="00CE371B"/>
    <w:rsid w:val="00CF2D12"/>
    <w:rsid w:val="00D0049A"/>
    <w:rsid w:val="00D03102"/>
    <w:rsid w:val="00D1462E"/>
    <w:rsid w:val="00D158D1"/>
    <w:rsid w:val="00D17534"/>
    <w:rsid w:val="00D21B99"/>
    <w:rsid w:val="00D24EB0"/>
    <w:rsid w:val="00D25F0C"/>
    <w:rsid w:val="00D26CB7"/>
    <w:rsid w:val="00D46FC9"/>
    <w:rsid w:val="00D56393"/>
    <w:rsid w:val="00D6018D"/>
    <w:rsid w:val="00D61315"/>
    <w:rsid w:val="00D62AA4"/>
    <w:rsid w:val="00D6360C"/>
    <w:rsid w:val="00D64811"/>
    <w:rsid w:val="00D64FBD"/>
    <w:rsid w:val="00D70B65"/>
    <w:rsid w:val="00D8034C"/>
    <w:rsid w:val="00D80928"/>
    <w:rsid w:val="00D846B9"/>
    <w:rsid w:val="00D84FAB"/>
    <w:rsid w:val="00D94497"/>
    <w:rsid w:val="00DA05AF"/>
    <w:rsid w:val="00DA5E3B"/>
    <w:rsid w:val="00DB5DE0"/>
    <w:rsid w:val="00DB77F9"/>
    <w:rsid w:val="00DC35A3"/>
    <w:rsid w:val="00DC440E"/>
    <w:rsid w:val="00DC638D"/>
    <w:rsid w:val="00DD61B5"/>
    <w:rsid w:val="00DE342E"/>
    <w:rsid w:val="00DE3C98"/>
    <w:rsid w:val="00DE5ED3"/>
    <w:rsid w:val="00DF3988"/>
    <w:rsid w:val="00DF59B6"/>
    <w:rsid w:val="00E0180C"/>
    <w:rsid w:val="00E214E4"/>
    <w:rsid w:val="00E27ABF"/>
    <w:rsid w:val="00E31684"/>
    <w:rsid w:val="00E4476E"/>
    <w:rsid w:val="00E475F2"/>
    <w:rsid w:val="00E53887"/>
    <w:rsid w:val="00E53DC5"/>
    <w:rsid w:val="00E573BB"/>
    <w:rsid w:val="00E65733"/>
    <w:rsid w:val="00E766F8"/>
    <w:rsid w:val="00E80A52"/>
    <w:rsid w:val="00E84929"/>
    <w:rsid w:val="00E9253E"/>
    <w:rsid w:val="00E94B61"/>
    <w:rsid w:val="00EC66A4"/>
    <w:rsid w:val="00ED553B"/>
    <w:rsid w:val="00EE372B"/>
    <w:rsid w:val="00EF5AAE"/>
    <w:rsid w:val="00F111CE"/>
    <w:rsid w:val="00F13704"/>
    <w:rsid w:val="00F16D33"/>
    <w:rsid w:val="00F17426"/>
    <w:rsid w:val="00F2007A"/>
    <w:rsid w:val="00F27768"/>
    <w:rsid w:val="00F43E8D"/>
    <w:rsid w:val="00F54ABE"/>
    <w:rsid w:val="00F660E5"/>
    <w:rsid w:val="00F86007"/>
    <w:rsid w:val="00F8668D"/>
    <w:rsid w:val="00F87673"/>
    <w:rsid w:val="00F87902"/>
    <w:rsid w:val="00F9498C"/>
    <w:rsid w:val="00FB48CB"/>
    <w:rsid w:val="00FD296D"/>
    <w:rsid w:val="00FD7534"/>
    <w:rsid w:val="00FD79D3"/>
    <w:rsid w:val="00FE5BD2"/>
    <w:rsid w:val="00FE5F20"/>
    <w:rsid w:val="00FE6BDE"/>
    <w:rsid w:val="00FF3538"/>
    <w:rsid w:val="00FF56CD"/>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FE02E4"/>
  <w15:docId w15:val="{25F19D92-3F60-43E4-8DBA-9AFD884FE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277"/>
    <w:pPr>
      <w:spacing w:after="200" w:line="276" w:lineRule="auto"/>
    </w:pPr>
  </w:style>
  <w:style w:type="paragraph" w:styleId="Heading1">
    <w:name w:val="heading 1"/>
    <w:basedOn w:val="Normal"/>
    <w:next w:val="Normal"/>
    <w:link w:val="Heading1Char"/>
    <w:uiPriority w:val="9"/>
    <w:qFormat/>
    <w:rsid w:val="004D44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674F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 Paragraph (numbered (a)),Bullets,Lapis Bulleted List,Bullet 1,List Paragraph12,Bullet Points,MAIN CONTENT,L"/>
    <w:basedOn w:val="Normal"/>
    <w:uiPriority w:val="34"/>
    <w:qFormat/>
    <w:rsid w:val="003C2277"/>
    <w:pPr>
      <w:ind w:left="720"/>
      <w:contextualSpacing/>
    </w:pPr>
  </w:style>
  <w:style w:type="table" w:styleId="TableGrid">
    <w:name w:val="Table Grid"/>
    <w:basedOn w:val="TableNormal"/>
    <w:uiPriority w:val="59"/>
    <w:rsid w:val="003C22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3C2277"/>
    <w:pPr>
      <w:autoSpaceDE w:val="0"/>
      <w:autoSpaceDN w:val="0"/>
      <w:adjustRightInd w:val="0"/>
      <w:spacing w:after="0" w:line="240" w:lineRule="auto"/>
    </w:pPr>
    <w:rPr>
      <w:rFonts w:ascii="Arial" w:hAnsi="Arial" w:cs="Arial"/>
      <w:color w:val="000000"/>
      <w:sz w:val="24"/>
      <w:szCs w:val="24"/>
    </w:rPr>
  </w:style>
  <w:style w:type="paragraph" w:styleId="Title">
    <w:name w:val="Title"/>
    <w:basedOn w:val="Normal"/>
    <w:next w:val="Normal"/>
    <w:link w:val="TitleChar"/>
    <w:uiPriority w:val="10"/>
    <w:qFormat/>
    <w:rsid w:val="004D448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D4485"/>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4D4485"/>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4D4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4485"/>
  </w:style>
  <w:style w:type="paragraph" w:styleId="Footer">
    <w:name w:val="footer"/>
    <w:basedOn w:val="Normal"/>
    <w:link w:val="FooterChar"/>
    <w:uiPriority w:val="99"/>
    <w:unhideWhenUsed/>
    <w:rsid w:val="004D4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4485"/>
  </w:style>
  <w:style w:type="paragraph" w:styleId="FootnoteText">
    <w:name w:val="footnote text"/>
    <w:basedOn w:val="Normal"/>
    <w:link w:val="FootnoteTextChar"/>
    <w:uiPriority w:val="99"/>
    <w:semiHidden/>
    <w:unhideWhenUsed/>
    <w:rsid w:val="00C96E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6E77"/>
    <w:rPr>
      <w:sz w:val="20"/>
      <w:szCs w:val="20"/>
    </w:rPr>
  </w:style>
  <w:style w:type="character" w:styleId="FootnoteReference">
    <w:name w:val="footnote reference"/>
    <w:basedOn w:val="DefaultParagraphFont"/>
    <w:uiPriority w:val="99"/>
    <w:semiHidden/>
    <w:unhideWhenUsed/>
    <w:rsid w:val="00C96E77"/>
    <w:rPr>
      <w:vertAlign w:val="superscript"/>
    </w:rPr>
  </w:style>
  <w:style w:type="paragraph" w:styleId="Caption">
    <w:name w:val="caption"/>
    <w:basedOn w:val="Normal"/>
    <w:next w:val="Normal"/>
    <w:uiPriority w:val="35"/>
    <w:unhideWhenUsed/>
    <w:qFormat/>
    <w:rsid w:val="00651C99"/>
    <w:pPr>
      <w:spacing w:line="240" w:lineRule="auto"/>
    </w:pPr>
    <w:rPr>
      <w:i/>
      <w:iCs/>
      <w:color w:val="44546A" w:themeColor="text2"/>
      <w:sz w:val="18"/>
      <w:szCs w:val="18"/>
    </w:rPr>
  </w:style>
  <w:style w:type="character" w:styleId="CommentReference">
    <w:name w:val="annotation reference"/>
    <w:basedOn w:val="DefaultParagraphFont"/>
    <w:uiPriority w:val="99"/>
    <w:semiHidden/>
    <w:unhideWhenUsed/>
    <w:rsid w:val="00CE371B"/>
    <w:rPr>
      <w:sz w:val="16"/>
      <w:szCs w:val="16"/>
    </w:rPr>
  </w:style>
  <w:style w:type="paragraph" w:styleId="CommentText">
    <w:name w:val="annotation text"/>
    <w:basedOn w:val="Normal"/>
    <w:link w:val="CommentTextChar"/>
    <w:uiPriority w:val="99"/>
    <w:unhideWhenUsed/>
    <w:rsid w:val="00CE371B"/>
    <w:pPr>
      <w:spacing w:after="160" w:line="240" w:lineRule="auto"/>
    </w:pPr>
    <w:rPr>
      <w:rFonts w:eastAsiaTheme="minorEastAsia"/>
      <w:sz w:val="20"/>
      <w:szCs w:val="20"/>
      <w:lang w:eastAsia="ko-KR"/>
    </w:rPr>
  </w:style>
  <w:style w:type="character" w:customStyle="1" w:styleId="CommentTextChar">
    <w:name w:val="Comment Text Char"/>
    <w:basedOn w:val="DefaultParagraphFont"/>
    <w:link w:val="CommentText"/>
    <w:uiPriority w:val="99"/>
    <w:rsid w:val="00CE371B"/>
    <w:rPr>
      <w:rFonts w:eastAsiaTheme="minorEastAsia"/>
      <w:sz w:val="20"/>
      <w:szCs w:val="20"/>
      <w:lang w:eastAsia="ko-KR"/>
    </w:rPr>
  </w:style>
  <w:style w:type="paragraph" w:styleId="BalloonText">
    <w:name w:val="Balloon Text"/>
    <w:basedOn w:val="Normal"/>
    <w:link w:val="BalloonTextChar"/>
    <w:uiPriority w:val="99"/>
    <w:semiHidden/>
    <w:unhideWhenUsed/>
    <w:rsid w:val="00CE3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71B"/>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964197"/>
    <w:pPr>
      <w:spacing w:after="200"/>
    </w:pPr>
    <w:rPr>
      <w:rFonts w:eastAsiaTheme="minorHAnsi"/>
      <w:b/>
      <w:bCs/>
      <w:lang w:eastAsia="en-US"/>
    </w:rPr>
  </w:style>
  <w:style w:type="character" w:customStyle="1" w:styleId="CommentSubjectChar">
    <w:name w:val="Comment Subject Char"/>
    <w:basedOn w:val="CommentTextChar"/>
    <w:link w:val="CommentSubject"/>
    <w:uiPriority w:val="99"/>
    <w:semiHidden/>
    <w:rsid w:val="00964197"/>
    <w:rPr>
      <w:rFonts w:eastAsiaTheme="minorEastAsia"/>
      <w:b/>
      <w:bCs/>
      <w:sz w:val="20"/>
      <w:szCs w:val="20"/>
      <w:lang w:eastAsia="ko-KR"/>
    </w:rPr>
  </w:style>
  <w:style w:type="paragraph" w:styleId="Revision">
    <w:name w:val="Revision"/>
    <w:hidden/>
    <w:uiPriority w:val="99"/>
    <w:semiHidden/>
    <w:rsid w:val="00A63FFA"/>
    <w:pPr>
      <w:spacing w:after="0" w:line="240" w:lineRule="auto"/>
    </w:pPr>
  </w:style>
  <w:style w:type="character" w:styleId="Hyperlink">
    <w:name w:val="Hyperlink"/>
    <w:basedOn w:val="DefaultParagraphFont"/>
    <w:uiPriority w:val="99"/>
    <w:unhideWhenUsed/>
    <w:rsid w:val="00F87673"/>
    <w:rPr>
      <w:color w:val="0563C1" w:themeColor="hyperlink"/>
      <w:u w:val="single"/>
    </w:rPr>
  </w:style>
  <w:style w:type="character" w:customStyle="1" w:styleId="Heading2Char">
    <w:name w:val="Heading 2 Char"/>
    <w:basedOn w:val="DefaultParagraphFont"/>
    <w:link w:val="Heading2"/>
    <w:uiPriority w:val="9"/>
    <w:rsid w:val="008674FA"/>
    <w:rPr>
      <w:rFonts w:asciiTheme="majorHAnsi" w:eastAsiaTheme="majorEastAsia" w:hAnsiTheme="majorHAnsi" w:cstheme="majorBidi"/>
      <w:color w:val="2E74B5" w:themeColor="accent1" w:themeShade="BF"/>
      <w:sz w:val="26"/>
      <w:szCs w:val="26"/>
    </w:rPr>
  </w:style>
  <w:style w:type="character" w:styleId="EndnoteReference">
    <w:name w:val="endnote reference"/>
    <w:basedOn w:val="DefaultParagraphFont"/>
    <w:uiPriority w:val="99"/>
    <w:semiHidden/>
    <w:unhideWhenUsed/>
    <w:rsid w:val="008674FA"/>
    <w:rPr>
      <w:vertAlign w:val="superscript"/>
    </w:rPr>
  </w:style>
  <w:style w:type="paragraph" w:customStyle="1" w:styleId="ColorfulShading-Accent31">
    <w:name w:val="Colorful Shading - Accent 31"/>
    <w:aliases w:val="Table/Figure Heading,En tête 1,Heading,Dot pt,F5 List Paragraph,No Spacing1,List Paragraph Char Char Char,Indicator Text,Numbered Para 1,Evidence on Demand bullet points,Bullets 1 space,List Paragraph11,Recommendatio"/>
    <w:basedOn w:val="Normal"/>
    <w:link w:val="ColorfulShading-Accent3Char"/>
    <w:uiPriority w:val="34"/>
    <w:qFormat/>
    <w:rsid w:val="005171DF"/>
    <w:pPr>
      <w:spacing w:after="160" w:line="259" w:lineRule="auto"/>
      <w:ind w:left="720"/>
      <w:contextualSpacing/>
    </w:pPr>
    <w:rPr>
      <w:rFonts w:ascii="Cambria" w:eastAsia="MS Mincho" w:hAnsi="Cambria" w:cs="Times New Roman"/>
      <w:lang w:eastAsia="ko-KR"/>
    </w:rPr>
  </w:style>
  <w:style w:type="character" w:customStyle="1" w:styleId="ColorfulShading-Accent3Char">
    <w:name w:val="Colorful Shading - Accent 3 Char"/>
    <w:aliases w:val="Table/Figure Heading Char,En tête 1 Char,Heading Char,Dot pt Char,F5 List Paragraph Char,No Spacing1 Char,List Paragraph Char Char Char Char,Indicator Text Char,Numbered Para 1 Char,Evidence on Demand bullet points Char"/>
    <w:link w:val="ColorfulShading-Accent31"/>
    <w:uiPriority w:val="34"/>
    <w:qFormat/>
    <w:locked/>
    <w:rsid w:val="005171DF"/>
    <w:rPr>
      <w:rFonts w:ascii="Cambria" w:eastAsia="MS Mincho" w:hAnsi="Cambria" w:cs="Times New Roman"/>
      <w:lang w:eastAsia="ko-KR"/>
    </w:rPr>
  </w:style>
  <w:style w:type="table" w:customStyle="1" w:styleId="GridTable2-Accent11">
    <w:name w:val="Grid Table 2 - Accent 11"/>
    <w:basedOn w:val="TableNormal"/>
    <w:uiPriority w:val="47"/>
    <w:rsid w:val="00474EE1"/>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Accent11">
    <w:name w:val="Grid Table 1 Light - Accent 11"/>
    <w:basedOn w:val="TableNormal"/>
    <w:uiPriority w:val="46"/>
    <w:rsid w:val="0056740F"/>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96757">
      <w:bodyDiv w:val="1"/>
      <w:marLeft w:val="0"/>
      <w:marRight w:val="0"/>
      <w:marTop w:val="0"/>
      <w:marBottom w:val="0"/>
      <w:divBdr>
        <w:top w:val="none" w:sz="0" w:space="0" w:color="auto"/>
        <w:left w:val="none" w:sz="0" w:space="0" w:color="auto"/>
        <w:bottom w:val="none" w:sz="0" w:space="0" w:color="auto"/>
        <w:right w:val="none" w:sz="0" w:space="0" w:color="auto"/>
      </w:divBdr>
    </w:div>
    <w:div w:id="442770648">
      <w:bodyDiv w:val="1"/>
      <w:marLeft w:val="0"/>
      <w:marRight w:val="0"/>
      <w:marTop w:val="0"/>
      <w:marBottom w:val="0"/>
      <w:divBdr>
        <w:top w:val="none" w:sz="0" w:space="0" w:color="auto"/>
        <w:left w:val="none" w:sz="0" w:space="0" w:color="auto"/>
        <w:bottom w:val="none" w:sz="0" w:space="0" w:color="auto"/>
        <w:right w:val="none" w:sz="0" w:space="0" w:color="auto"/>
      </w:divBdr>
    </w:div>
    <w:div w:id="575359889">
      <w:bodyDiv w:val="1"/>
      <w:marLeft w:val="0"/>
      <w:marRight w:val="0"/>
      <w:marTop w:val="0"/>
      <w:marBottom w:val="0"/>
      <w:divBdr>
        <w:top w:val="none" w:sz="0" w:space="0" w:color="auto"/>
        <w:left w:val="none" w:sz="0" w:space="0" w:color="auto"/>
        <w:bottom w:val="none" w:sz="0" w:space="0" w:color="auto"/>
        <w:right w:val="none" w:sz="0" w:space="0" w:color="auto"/>
      </w:divBdr>
    </w:div>
    <w:div w:id="617680769">
      <w:bodyDiv w:val="1"/>
      <w:marLeft w:val="0"/>
      <w:marRight w:val="0"/>
      <w:marTop w:val="0"/>
      <w:marBottom w:val="0"/>
      <w:divBdr>
        <w:top w:val="none" w:sz="0" w:space="0" w:color="auto"/>
        <w:left w:val="none" w:sz="0" w:space="0" w:color="auto"/>
        <w:bottom w:val="none" w:sz="0" w:space="0" w:color="auto"/>
        <w:right w:val="none" w:sz="0" w:space="0" w:color="auto"/>
      </w:divBdr>
    </w:div>
    <w:div w:id="623121994">
      <w:bodyDiv w:val="1"/>
      <w:marLeft w:val="0"/>
      <w:marRight w:val="0"/>
      <w:marTop w:val="0"/>
      <w:marBottom w:val="0"/>
      <w:divBdr>
        <w:top w:val="none" w:sz="0" w:space="0" w:color="auto"/>
        <w:left w:val="none" w:sz="0" w:space="0" w:color="auto"/>
        <w:bottom w:val="none" w:sz="0" w:space="0" w:color="auto"/>
        <w:right w:val="none" w:sz="0" w:space="0" w:color="auto"/>
      </w:divBdr>
    </w:div>
    <w:div w:id="747191244">
      <w:bodyDiv w:val="1"/>
      <w:marLeft w:val="0"/>
      <w:marRight w:val="0"/>
      <w:marTop w:val="0"/>
      <w:marBottom w:val="0"/>
      <w:divBdr>
        <w:top w:val="none" w:sz="0" w:space="0" w:color="auto"/>
        <w:left w:val="none" w:sz="0" w:space="0" w:color="auto"/>
        <w:bottom w:val="none" w:sz="0" w:space="0" w:color="auto"/>
        <w:right w:val="none" w:sz="0" w:space="0" w:color="auto"/>
      </w:divBdr>
    </w:div>
    <w:div w:id="757364453">
      <w:bodyDiv w:val="1"/>
      <w:marLeft w:val="0"/>
      <w:marRight w:val="0"/>
      <w:marTop w:val="0"/>
      <w:marBottom w:val="0"/>
      <w:divBdr>
        <w:top w:val="none" w:sz="0" w:space="0" w:color="auto"/>
        <w:left w:val="none" w:sz="0" w:space="0" w:color="auto"/>
        <w:bottom w:val="none" w:sz="0" w:space="0" w:color="auto"/>
        <w:right w:val="none" w:sz="0" w:space="0" w:color="auto"/>
      </w:divBdr>
    </w:div>
    <w:div w:id="820922816">
      <w:bodyDiv w:val="1"/>
      <w:marLeft w:val="0"/>
      <w:marRight w:val="0"/>
      <w:marTop w:val="0"/>
      <w:marBottom w:val="0"/>
      <w:divBdr>
        <w:top w:val="none" w:sz="0" w:space="0" w:color="auto"/>
        <w:left w:val="none" w:sz="0" w:space="0" w:color="auto"/>
        <w:bottom w:val="none" w:sz="0" w:space="0" w:color="auto"/>
        <w:right w:val="none" w:sz="0" w:space="0" w:color="auto"/>
      </w:divBdr>
    </w:div>
    <w:div w:id="826214757">
      <w:bodyDiv w:val="1"/>
      <w:marLeft w:val="0"/>
      <w:marRight w:val="0"/>
      <w:marTop w:val="0"/>
      <w:marBottom w:val="0"/>
      <w:divBdr>
        <w:top w:val="none" w:sz="0" w:space="0" w:color="auto"/>
        <w:left w:val="none" w:sz="0" w:space="0" w:color="auto"/>
        <w:bottom w:val="none" w:sz="0" w:space="0" w:color="auto"/>
        <w:right w:val="none" w:sz="0" w:space="0" w:color="auto"/>
      </w:divBdr>
    </w:div>
    <w:div w:id="894925406">
      <w:bodyDiv w:val="1"/>
      <w:marLeft w:val="0"/>
      <w:marRight w:val="0"/>
      <w:marTop w:val="0"/>
      <w:marBottom w:val="0"/>
      <w:divBdr>
        <w:top w:val="none" w:sz="0" w:space="0" w:color="auto"/>
        <w:left w:val="none" w:sz="0" w:space="0" w:color="auto"/>
        <w:bottom w:val="none" w:sz="0" w:space="0" w:color="auto"/>
        <w:right w:val="none" w:sz="0" w:space="0" w:color="auto"/>
      </w:divBdr>
    </w:div>
    <w:div w:id="1028871660">
      <w:bodyDiv w:val="1"/>
      <w:marLeft w:val="0"/>
      <w:marRight w:val="0"/>
      <w:marTop w:val="0"/>
      <w:marBottom w:val="0"/>
      <w:divBdr>
        <w:top w:val="none" w:sz="0" w:space="0" w:color="auto"/>
        <w:left w:val="none" w:sz="0" w:space="0" w:color="auto"/>
        <w:bottom w:val="none" w:sz="0" w:space="0" w:color="auto"/>
        <w:right w:val="none" w:sz="0" w:space="0" w:color="auto"/>
      </w:divBdr>
    </w:div>
    <w:div w:id="1174802711">
      <w:bodyDiv w:val="1"/>
      <w:marLeft w:val="0"/>
      <w:marRight w:val="0"/>
      <w:marTop w:val="0"/>
      <w:marBottom w:val="0"/>
      <w:divBdr>
        <w:top w:val="none" w:sz="0" w:space="0" w:color="auto"/>
        <w:left w:val="none" w:sz="0" w:space="0" w:color="auto"/>
        <w:bottom w:val="none" w:sz="0" w:space="0" w:color="auto"/>
        <w:right w:val="none" w:sz="0" w:space="0" w:color="auto"/>
      </w:divBdr>
    </w:div>
    <w:div w:id="1192114731">
      <w:bodyDiv w:val="1"/>
      <w:marLeft w:val="0"/>
      <w:marRight w:val="0"/>
      <w:marTop w:val="0"/>
      <w:marBottom w:val="0"/>
      <w:divBdr>
        <w:top w:val="none" w:sz="0" w:space="0" w:color="auto"/>
        <w:left w:val="none" w:sz="0" w:space="0" w:color="auto"/>
        <w:bottom w:val="none" w:sz="0" w:space="0" w:color="auto"/>
        <w:right w:val="none" w:sz="0" w:space="0" w:color="auto"/>
      </w:divBdr>
    </w:div>
    <w:div w:id="1203052438">
      <w:bodyDiv w:val="1"/>
      <w:marLeft w:val="0"/>
      <w:marRight w:val="0"/>
      <w:marTop w:val="0"/>
      <w:marBottom w:val="0"/>
      <w:divBdr>
        <w:top w:val="none" w:sz="0" w:space="0" w:color="auto"/>
        <w:left w:val="none" w:sz="0" w:space="0" w:color="auto"/>
        <w:bottom w:val="none" w:sz="0" w:space="0" w:color="auto"/>
        <w:right w:val="none" w:sz="0" w:space="0" w:color="auto"/>
      </w:divBdr>
    </w:div>
    <w:div w:id="1309480429">
      <w:bodyDiv w:val="1"/>
      <w:marLeft w:val="0"/>
      <w:marRight w:val="0"/>
      <w:marTop w:val="0"/>
      <w:marBottom w:val="0"/>
      <w:divBdr>
        <w:top w:val="none" w:sz="0" w:space="0" w:color="auto"/>
        <w:left w:val="none" w:sz="0" w:space="0" w:color="auto"/>
        <w:bottom w:val="none" w:sz="0" w:space="0" w:color="auto"/>
        <w:right w:val="none" w:sz="0" w:space="0" w:color="auto"/>
      </w:divBdr>
    </w:div>
    <w:div w:id="1326281279">
      <w:bodyDiv w:val="1"/>
      <w:marLeft w:val="0"/>
      <w:marRight w:val="0"/>
      <w:marTop w:val="0"/>
      <w:marBottom w:val="0"/>
      <w:divBdr>
        <w:top w:val="none" w:sz="0" w:space="0" w:color="auto"/>
        <w:left w:val="none" w:sz="0" w:space="0" w:color="auto"/>
        <w:bottom w:val="none" w:sz="0" w:space="0" w:color="auto"/>
        <w:right w:val="none" w:sz="0" w:space="0" w:color="auto"/>
      </w:divBdr>
    </w:div>
    <w:div w:id="1354308149">
      <w:bodyDiv w:val="1"/>
      <w:marLeft w:val="0"/>
      <w:marRight w:val="0"/>
      <w:marTop w:val="0"/>
      <w:marBottom w:val="0"/>
      <w:divBdr>
        <w:top w:val="none" w:sz="0" w:space="0" w:color="auto"/>
        <w:left w:val="none" w:sz="0" w:space="0" w:color="auto"/>
        <w:bottom w:val="none" w:sz="0" w:space="0" w:color="auto"/>
        <w:right w:val="none" w:sz="0" w:space="0" w:color="auto"/>
      </w:divBdr>
    </w:div>
    <w:div w:id="1404402903">
      <w:bodyDiv w:val="1"/>
      <w:marLeft w:val="0"/>
      <w:marRight w:val="0"/>
      <w:marTop w:val="0"/>
      <w:marBottom w:val="0"/>
      <w:divBdr>
        <w:top w:val="none" w:sz="0" w:space="0" w:color="auto"/>
        <w:left w:val="none" w:sz="0" w:space="0" w:color="auto"/>
        <w:bottom w:val="none" w:sz="0" w:space="0" w:color="auto"/>
        <w:right w:val="none" w:sz="0" w:space="0" w:color="auto"/>
      </w:divBdr>
    </w:div>
    <w:div w:id="1683435537">
      <w:bodyDiv w:val="1"/>
      <w:marLeft w:val="0"/>
      <w:marRight w:val="0"/>
      <w:marTop w:val="0"/>
      <w:marBottom w:val="0"/>
      <w:divBdr>
        <w:top w:val="none" w:sz="0" w:space="0" w:color="auto"/>
        <w:left w:val="none" w:sz="0" w:space="0" w:color="auto"/>
        <w:bottom w:val="none" w:sz="0" w:space="0" w:color="auto"/>
        <w:right w:val="none" w:sz="0" w:space="0" w:color="auto"/>
      </w:divBdr>
    </w:div>
    <w:div w:id="1735933686">
      <w:bodyDiv w:val="1"/>
      <w:marLeft w:val="0"/>
      <w:marRight w:val="0"/>
      <w:marTop w:val="0"/>
      <w:marBottom w:val="0"/>
      <w:divBdr>
        <w:top w:val="none" w:sz="0" w:space="0" w:color="auto"/>
        <w:left w:val="none" w:sz="0" w:space="0" w:color="auto"/>
        <w:bottom w:val="none" w:sz="0" w:space="0" w:color="auto"/>
        <w:right w:val="none" w:sz="0" w:space="0" w:color="auto"/>
      </w:divBdr>
      <w:divsChild>
        <w:div w:id="799031902">
          <w:marLeft w:val="547"/>
          <w:marRight w:val="0"/>
          <w:marTop w:val="0"/>
          <w:marBottom w:val="0"/>
          <w:divBdr>
            <w:top w:val="none" w:sz="0" w:space="0" w:color="auto"/>
            <w:left w:val="none" w:sz="0" w:space="0" w:color="auto"/>
            <w:bottom w:val="none" w:sz="0" w:space="0" w:color="auto"/>
            <w:right w:val="none" w:sz="0" w:space="0" w:color="auto"/>
          </w:divBdr>
        </w:div>
        <w:div w:id="938178973">
          <w:marLeft w:val="547"/>
          <w:marRight w:val="0"/>
          <w:marTop w:val="0"/>
          <w:marBottom w:val="0"/>
          <w:divBdr>
            <w:top w:val="none" w:sz="0" w:space="0" w:color="auto"/>
            <w:left w:val="none" w:sz="0" w:space="0" w:color="auto"/>
            <w:bottom w:val="none" w:sz="0" w:space="0" w:color="auto"/>
            <w:right w:val="none" w:sz="0" w:space="0" w:color="auto"/>
          </w:divBdr>
        </w:div>
        <w:div w:id="1504321859">
          <w:marLeft w:val="547"/>
          <w:marRight w:val="0"/>
          <w:marTop w:val="0"/>
          <w:marBottom w:val="0"/>
          <w:divBdr>
            <w:top w:val="none" w:sz="0" w:space="0" w:color="auto"/>
            <w:left w:val="none" w:sz="0" w:space="0" w:color="auto"/>
            <w:bottom w:val="none" w:sz="0" w:space="0" w:color="auto"/>
            <w:right w:val="none" w:sz="0" w:space="0" w:color="auto"/>
          </w:divBdr>
        </w:div>
        <w:div w:id="1583835019">
          <w:marLeft w:val="547"/>
          <w:marRight w:val="0"/>
          <w:marTop w:val="0"/>
          <w:marBottom w:val="0"/>
          <w:divBdr>
            <w:top w:val="none" w:sz="0" w:space="0" w:color="auto"/>
            <w:left w:val="none" w:sz="0" w:space="0" w:color="auto"/>
            <w:bottom w:val="none" w:sz="0" w:space="0" w:color="auto"/>
            <w:right w:val="none" w:sz="0" w:space="0" w:color="auto"/>
          </w:divBdr>
        </w:div>
        <w:div w:id="2104182706">
          <w:marLeft w:val="547"/>
          <w:marRight w:val="0"/>
          <w:marTop w:val="0"/>
          <w:marBottom w:val="0"/>
          <w:divBdr>
            <w:top w:val="none" w:sz="0" w:space="0" w:color="auto"/>
            <w:left w:val="none" w:sz="0" w:space="0" w:color="auto"/>
            <w:bottom w:val="none" w:sz="0" w:space="0" w:color="auto"/>
            <w:right w:val="none" w:sz="0" w:space="0" w:color="auto"/>
          </w:divBdr>
        </w:div>
      </w:divsChild>
    </w:div>
    <w:div w:id="1767536747">
      <w:bodyDiv w:val="1"/>
      <w:marLeft w:val="0"/>
      <w:marRight w:val="0"/>
      <w:marTop w:val="0"/>
      <w:marBottom w:val="0"/>
      <w:divBdr>
        <w:top w:val="none" w:sz="0" w:space="0" w:color="auto"/>
        <w:left w:val="none" w:sz="0" w:space="0" w:color="auto"/>
        <w:bottom w:val="none" w:sz="0" w:space="0" w:color="auto"/>
        <w:right w:val="none" w:sz="0" w:space="0" w:color="auto"/>
      </w:divBdr>
    </w:div>
    <w:div w:id="1809931341">
      <w:bodyDiv w:val="1"/>
      <w:marLeft w:val="0"/>
      <w:marRight w:val="0"/>
      <w:marTop w:val="0"/>
      <w:marBottom w:val="0"/>
      <w:divBdr>
        <w:top w:val="none" w:sz="0" w:space="0" w:color="auto"/>
        <w:left w:val="none" w:sz="0" w:space="0" w:color="auto"/>
        <w:bottom w:val="none" w:sz="0" w:space="0" w:color="auto"/>
        <w:right w:val="none" w:sz="0" w:space="0" w:color="auto"/>
      </w:divBdr>
    </w:div>
    <w:div w:id="1986356108">
      <w:bodyDiv w:val="1"/>
      <w:marLeft w:val="0"/>
      <w:marRight w:val="0"/>
      <w:marTop w:val="0"/>
      <w:marBottom w:val="0"/>
      <w:divBdr>
        <w:top w:val="none" w:sz="0" w:space="0" w:color="auto"/>
        <w:left w:val="none" w:sz="0" w:space="0" w:color="auto"/>
        <w:bottom w:val="none" w:sz="0" w:space="0" w:color="auto"/>
        <w:right w:val="none" w:sz="0" w:space="0" w:color="auto"/>
      </w:divBdr>
    </w:div>
    <w:div w:id="205307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2" ma:contentTypeDescription="Create a new document." ma:contentTypeScope="" ma:versionID="269d2fed81ffc115f7c3d57f86669936">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dc2c45890cfec18f8c711e369341847d"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Props1.xml><?xml version="1.0" encoding="utf-8"?>
<ds:datastoreItem xmlns:ds="http://schemas.openxmlformats.org/officeDocument/2006/customXml" ds:itemID="{6D3B7308-713F-4D0A-8DBD-3CA7F5E63631}">
  <ds:schemaRefs>
    <ds:schemaRef ds:uri="http://schemas.openxmlformats.org/officeDocument/2006/bibliography"/>
  </ds:schemaRefs>
</ds:datastoreItem>
</file>

<file path=customXml/itemProps2.xml><?xml version="1.0" encoding="utf-8"?>
<ds:datastoreItem xmlns:ds="http://schemas.openxmlformats.org/officeDocument/2006/customXml" ds:itemID="{83D9C2B6-67CB-4D3E-B1D1-A65C5355237C}"/>
</file>

<file path=customXml/itemProps3.xml><?xml version="1.0" encoding="utf-8"?>
<ds:datastoreItem xmlns:ds="http://schemas.openxmlformats.org/officeDocument/2006/customXml" ds:itemID="{2996E68B-C7D5-4E4D-8575-95C8747AB467}"/>
</file>

<file path=customXml/itemProps4.xml><?xml version="1.0" encoding="utf-8"?>
<ds:datastoreItem xmlns:ds="http://schemas.openxmlformats.org/officeDocument/2006/customXml" ds:itemID="{7872619E-5FBA-49B9-A3EE-C1DFCDD7D897}"/>
</file>

<file path=docProps/app.xml><?xml version="1.0" encoding="utf-8"?>
<Properties xmlns="http://schemas.openxmlformats.org/officeDocument/2006/extended-properties" xmlns:vt="http://schemas.openxmlformats.org/officeDocument/2006/docPropsVTypes">
  <Template>Normal.dotm</Template>
  <TotalTime>1</TotalTime>
  <Pages>5</Pages>
  <Words>1405</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Babatunde Abidoye</dc:creator>
  <cp:lastModifiedBy>Rossiter, Jack</cp:lastModifiedBy>
  <cp:revision>2</cp:revision>
  <cp:lastPrinted>2016-03-12T07:54:00Z</cp:lastPrinted>
  <dcterms:created xsi:type="dcterms:W3CDTF">2019-09-26T07:26:00Z</dcterms:created>
  <dcterms:modified xsi:type="dcterms:W3CDTF">2019-09-26T07:26:00Z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