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634F8" w14:textId="75280B15" w:rsidR="007C0F6F" w:rsidRDefault="007C0F6F" w:rsidP="007C0F6F">
      <w:bookmarkStart w:id="0" w:name="_GoBack"/>
      <w:bookmarkEnd w:id="0"/>
    </w:p>
    <w:p w14:paraId="1C3E26DB" w14:textId="77777777" w:rsidR="007C0F6F" w:rsidRDefault="007C0F6F">
      <w:r>
        <w:br w:type="page"/>
      </w:r>
    </w:p>
    <w:p w14:paraId="39A4C210" w14:textId="77777777" w:rsidR="00F24194" w:rsidRDefault="00F24194" w:rsidP="00F24194">
      <w:pPr>
        <w:ind w:hanging="630"/>
        <w:rPr>
          <w:rFonts w:ascii="Cambria" w:hAnsi="Cambria" w:cstheme="minorHAnsi"/>
          <w:b/>
          <w:bCs w:val="0"/>
          <w:smallCaps/>
          <w:sz w:val="30"/>
          <w:szCs w:val="30"/>
          <w:lang w:val="en-US"/>
        </w:rPr>
      </w:pPr>
      <w:r>
        <w:rPr>
          <w:rFonts w:ascii="Cambria" w:hAnsi="Cambria" w:cstheme="minorHAnsi"/>
          <w:b/>
          <w:smallCaps/>
          <w:sz w:val="30"/>
          <w:szCs w:val="30"/>
        </w:rPr>
        <w:lastRenderedPageBreak/>
        <w:t>Risk assessment and management</w:t>
      </w:r>
    </w:p>
    <w:tbl>
      <w:tblPr>
        <w:tblStyle w:val="TableGrid"/>
        <w:tblW w:w="10620" w:type="dxa"/>
        <w:tblInd w:w="-635" w:type="dxa"/>
        <w:tblLook w:val="04A0" w:firstRow="1" w:lastRow="0" w:firstColumn="1" w:lastColumn="0" w:noHBand="0" w:noVBand="1"/>
      </w:tblPr>
      <w:tblGrid>
        <w:gridCol w:w="3540"/>
        <w:gridCol w:w="3540"/>
        <w:gridCol w:w="3540"/>
      </w:tblGrid>
      <w:tr w:rsidR="00F24194" w14:paraId="55699B4E" w14:textId="77777777" w:rsidTr="00F24194">
        <w:trPr>
          <w:trHeight w:val="340"/>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B5B190" w14:textId="77777777" w:rsidR="00F24194" w:rsidRDefault="00F24194">
            <w:pPr>
              <w:rPr>
                <w:rStyle w:val="IntenseReference"/>
                <w:rFonts w:eastAsia="Times New Roman" w:cs="Arial"/>
                <w:color w:val="auto"/>
                <w:sz w:val="20"/>
                <w:szCs w:val="20"/>
                <w:lang w:eastAsia="ja-JP"/>
              </w:rPr>
            </w:pPr>
            <w:r>
              <w:rPr>
                <w:rStyle w:val="IntenseReference"/>
                <w:rFonts w:ascii="Cambria" w:hAnsi="Cambria" w:cs="Arial"/>
                <w:color w:val="auto"/>
                <w:sz w:val="20"/>
                <w:szCs w:val="20"/>
              </w:rPr>
              <w:t xml:space="preserve">1. </w:t>
            </w:r>
            <w:r>
              <w:rPr>
                <w:rFonts w:ascii="Cambria" w:eastAsia="Times New Roman" w:hAnsi="Cambria" w:cs="Arial"/>
                <w:b/>
                <w:sz w:val="20"/>
                <w:szCs w:val="20"/>
                <w:lang w:eastAsia="ja-JP"/>
              </w:rPr>
              <w:t xml:space="preserve">Risk factors and mitigations measures (max. 2 pages) </w:t>
            </w:r>
          </w:p>
        </w:tc>
      </w:tr>
      <w:tr w:rsidR="00F24194" w14:paraId="5B26B504" w14:textId="77777777" w:rsidTr="00F24194">
        <w:trPr>
          <w:trHeight w:val="620"/>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4F77EFCE" w14:textId="77777777" w:rsidR="00F24194" w:rsidRDefault="00F24194">
            <w:pPr>
              <w:rPr>
                <w:i/>
              </w:rPr>
            </w:pPr>
            <w:r>
              <w:rPr>
                <w:rFonts w:ascii="Cambria" w:eastAsia="Times New Roman" w:hAnsi="Cambria" w:cs="Arial"/>
                <w:i/>
                <w:sz w:val="20"/>
                <w:lang w:eastAsia="ja-JP"/>
              </w:rPr>
              <w:t>Please describe financial, technical and operational, social and environmental and other risks that might prevent the project/programme objectives from being achieved. Also describe the proposed risk mitigation measures.</w:t>
            </w:r>
          </w:p>
          <w:p w14:paraId="4737896D" w14:textId="77777777" w:rsidR="00F24194" w:rsidRDefault="00F24194">
            <w:pPr>
              <w:rPr>
                <w:rFonts w:ascii="Cambria" w:eastAsia="Times New Roman" w:hAnsi="Cambria" w:cs="Arial"/>
                <w:sz w:val="16"/>
                <w:szCs w:val="16"/>
                <w:lang w:eastAsia="ja-JP"/>
              </w:rPr>
            </w:pPr>
          </w:p>
          <w:p w14:paraId="38A00166"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lang w:eastAsia="ja-JP"/>
              </w:rPr>
              <w:t>For probability: High has significant probability, Medium has moderate probability, Low has negligible probability</w:t>
            </w:r>
          </w:p>
          <w:p w14:paraId="6D6287FC"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lang w:eastAsia="ja-JP"/>
              </w:rPr>
              <w:t>For impact: High has significant impact, Medium has moderate impact, Low has negligible impact</w:t>
            </w:r>
          </w:p>
          <w:p w14:paraId="7807B7E5" w14:textId="77777777" w:rsidR="00F24194" w:rsidRDefault="00F24194">
            <w:pPr>
              <w:rPr>
                <w:rFonts w:ascii="Cambria" w:eastAsia="Times New Roman" w:hAnsi="Cambria" w:cs="Arial"/>
                <w:bCs w:val="0"/>
                <w:sz w:val="18"/>
                <w:lang w:eastAsia="ja-JP"/>
              </w:rPr>
            </w:pPr>
          </w:p>
        </w:tc>
      </w:tr>
      <w:tr w:rsidR="00F24194" w14:paraId="1EBE6B29"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FB38C9" w14:textId="77777777" w:rsidR="00F24194" w:rsidRDefault="00F24194">
            <w:pPr>
              <w:tabs>
                <w:tab w:val="left" w:pos="2540"/>
              </w:tabs>
              <w:rPr>
                <w:rFonts w:ascii="Cambria" w:eastAsia="Times New Roman" w:hAnsi="Cambria" w:cs="Arial"/>
                <w:b/>
                <w:bCs w:val="0"/>
                <w:sz w:val="20"/>
                <w:szCs w:val="20"/>
                <w:lang w:eastAsia="ja-JP"/>
              </w:rPr>
            </w:pPr>
            <w:bookmarkStart w:id="1" w:name="_Hlk504236929"/>
            <w:r>
              <w:rPr>
                <w:rFonts w:ascii="Cambria" w:eastAsia="Times New Roman" w:hAnsi="Cambria" w:cs="Arial"/>
                <w:b/>
                <w:bCs w:val="0"/>
                <w:sz w:val="20"/>
                <w:szCs w:val="20"/>
                <w:lang w:eastAsia="ja-JP"/>
              </w:rPr>
              <w:t>Selected Risk Factor 1</w:t>
            </w:r>
            <w:r>
              <w:rPr>
                <w:rFonts w:ascii="Cambria" w:eastAsia="Times New Roman" w:hAnsi="Cambria" w:cs="Arial"/>
                <w:b/>
                <w:bCs w:val="0"/>
                <w:sz w:val="20"/>
                <w:szCs w:val="20"/>
                <w:lang w:eastAsia="ja-JP"/>
              </w:rPr>
              <w:tab/>
            </w:r>
          </w:p>
        </w:tc>
      </w:tr>
      <w:tr w:rsidR="00F24194" w14:paraId="12DCC13C"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21CC5B" w14:textId="77777777" w:rsidR="00F24194" w:rsidRDefault="00F24194">
            <w:pPr>
              <w:jc w:val="center"/>
              <w:rPr>
                <w:rFonts w:ascii="Cambria" w:eastAsia="Times New Roman" w:hAnsi="Cambria" w:cs="Arial"/>
                <w:bCs w:val="0"/>
                <w:sz w:val="20"/>
                <w:szCs w:val="20"/>
                <w:lang w:eastAsia="ja-JP"/>
              </w:rPr>
            </w:pPr>
            <w:bookmarkStart w:id="2" w:name="_Hlk504239161"/>
            <w:r>
              <w:rPr>
                <w:rFonts w:ascii="Cambria" w:eastAsia="Times New Roman" w:hAnsi="Cambria"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A964F9"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937AD9"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Impact</w:t>
            </w:r>
          </w:p>
        </w:tc>
      </w:tr>
      <w:tr w:rsidR="00F24194" w:rsidRPr="00DE3CB9" w14:paraId="15EFABBF" w14:textId="77777777" w:rsidTr="00F24194">
        <w:trPr>
          <w:trHeight w:val="377"/>
        </w:trPr>
        <w:sdt>
          <w:sdtPr>
            <w:rPr>
              <w:rFonts w:ascii="Tahoma" w:eastAsia="Times New Roman" w:hAnsi="Tahoma" w:cs="Tahoma"/>
              <w:sz w:val="20"/>
              <w:lang w:eastAsia="ja-JP"/>
            </w:rPr>
            <w:alias w:val="Risk category"/>
            <w:tag w:val="Risk category"/>
            <w:id w:val="-1333372608"/>
            <w:placeholder>
              <w:docPart w:val="964D8C68D5974F75AE85861AE36D7254"/>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9EDCB93" w14:textId="6C9425E7" w:rsidR="00F24194" w:rsidRPr="00DE3CB9" w:rsidRDefault="0055437E">
                <w:pPr>
                  <w:jc w:val="center"/>
                  <w:rPr>
                    <w:rFonts w:ascii="Tahoma" w:eastAsia="Times New Roman" w:hAnsi="Tahoma" w:cs="Tahoma"/>
                    <w:bCs w:val="0"/>
                    <w:sz w:val="20"/>
                    <w:lang w:eastAsia="ja-JP"/>
                  </w:rPr>
                </w:pPr>
                <w:r w:rsidRPr="00DE3CB9">
                  <w:rPr>
                    <w:rFonts w:ascii="Tahoma" w:eastAsia="Times New Roman" w:hAnsi="Tahoma" w:cs="Tahoma"/>
                    <w:sz w:val="20"/>
                    <w:lang w:eastAsia="ja-JP"/>
                  </w:rPr>
                  <w:t>Governance</w:t>
                </w:r>
              </w:p>
            </w:tc>
          </w:sdtContent>
        </w:sdt>
        <w:sdt>
          <w:sdtPr>
            <w:rPr>
              <w:rFonts w:ascii="Tahoma" w:eastAsia="Times New Roman" w:hAnsi="Tahoma" w:cs="Tahoma"/>
              <w:sz w:val="20"/>
              <w:lang w:eastAsia="ja-JP"/>
            </w:rPr>
            <w:id w:val="1704140497"/>
            <w:placeholder>
              <w:docPart w:val="4A025C9C68884338B30D1E710F6D8616"/>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72A7A9C1" w14:textId="129CB41D" w:rsidR="00F24194" w:rsidRPr="00DE3CB9" w:rsidRDefault="0055437E">
                <w:pPr>
                  <w:jc w:val="center"/>
                  <w:rPr>
                    <w:rFonts w:ascii="Tahoma" w:eastAsia="Times New Roman" w:hAnsi="Tahoma" w:cs="Tahoma"/>
                    <w:sz w:val="20"/>
                    <w:lang w:eastAsia="ja-JP"/>
                  </w:rPr>
                </w:pPr>
                <w:r w:rsidRPr="00DE3CB9">
                  <w:rPr>
                    <w:rFonts w:ascii="Tahoma" w:eastAsia="Times New Roman" w:hAnsi="Tahoma" w:cs="Tahoma"/>
                    <w:sz w:val="20"/>
                    <w:lang w:eastAsia="ja-JP"/>
                  </w:rPr>
                  <w:t>Low</w:t>
                </w:r>
              </w:p>
            </w:tc>
          </w:sdtContent>
        </w:sdt>
        <w:sdt>
          <w:sdtPr>
            <w:rPr>
              <w:rFonts w:ascii="Tahoma" w:eastAsia="Times New Roman" w:hAnsi="Tahoma" w:cs="Tahoma"/>
              <w:sz w:val="20"/>
              <w:szCs w:val="20"/>
              <w:lang w:eastAsia="ja-JP"/>
            </w:rPr>
            <w:id w:val="354081419"/>
            <w:placeholder>
              <w:docPart w:val="11759AA51C9648D1A56A859372150BE5"/>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5284BC6" w14:textId="104C416E" w:rsidR="00F24194" w:rsidRPr="00DE3CB9" w:rsidRDefault="0055437E">
                <w:pPr>
                  <w:jc w:val="center"/>
                  <w:rPr>
                    <w:rFonts w:ascii="Tahoma" w:eastAsia="Times New Roman" w:hAnsi="Tahoma" w:cs="Tahoma"/>
                    <w:sz w:val="20"/>
                    <w:lang w:eastAsia="ja-JP"/>
                  </w:rPr>
                </w:pPr>
                <w:r w:rsidRPr="00DE3CB9">
                  <w:rPr>
                    <w:rFonts w:ascii="Tahoma" w:eastAsia="Times New Roman" w:hAnsi="Tahoma" w:cs="Tahoma"/>
                    <w:sz w:val="20"/>
                    <w:szCs w:val="20"/>
                    <w:lang w:eastAsia="ja-JP"/>
                  </w:rPr>
                  <w:t>Medium</w:t>
                </w:r>
              </w:p>
            </w:tc>
          </w:sdtContent>
        </w:sdt>
      </w:tr>
      <w:tr w:rsidR="00F24194" w14:paraId="5B785511"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9C766F" w14:textId="77777777" w:rsidR="00F24194" w:rsidRDefault="00F24194">
            <w:pPr>
              <w:jc w:val="center"/>
              <w:rPr>
                <w:rFonts w:ascii="Cambria" w:eastAsia="Times New Roman" w:hAnsi="Cambria" w:cs="Arial"/>
                <w:sz w:val="20"/>
                <w:szCs w:val="20"/>
                <w:lang w:eastAsia="ja-JP"/>
              </w:rPr>
            </w:pPr>
            <w:r>
              <w:rPr>
                <w:rFonts w:ascii="Cambria" w:eastAsia="Times New Roman" w:hAnsi="Cambria" w:cs="Arial"/>
                <w:bCs w:val="0"/>
                <w:sz w:val="20"/>
                <w:szCs w:val="20"/>
                <w:lang w:eastAsia="ja-JP"/>
              </w:rPr>
              <w:t>Description</w:t>
            </w:r>
          </w:p>
        </w:tc>
      </w:tr>
      <w:tr w:rsidR="00F24194" w14:paraId="0E5080A3" w14:textId="77777777" w:rsidTr="00DE3CB9">
        <w:trPr>
          <w:trHeight w:val="1538"/>
        </w:trPr>
        <w:tc>
          <w:tcPr>
            <w:tcW w:w="10620" w:type="dxa"/>
            <w:gridSpan w:val="3"/>
            <w:tcBorders>
              <w:top w:val="single" w:sz="4" w:space="0" w:color="auto"/>
              <w:left w:val="single" w:sz="4" w:space="0" w:color="auto"/>
              <w:bottom w:val="single" w:sz="4" w:space="0" w:color="auto"/>
              <w:right w:val="single" w:sz="4" w:space="0" w:color="auto"/>
            </w:tcBorders>
          </w:tcPr>
          <w:p w14:paraId="326457BA" w14:textId="77777777" w:rsidR="00F24194" w:rsidRDefault="00F24194" w:rsidP="00F9395B">
            <w:pPr>
              <w:jc w:val="both"/>
              <w:rPr>
                <w:rFonts w:ascii="Cambria" w:eastAsia="Times New Roman" w:hAnsi="Cambria" w:cs="Arial"/>
                <w:bCs w:val="0"/>
                <w:i/>
                <w:sz w:val="20"/>
                <w:szCs w:val="20"/>
                <w:lang w:eastAsia="ja-JP"/>
              </w:rPr>
            </w:pPr>
            <w:r>
              <w:rPr>
                <w:rFonts w:ascii="Cambria" w:eastAsia="Times New Roman" w:hAnsi="Cambria" w:cs="Arial"/>
                <w:bCs w:val="0"/>
                <w:i/>
                <w:sz w:val="20"/>
                <w:szCs w:val="20"/>
                <w:lang w:eastAsia="ja-JP"/>
              </w:rPr>
              <w:t xml:space="preserve">Please describe the risk to the best of your knowledge at this point in time. </w:t>
            </w:r>
          </w:p>
          <w:p w14:paraId="4E863949" w14:textId="3179AB20" w:rsidR="00F24194" w:rsidRPr="00DE3CB9" w:rsidRDefault="0055437E" w:rsidP="00DE3CB9">
            <w:pPr>
              <w:spacing w:before="120" w:after="120"/>
              <w:jc w:val="both"/>
              <w:rPr>
                <w:rFonts w:ascii="Tahoma" w:eastAsia="Times New Roman" w:hAnsi="Tahoma" w:cs="Tahoma"/>
                <w:bCs w:val="0"/>
                <w:sz w:val="20"/>
                <w:szCs w:val="20"/>
                <w:lang w:eastAsia="ja-JP"/>
              </w:rPr>
            </w:pPr>
            <w:r w:rsidRPr="00DE3CB9">
              <w:rPr>
                <w:rFonts w:ascii="Tahoma" w:eastAsia="Times New Roman" w:hAnsi="Tahoma" w:cs="Tahoma"/>
                <w:bCs w:val="0"/>
                <w:sz w:val="20"/>
                <w:szCs w:val="20"/>
                <w:lang w:eastAsia="ja-JP"/>
              </w:rPr>
              <w:t xml:space="preserve">The impact-based forecast early warning system </w:t>
            </w:r>
            <w:r w:rsidR="003220E7" w:rsidRPr="00DE3CB9">
              <w:rPr>
                <w:rFonts w:ascii="Tahoma" w:eastAsia="Times New Roman" w:hAnsi="Tahoma" w:cs="Tahoma"/>
                <w:bCs w:val="0"/>
                <w:sz w:val="20"/>
                <w:szCs w:val="20"/>
                <w:lang w:eastAsia="ja-JP"/>
              </w:rPr>
              <w:t>is not</w:t>
            </w:r>
            <w:r w:rsidRPr="00DE3CB9">
              <w:rPr>
                <w:rFonts w:ascii="Tahoma" w:eastAsia="Times New Roman" w:hAnsi="Tahoma" w:cs="Tahoma"/>
                <w:bCs w:val="0"/>
                <w:sz w:val="20"/>
                <w:szCs w:val="20"/>
                <w:lang w:eastAsia="ja-JP"/>
              </w:rPr>
              <w:t xml:space="preserve"> </w:t>
            </w:r>
            <w:r w:rsidR="00FE5D92" w:rsidRPr="00DE3CB9">
              <w:rPr>
                <w:rFonts w:ascii="Tahoma" w:eastAsia="Times New Roman" w:hAnsi="Tahoma" w:cs="Tahoma"/>
                <w:bCs w:val="0"/>
                <w:sz w:val="20"/>
                <w:szCs w:val="20"/>
                <w:lang w:eastAsia="ja-JP"/>
              </w:rPr>
              <w:t xml:space="preserve">properly </w:t>
            </w:r>
            <w:r w:rsidRPr="00DE3CB9">
              <w:rPr>
                <w:rFonts w:ascii="Tahoma" w:eastAsia="Times New Roman" w:hAnsi="Tahoma" w:cs="Tahoma"/>
                <w:bCs w:val="0"/>
                <w:sz w:val="20"/>
                <w:szCs w:val="20"/>
                <w:lang w:eastAsia="ja-JP"/>
              </w:rPr>
              <w:t>implemented by the LGUs and adopted by the community in accordance with the established policies, protocols or SOPs</w:t>
            </w:r>
            <w:r w:rsidR="00CE4C25" w:rsidRPr="00DE3CB9">
              <w:rPr>
                <w:rFonts w:ascii="Tahoma" w:eastAsia="Times New Roman" w:hAnsi="Tahoma" w:cs="Tahoma"/>
                <w:bCs w:val="0"/>
                <w:sz w:val="20"/>
                <w:szCs w:val="20"/>
                <w:lang w:eastAsia="ja-JP"/>
              </w:rPr>
              <w:t xml:space="preserve"> resulting to damages and losses arising from the hazard/event</w:t>
            </w:r>
            <w:r w:rsidRPr="00DE3CB9">
              <w:rPr>
                <w:rFonts w:ascii="Tahoma" w:eastAsia="Times New Roman" w:hAnsi="Tahoma" w:cs="Tahoma"/>
                <w:bCs w:val="0"/>
                <w:sz w:val="20"/>
                <w:szCs w:val="20"/>
                <w:lang w:eastAsia="ja-JP"/>
              </w:rPr>
              <w:t xml:space="preserve">.  Project implementers </w:t>
            </w:r>
            <w:r w:rsidR="003220E7" w:rsidRPr="00DE3CB9">
              <w:rPr>
                <w:rFonts w:ascii="Tahoma" w:eastAsia="Times New Roman" w:hAnsi="Tahoma" w:cs="Tahoma"/>
                <w:bCs w:val="0"/>
                <w:sz w:val="20"/>
                <w:szCs w:val="20"/>
                <w:lang w:eastAsia="ja-JP"/>
              </w:rPr>
              <w:t xml:space="preserve">are not </w:t>
            </w:r>
            <w:r w:rsidR="0058440A" w:rsidRPr="00DE3CB9">
              <w:rPr>
                <w:rFonts w:ascii="Tahoma" w:eastAsia="Times New Roman" w:hAnsi="Tahoma" w:cs="Tahoma"/>
                <w:bCs w:val="0"/>
                <w:sz w:val="20"/>
                <w:szCs w:val="20"/>
                <w:lang w:eastAsia="ja-JP"/>
              </w:rPr>
              <w:t xml:space="preserve">able to </w:t>
            </w:r>
            <w:r w:rsidRPr="00DE3CB9">
              <w:rPr>
                <w:rFonts w:ascii="Tahoma" w:eastAsia="Times New Roman" w:hAnsi="Tahoma" w:cs="Tahoma"/>
                <w:bCs w:val="0"/>
                <w:sz w:val="20"/>
                <w:szCs w:val="20"/>
                <w:lang w:eastAsia="ja-JP"/>
              </w:rPr>
              <w:t xml:space="preserve">generate the support from all the stakeholders </w:t>
            </w:r>
            <w:r w:rsidR="00FE5D92" w:rsidRPr="00DE3CB9">
              <w:rPr>
                <w:rFonts w:ascii="Tahoma" w:eastAsia="Times New Roman" w:hAnsi="Tahoma" w:cs="Tahoma"/>
                <w:bCs w:val="0"/>
                <w:sz w:val="20"/>
                <w:szCs w:val="20"/>
                <w:lang w:eastAsia="ja-JP"/>
              </w:rPr>
              <w:t xml:space="preserve">due to large number of agencies involved </w:t>
            </w:r>
            <w:r w:rsidR="008F0DF0" w:rsidRPr="00DE3CB9">
              <w:rPr>
                <w:rFonts w:ascii="Tahoma" w:eastAsia="Times New Roman" w:hAnsi="Tahoma" w:cs="Tahoma"/>
                <w:bCs w:val="0"/>
                <w:sz w:val="20"/>
                <w:szCs w:val="20"/>
                <w:lang w:eastAsia="ja-JP"/>
              </w:rPr>
              <w:t>and/or insufficient knowledge</w:t>
            </w:r>
            <w:r w:rsidR="0055699E" w:rsidRPr="00DE3CB9">
              <w:rPr>
                <w:rFonts w:ascii="Tahoma" w:eastAsia="Times New Roman" w:hAnsi="Tahoma" w:cs="Tahoma"/>
                <w:bCs w:val="0"/>
                <w:sz w:val="20"/>
                <w:szCs w:val="20"/>
                <w:lang w:eastAsia="ja-JP"/>
              </w:rPr>
              <w:t>/</w:t>
            </w:r>
            <w:r w:rsidR="008F0DF0" w:rsidRPr="00DE3CB9">
              <w:rPr>
                <w:rFonts w:ascii="Tahoma" w:eastAsia="Times New Roman" w:hAnsi="Tahoma" w:cs="Tahoma"/>
                <w:bCs w:val="0"/>
                <w:sz w:val="20"/>
                <w:szCs w:val="20"/>
                <w:lang w:eastAsia="ja-JP"/>
              </w:rPr>
              <w:t xml:space="preserve">capacity </w:t>
            </w:r>
            <w:r w:rsidR="0055699E" w:rsidRPr="00DE3CB9">
              <w:rPr>
                <w:rFonts w:ascii="Tahoma" w:eastAsia="Times New Roman" w:hAnsi="Tahoma" w:cs="Tahoma"/>
                <w:bCs w:val="0"/>
                <w:sz w:val="20"/>
                <w:szCs w:val="20"/>
                <w:lang w:eastAsia="ja-JP"/>
              </w:rPr>
              <w:t xml:space="preserve">or awareness </w:t>
            </w:r>
            <w:r w:rsidR="008F0DF0" w:rsidRPr="00DE3CB9">
              <w:rPr>
                <w:rFonts w:ascii="Tahoma" w:eastAsia="Times New Roman" w:hAnsi="Tahoma" w:cs="Tahoma"/>
                <w:bCs w:val="0"/>
                <w:sz w:val="20"/>
                <w:szCs w:val="20"/>
                <w:lang w:eastAsia="ja-JP"/>
              </w:rPr>
              <w:t>to implement the project.</w:t>
            </w:r>
          </w:p>
        </w:tc>
        <w:bookmarkEnd w:id="2"/>
      </w:tr>
      <w:tr w:rsidR="00F24194" w14:paraId="25608040"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639BE5"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Mitigation Measure(s)</w:t>
            </w:r>
          </w:p>
        </w:tc>
      </w:tr>
      <w:tr w:rsidR="00F24194" w14:paraId="5D789A14" w14:textId="77777777" w:rsidTr="00DE3CB9">
        <w:trPr>
          <w:trHeight w:val="2303"/>
        </w:trPr>
        <w:tc>
          <w:tcPr>
            <w:tcW w:w="10620" w:type="dxa"/>
            <w:gridSpan w:val="3"/>
            <w:tcBorders>
              <w:top w:val="single" w:sz="4" w:space="0" w:color="auto"/>
              <w:left w:val="single" w:sz="4" w:space="0" w:color="auto"/>
              <w:bottom w:val="single" w:sz="4" w:space="0" w:color="auto"/>
              <w:right w:val="single" w:sz="4" w:space="0" w:color="auto"/>
            </w:tcBorders>
            <w:hideMark/>
          </w:tcPr>
          <w:p w14:paraId="25DDCA18" w14:textId="77777777" w:rsidR="00F24194" w:rsidRDefault="00F24194">
            <w:pPr>
              <w:spacing w:before="40" w:after="40"/>
              <w:rPr>
                <w:rFonts w:ascii="Cambria" w:eastAsia="Times New Roman" w:hAnsi="Cambria" w:cs="Arial"/>
                <w:bCs w:val="0"/>
                <w:i/>
                <w:sz w:val="20"/>
                <w:szCs w:val="20"/>
                <w:lang w:eastAsia="ja-JP"/>
              </w:rPr>
            </w:pPr>
            <w:r>
              <w:rPr>
                <w:rFonts w:ascii="Cambria" w:eastAsia="Times New Roman" w:hAnsi="Cambria" w:cs="Arial"/>
                <w:bCs w:val="0"/>
                <w:i/>
                <w:sz w:val="20"/>
                <w:szCs w:val="20"/>
                <w:lang w:eastAsia="ja-JP"/>
              </w:rPr>
              <w:t xml:space="preserve">Please describe how the identified risk will be mitigated or managed. Do the mitigation measures lower the probability of risk occurring? If so, to what level? </w:t>
            </w:r>
          </w:p>
          <w:p w14:paraId="0224EBD9" w14:textId="03A495D9" w:rsidR="0058440A" w:rsidRPr="00DE3CB9" w:rsidRDefault="003220E7" w:rsidP="00DE3CB9">
            <w:pPr>
              <w:spacing w:before="120" w:after="120"/>
              <w:jc w:val="both"/>
              <w:rPr>
                <w:rFonts w:ascii="Tahoma" w:eastAsia="Times New Roman" w:hAnsi="Tahoma" w:cs="Tahoma"/>
                <w:bCs w:val="0"/>
                <w:sz w:val="20"/>
                <w:szCs w:val="20"/>
                <w:lang w:eastAsia="ja-JP"/>
              </w:rPr>
            </w:pPr>
            <w:r w:rsidRPr="00DE3CB9">
              <w:rPr>
                <w:rFonts w:ascii="Tahoma" w:eastAsia="Times New Roman" w:hAnsi="Tahoma" w:cs="Tahoma"/>
                <w:bCs w:val="0"/>
                <w:sz w:val="20"/>
                <w:szCs w:val="20"/>
                <w:lang w:eastAsia="ja-JP"/>
              </w:rPr>
              <w:t xml:space="preserve">The implementation process will be designed to reduce this risk by establishing operational partnerships with stakeholders to ensure capacity building and </w:t>
            </w:r>
            <w:r w:rsidR="00F9395B" w:rsidRPr="00DE3CB9">
              <w:rPr>
                <w:rFonts w:ascii="Tahoma" w:eastAsia="Times New Roman" w:hAnsi="Tahoma" w:cs="Tahoma"/>
                <w:bCs w:val="0"/>
                <w:sz w:val="20"/>
                <w:szCs w:val="20"/>
                <w:lang w:eastAsia="ja-JP"/>
              </w:rPr>
              <w:t xml:space="preserve">generate </w:t>
            </w:r>
            <w:r w:rsidRPr="00DE3CB9">
              <w:rPr>
                <w:rFonts w:ascii="Tahoma" w:eastAsia="Times New Roman" w:hAnsi="Tahoma" w:cs="Tahoma"/>
                <w:bCs w:val="0"/>
                <w:sz w:val="20"/>
                <w:szCs w:val="20"/>
                <w:lang w:eastAsia="ja-JP"/>
              </w:rPr>
              <w:t>support.  In the early stages of concept note development, the stakeholders have been involved in project planning</w:t>
            </w:r>
            <w:r w:rsidR="006D16D2" w:rsidRPr="00DE3CB9">
              <w:rPr>
                <w:rFonts w:ascii="Tahoma" w:eastAsia="Times New Roman" w:hAnsi="Tahoma" w:cs="Tahoma"/>
                <w:bCs w:val="0"/>
                <w:sz w:val="20"/>
                <w:szCs w:val="20"/>
                <w:lang w:eastAsia="ja-JP"/>
              </w:rPr>
              <w:t xml:space="preserve"> to </w:t>
            </w:r>
            <w:r w:rsidR="00F9395B" w:rsidRPr="00DE3CB9">
              <w:rPr>
                <w:rFonts w:ascii="Tahoma" w:eastAsia="Times New Roman" w:hAnsi="Tahoma" w:cs="Tahoma"/>
                <w:bCs w:val="0"/>
                <w:sz w:val="20"/>
                <w:szCs w:val="20"/>
                <w:lang w:eastAsia="ja-JP"/>
              </w:rPr>
              <w:t xml:space="preserve">promote </w:t>
            </w:r>
            <w:r w:rsidR="006D16D2" w:rsidRPr="00DE3CB9">
              <w:rPr>
                <w:rFonts w:ascii="Tahoma" w:eastAsia="Times New Roman" w:hAnsi="Tahoma" w:cs="Tahoma"/>
                <w:bCs w:val="0"/>
                <w:sz w:val="20"/>
                <w:szCs w:val="20"/>
                <w:lang w:eastAsia="ja-JP"/>
              </w:rPr>
              <w:t>ownership and inclusivity</w:t>
            </w:r>
            <w:r w:rsidR="0058440A" w:rsidRPr="00DE3CB9">
              <w:rPr>
                <w:rFonts w:ascii="Tahoma" w:eastAsia="Times New Roman" w:hAnsi="Tahoma" w:cs="Tahoma"/>
                <w:bCs w:val="0"/>
                <w:sz w:val="20"/>
                <w:szCs w:val="20"/>
                <w:lang w:eastAsia="ja-JP"/>
              </w:rPr>
              <w:t xml:space="preserve">.  </w:t>
            </w:r>
            <w:r w:rsidR="0055699E" w:rsidRPr="00DE3CB9">
              <w:rPr>
                <w:rFonts w:ascii="Tahoma" w:eastAsia="Times New Roman" w:hAnsi="Tahoma" w:cs="Tahoma"/>
                <w:bCs w:val="0"/>
                <w:sz w:val="20"/>
                <w:szCs w:val="20"/>
                <w:lang w:eastAsia="ja-JP"/>
              </w:rPr>
              <w:t>Capacity and awareness building activities like training/seminar and development of IEC materials will be conducted.  Additionally</w:t>
            </w:r>
            <w:r w:rsidR="00885C12" w:rsidRPr="00DE3CB9">
              <w:rPr>
                <w:rFonts w:ascii="Tahoma" w:eastAsia="Times New Roman" w:hAnsi="Tahoma" w:cs="Tahoma"/>
                <w:bCs w:val="0"/>
                <w:sz w:val="20"/>
                <w:szCs w:val="20"/>
                <w:lang w:eastAsia="ja-JP"/>
              </w:rPr>
              <w:t>, p</w:t>
            </w:r>
            <w:r w:rsidR="00D76D46" w:rsidRPr="00DE3CB9">
              <w:rPr>
                <w:rFonts w:ascii="Tahoma" w:eastAsia="Times New Roman" w:hAnsi="Tahoma" w:cs="Tahoma"/>
                <w:bCs w:val="0"/>
                <w:sz w:val="20"/>
                <w:szCs w:val="20"/>
                <w:lang w:eastAsia="ja-JP"/>
              </w:rPr>
              <w:t xml:space="preserve">olicies and procedures on succession planning and continuity </w:t>
            </w:r>
            <w:r w:rsidR="00A32ED3" w:rsidRPr="00DE3CB9">
              <w:rPr>
                <w:rFonts w:ascii="Tahoma" w:eastAsia="Times New Roman" w:hAnsi="Tahoma" w:cs="Tahoma"/>
                <w:bCs w:val="0"/>
                <w:sz w:val="20"/>
                <w:szCs w:val="20"/>
                <w:lang w:eastAsia="ja-JP"/>
              </w:rPr>
              <w:t xml:space="preserve">will be included in the operating policy guidelines </w:t>
            </w:r>
            <w:r w:rsidR="008F0DF0" w:rsidRPr="00DE3CB9">
              <w:rPr>
                <w:rFonts w:ascii="Tahoma" w:eastAsia="Times New Roman" w:hAnsi="Tahoma" w:cs="Tahoma"/>
                <w:bCs w:val="0"/>
                <w:sz w:val="20"/>
                <w:szCs w:val="20"/>
                <w:lang w:eastAsia="ja-JP"/>
              </w:rPr>
              <w:t xml:space="preserve">to ensure the effectiveness and sustainability of the project and its benefits.  </w:t>
            </w:r>
          </w:p>
        </w:tc>
        <w:bookmarkEnd w:id="1"/>
      </w:tr>
      <w:tr w:rsidR="00F24194" w14:paraId="205711DC"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BBDE96" w14:textId="77777777" w:rsidR="00F24194" w:rsidRDefault="00F24194">
            <w:pPr>
              <w:tabs>
                <w:tab w:val="left" w:pos="2540"/>
              </w:tabs>
              <w:rPr>
                <w:rFonts w:ascii="Cambria" w:eastAsia="Times New Roman" w:hAnsi="Cambria" w:cs="Arial"/>
                <w:b/>
                <w:bCs w:val="0"/>
                <w:sz w:val="20"/>
                <w:szCs w:val="20"/>
                <w:lang w:eastAsia="ja-JP"/>
              </w:rPr>
            </w:pPr>
            <w:r>
              <w:rPr>
                <w:rFonts w:ascii="Cambria" w:eastAsia="Times New Roman" w:hAnsi="Cambria" w:cs="Arial"/>
                <w:b/>
                <w:bCs w:val="0"/>
                <w:sz w:val="20"/>
                <w:szCs w:val="20"/>
                <w:lang w:eastAsia="ja-JP"/>
              </w:rPr>
              <w:t>Selected Risk Factor 2</w:t>
            </w:r>
            <w:r>
              <w:rPr>
                <w:rFonts w:ascii="Cambria" w:eastAsia="Times New Roman" w:hAnsi="Cambria" w:cs="Arial"/>
                <w:b/>
                <w:bCs w:val="0"/>
                <w:sz w:val="20"/>
                <w:szCs w:val="20"/>
                <w:lang w:eastAsia="ja-JP"/>
              </w:rPr>
              <w:tab/>
            </w:r>
          </w:p>
        </w:tc>
      </w:tr>
      <w:tr w:rsidR="00F24194" w14:paraId="17C35B2A"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54F804"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BB9C27"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6250D2"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Impact</w:t>
            </w:r>
          </w:p>
        </w:tc>
      </w:tr>
      <w:tr w:rsidR="00F24194" w:rsidRPr="00DE3CB9" w14:paraId="27847553" w14:textId="77777777" w:rsidTr="00F24194">
        <w:trPr>
          <w:trHeight w:val="377"/>
        </w:trPr>
        <w:sdt>
          <w:sdtPr>
            <w:rPr>
              <w:rFonts w:ascii="Tahoma" w:eastAsia="Times New Roman" w:hAnsi="Tahoma" w:cs="Tahoma"/>
              <w:sz w:val="20"/>
              <w:lang w:eastAsia="ja-JP"/>
            </w:rPr>
            <w:alias w:val="Risk category"/>
            <w:tag w:val="Risk category"/>
            <w:id w:val="1728023537"/>
            <w:placeholder>
              <w:docPart w:val="87653E2890324CE180DE31515BF27E4C"/>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C8D09B0" w14:textId="2C2C91F7" w:rsidR="00F24194" w:rsidRPr="00DE3CB9" w:rsidRDefault="0058440A">
                <w:pPr>
                  <w:jc w:val="center"/>
                  <w:rPr>
                    <w:rFonts w:ascii="Tahoma" w:eastAsia="Times New Roman" w:hAnsi="Tahoma" w:cs="Tahoma"/>
                    <w:bCs w:val="0"/>
                    <w:sz w:val="20"/>
                    <w:lang w:eastAsia="ja-JP"/>
                  </w:rPr>
                </w:pPr>
                <w:r w:rsidRPr="00DE3CB9">
                  <w:rPr>
                    <w:rFonts w:ascii="Tahoma" w:eastAsia="Times New Roman" w:hAnsi="Tahoma" w:cs="Tahoma"/>
                    <w:sz w:val="20"/>
                    <w:lang w:eastAsia="ja-JP"/>
                  </w:rPr>
                  <w:t>Reputational</w:t>
                </w:r>
              </w:p>
            </w:tc>
          </w:sdtContent>
        </w:sdt>
        <w:sdt>
          <w:sdtPr>
            <w:rPr>
              <w:rFonts w:ascii="Tahoma" w:eastAsia="Times New Roman" w:hAnsi="Tahoma" w:cs="Tahoma"/>
              <w:sz w:val="20"/>
              <w:lang w:eastAsia="ja-JP"/>
            </w:rPr>
            <w:id w:val="-2116822614"/>
            <w:placeholder>
              <w:docPart w:val="89EE78A3CF9D4D63948A68B66A5ABFFF"/>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09B97DF5" w14:textId="262A6AF5" w:rsidR="00F24194" w:rsidRPr="00DE3CB9" w:rsidRDefault="0058440A">
                <w:pPr>
                  <w:jc w:val="center"/>
                  <w:rPr>
                    <w:rFonts w:ascii="Tahoma" w:eastAsia="Times New Roman" w:hAnsi="Tahoma" w:cs="Tahoma"/>
                    <w:sz w:val="20"/>
                    <w:lang w:eastAsia="ja-JP"/>
                  </w:rPr>
                </w:pPr>
                <w:r w:rsidRPr="00DE3CB9">
                  <w:rPr>
                    <w:rFonts w:ascii="Tahoma" w:eastAsia="Times New Roman" w:hAnsi="Tahoma" w:cs="Tahoma"/>
                    <w:sz w:val="20"/>
                    <w:lang w:eastAsia="ja-JP"/>
                  </w:rPr>
                  <w:t>Low</w:t>
                </w:r>
              </w:p>
            </w:tc>
          </w:sdtContent>
        </w:sdt>
        <w:sdt>
          <w:sdtPr>
            <w:rPr>
              <w:rFonts w:ascii="Tahoma" w:eastAsia="Times New Roman" w:hAnsi="Tahoma" w:cs="Tahoma"/>
              <w:sz w:val="20"/>
              <w:szCs w:val="20"/>
              <w:lang w:eastAsia="ja-JP"/>
            </w:rPr>
            <w:id w:val="1230657290"/>
            <w:placeholder>
              <w:docPart w:val="ECF8231F96104991BD3B01F8BB2122F5"/>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C21CB64" w14:textId="320A1D94" w:rsidR="00F24194" w:rsidRPr="00DE3CB9" w:rsidRDefault="0058440A">
                <w:pPr>
                  <w:jc w:val="center"/>
                  <w:rPr>
                    <w:rFonts w:ascii="Tahoma" w:eastAsia="Times New Roman" w:hAnsi="Tahoma" w:cs="Tahoma"/>
                    <w:sz w:val="20"/>
                    <w:lang w:eastAsia="ja-JP"/>
                  </w:rPr>
                </w:pPr>
                <w:r w:rsidRPr="00DE3CB9">
                  <w:rPr>
                    <w:rFonts w:ascii="Tahoma" w:eastAsia="Times New Roman" w:hAnsi="Tahoma" w:cs="Tahoma"/>
                    <w:sz w:val="20"/>
                    <w:szCs w:val="20"/>
                    <w:lang w:eastAsia="ja-JP"/>
                  </w:rPr>
                  <w:t>Medium</w:t>
                </w:r>
              </w:p>
            </w:tc>
          </w:sdtContent>
        </w:sdt>
      </w:tr>
      <w:tr w:rsidR="00F24194" w14:paraId="4E3D9F1A"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95BB42" w14:textId="77777777" w:rsidR="00F24194" w:rsidRDefault="00F24194">
            <w:pPr>
              <w:jc w:val="center"/>
              <w:rPr>
                <w:rFonts w:ascii="Cambria" w:eastAsia="Times New Roman" w:hAnsi="Cambria" w:cs="Arial"/>
                <w:sz w:val="20"/>
                <w:szCs w:val="20"/>
                <w:lang w:eastAsia="ja-JP"/>
              </w:rPr>
            </w:pPr>
            <w:r>
              <w:rPr>
                <w:rFonts w:ascii="Cambria" w:eastAsia="Times New Roman" w:hAnsi="Cambria" w:cs="Arial"/>
                <w:bCs w:val="0"/>
                <w:sz w:val="20"/>
                <w:szCs w:val="20"/>
                <w:lang w:eastAsia="ja-JP"/>
              </w:rPr>
              <w:t>Description</w:t>
            </w:r>
          </w:p>
        </w:tc>
      </w:tr>
      <w:tr w:rsidR="00F24194" w14:paraId="6D1A8E93" w14:textId="77777777" w:rsidTr="00DE3CB9">
        <w:trPr>
          <w:trHeight w:val="1043"/>
        </w:trPr>
        <w:tc>
          <w:tcPr>
            <w:tcW w:w="10620" w:type="dxa"/>
            <w:gridSpan w:val="3"/>
            <w:tcBorders>
              <w:top w:val="single" w:sz="4" w:space="0" w:color="auto"/>
              <w:left w:val="single" w:sz="4" w:space="0" w:color="auto"/>
              <w:bottom w:val="single" w:sz="4" w:space="0" w:color="auto"/>
              <w:right w:val="single" w:sz="4" w:space="0" w:color="auto"/>
            </w:tcBorders>
          </w:tcPr>
          <w:p w14:paraId="2D0D9744" w14:textId="77777777" w:rsidR="00F24194" w:rsidRDefault="00F24194" w:rsidP="00F9395B">
            <w:pPr>
              <w:jc w:val="both"/>
              <w:rPr>
                <w:rFonts w:ascii="Cambria" w:eastAsia="Times New Roman" w:hAnsi="Cambria" w:cs="Arial"/>
                <w:bCs w:val="0"/>
                <w:i/>
                <w:sz w:val="20"/>
                <w:szCs w:val="20"/>
                <w:lang w:eastAsia="ja-JP"/>
              </w:rPr>
            </w:pPr>
            <w:r>
              <w:rPr>
                <w:rFonts w:ascii="Cambria" w:eastAsia="Times New Roman" w:hAnsi="Cambria" w:cs="Arial"/>
                <w:bCs w:val="0"/>
                <w:i/>
                <w:sz w:val="20"/>
                <w:szCs w:val="20"/>
                <w:lang w:eastAsia="ja-JP"/>
              </w:rPr>
              <w:t xml:space="preserve">Please describe the risk to the best of your knowledge at this point in time. </w:t>
            </w:r>
          </w:p>
          <w:p w14:paraId="7D70D7FA" w14:textId="388ABF1F" w:rsidR="00F24194" w:rsidRPr="00DE3CB9" w:rsidRDefault="00885C12" w:rsidP="00DE3CB9">
            <w:pPr>
              <w:spacing w:before="120" w:after="120"/>
              <w:jc w:val="both"/>
              <w:rPr>
                <w:rFonts w:ascii="Tahoma" w:eastAsia="Times New Roman" w:hAnsi="Tahoma" w:cs="Tahoma"/>
                <w:bCs w:val="0"/>
                <w:sz w:val="20"/>
                <w:szCs w:val="20"/>
                <w:lang w:eastAsia="ja-JP"/>
              </w:rPr>
            </w:pPr>
            <w:r w:rsidRPr="00DE3CB9">
              <w:rPr>
                <w:rFonts w:ascii="Tahoma" w:eastAsia="Times New Roman" w:hAnsi="Tahoma" w:cs="Tahoma"/>
                <w:bCs w:val="0"/>
                <w:sz w:val="20"/>
                <w:szCs w:val="20"/>
                <w:lang w:eastAsia="ja-JP"/>
              </w:rPr>
              <w:t xml:space="preserve">The impact-based forecast early warning system is not </w:t>
            </w:r>
            <w:r w:rsidR="00DE3CB9">
              <w:rPr>
                <w:rFonts w:ascii="Tahoma" w:eastAsia="Times New Roman" w:hAnsi="Tahoma" w:cs="Tahoma"/>
                <w:bCs w:val="0"/>
                <w:sz w:val="20"/>
                <w:szCs w:val="20"/>
                <w:lang w:eastAsia="ja-JP"/>
              </w:rPr>
              <w:t xml:space="preserve">as </w:t>
            </w:r>
            <w:r w:rsidRPr="00DE3CB9">
              <w:rPr>
                <w:rFonts w:ascii="Tahoma" w:eastAsia="Times New Roman" w:hAnsi="Tahoma" w:cs="Tahoma"/>
                <w:bCs w:val="0"/>
                <w:sz w:val="20"/>
                <w:szCs w:val="20"/>
                <w:lang w:eastAsia="ja-JP"/>
              </w:rPr>
              <w:t>effective</w:t>
            </w:r>
            <w:r w:rsidR="00DE3CB9">
              <w:rPr>
                <w:rFonts w:ascii="Tahoma" w:eastAsia="Times New Roman" w:hAnsi="Tahoma" w:cs="Tahoma"/>
                <w:bCs w:val="0"/>
                <w:sz w:val="20"/>
                <w:szCs w:val="20"/>
                <w:lang w:eastAsia="ja-JP"/>
              </w:rPr>
              <w:t xml:space="preserve"> as expected</w:t>
            </w:r>
            <w:r w:rsidRPr="00DE3CB9">
              <w:rPr>
                <w:rFonts w:ascii="Tahoma" w:eastAsia="Times New Roman" w:hAnsi="Tahoma" w:cs="Tahoma"/>
                <w:bCs w:val="0"/>
                <w:sz w:val="20"/>
                <w:szCs w:val="20"/>
                <w:lang w:eastAsia="ja-JP"/>
              </w:rPr>
              <w:t xml:space="preserve">. The warning given is different from the actual impact of the event which may result in </w:t>
            </w:r>
            <w:r w:rsidR="005F3D1F" w:rsidRPr="00DE3CB9">
              <w:rPr>
                <w:rFonts w:ascii="Tahoma" w:eastAsia="Times New Roman" w:hAnsi="Tahoma" w:cs="Tahoma"/>
                <w:bCs w:val="0"/>
                <w:sz w:val="20"/>
                <w:szCs w:val="20"/>
                <w:lang w:eastAsia="ja-JP"/>
              </w:rPr>
              <w:t>non-compliance to SOPs in the succeeding unwanted events.</w:t>
            </w:r>
          </w:p>
        </w:tc>
      </w:tr>
      <w:tr w:rsidR="00F24194" w14:paraId="5D557A8F"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DC87E0"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Mitigation Measure(s)</w:t>
            </w:r>
          </w:p>
        </w:tc>
      </w:tr>
      <w:tr w:rsidR="00F24194" w14:paraId="7831F6B6" w14:textId="77777777" w:rsidTr="00F9395B">
        <w:trPr>
          <w:trHeight w:val="1313"/>
        </w:trPr>
        <w:tc>
          <w:tcPr>
            <w:tcW w:w="10620" w:type="dxa"/>
            <w:gridSpan w:val="3"/>
            <w:tcBorders>
              <w:top w:val="single" w:sz="4" w:space="0" w:color="auto"/>
              <w:left w:val="single" w:sz="4" w:space="0" w:color="auto"/>
              <w:bottom w:val="single" w:sz="4" w:space="0" w:color="auto"/>
              <w:right w:val="single" w:sz="4" w:space="0" w:color="auto"/>
            </w:tcBorders>
            <w:hideMark/>
          </w:tcPr>
          <w:p w14:paraId="361CFE22" w14:textId="77777777" w:rsidR="00F24194" w:rsidRDefault="00F24194">
            <w:pPr>
              <w:spacing w:before="40" w:after="40"/>
              <w:rPr>
                <w:rFonts w:ascii="Cambria" w:eastAsia="Times New Roman" w:hAnsi="Cambria" w:cs="Arial"/>
                <w:bCs w:val="0"/>
                <w:sz w:val="20"/>
                <w:szCs w:val="20"/>
                <w:lang w:eastAsia="ja-JP"/>
              </w:rPr>
            </w:pPr>
            <w:r>
              <w:rPr>
                <w:rFonts w:ascii="Cambria" w:eastAsia="Times New Roman" w:hAnsi="Cambria" w:cs="Arial"/>
                <w:bCs w:val="0"/>
                <w:i/>
                <w:sz w:val="20"/>
                <w:szCs w:val="20"/>
                <w:lang w:eastAsia="ja-JP"/>
              </w:rPr>
              <w:t xml:space="preserve">Please describe how the identified risk will be mitigated or managed. Do the mitigation measures lower the probability of risk occurring? If so, to what level? </w:t>
            </w:r>
          </w:p>
          <w:p w14:paraId="334BA627" w14:textId="4287069B" w:rsidR="009C43E2" w:rsidRPr="00DE3CB9" w:rsidRDefault="005F3D1F" w:rsidP="00DE3CB9">
            <w:pPr>
              <w:spacing w:before="120" w:after="120"/>
              <w:jc w:val="both"/>
              <w:rPr>
                <w:rFonts w:ascii="Tahoma" w:eastAsia="Times New Roman" w:hAnsi="Tahoma" w:cs="Tahoma"/>
                <w:bCs w:val="0"/>
                <w:sz w:val="20"/>
                <w:szCs w:val="20"/>
                <w:lang w:eastAsia="ja-JP"/>
              </w:rPr>
            </w:pPr>
            <w:r w:rsidRPr="00DE3CB9">
              <w:rPr>
                <w:rFonts w:ascii="Tahoma" w:eastAsia="Times New Roman" w:hAnsi="Tahoma" w:cs="Tahoma"/>
                <w:bCs w:val="0"/>
                <w:sz w:val="20"/>
                <w:szCs w:val="20"/>
                <w:lang w:eastAsia="ja-JP"/>
              </w:rPr>
              <w:t>The risk will be mitigated by c</w:t>
            </w:r>
            <w:r w:rsidR="009C43E2" w:rsidRPr="00DE3CB9">
              <w:rPr>
                <w:rFonts w:ascii="Tahoma" w:eastAsia="Times New Roman" w:hAnsi="Tahoma" w:cs="Tahoma"/>
                <w:bCs w:val="0"/>
                <w:sz w:val="20"/>
                <w:szCs w:val="20"/>
                <w:lang w:eastAsia="ja-JP"/>
              </w:rPr>
              <w:t>ontinu</w:t>
            </w:r>
            <w:r w:rsidR="00F9395B" w:rsidRPr="00DE3CB9">
              <w:rPr>
                <w:rFonts w:ascii="Tahoma" w:eastAsia="Times New Roman" w:hAnsi="Tahoma" w:cs="Tahoma"/>
                <w:bCs w:val="0"/>
                <w:sz w:val="20"/>
                <w:szCs w:val="20"/>
                <w:lang w:eastAsia="ja-JP"/>
              </w:rPr>
              <w:t xml:space="preserve">al improvement of the system through </w:t>
            </w:r>
            <w:r w:rsidR="009C43E2" w:rsidRPr="00DE3CB9">
              <w:rPr>
                <w:rFonts w:ascii="Tahoma" w:eastAsia="Times New Roman" w:hAnsi="Tahoma" w:cs="Tahoma"/>
                <w:bCs w:val="0"/>
                <w:sz w:val="20"/>
                <w:szCs w:val="20"/>
                <w:lang w:eastAsia="ja-JP"/>
              </w:rPr>
              <w:t>monitoring and assessment of results after an event has happened</w:t>
            </w:r>
            <w:r w:rsidRPr="00DE3CB9">
              <w:rPr>
                <w:rFonts w:ascii="Tahoma" w:eastAsia="Times New Roman" w:hAnsi="Tahoma" w:cs="Tahoma"/>
                <w:bCs w:val="0"/>
                <w:sz w:val="20"/>
                <w:szCs w:val="20"/>
                <w:lang w:eastAsia="ja-JP"/>
              </w:rPr>
              <w:t>.  An</w:t>
            </w:r>
            <w:r w:rsidR="009C43E2" w:rsidRPr="00DE3CB9">
              <w:rPr>
                <w:rFonts w:ascii="Tahoma" w:eastAsia="Times New Roman" w:hAnsi="Tahoma" w:cs="Tahoma"/>
                <w:bCs w:val="0"/>
                <w:sz w:val="20"/>
                <w:szCs w:val="20"/>
                <w:lang w:eastAsia="ja-JP"/>
              </w:rPr>
              <w:t xml:space="preserve"> </w:t>
            </w:r>
            <w:r w:rsidRPr="00DE3CB9">
              <w:rPr>
                <w:rFonts w:ascii="Tahoma" w:eastAsia="Times New Roman" w:hAnsi="Tahoma" w:cs="Tahoma"/>
                <w:bCs w:val="0"/>
                <w:sz w:val="20"/>
                <w:szCs w:val="20"/>
                <w:lang w:eastAsia="ja-JP"/>
              </w:rPr>
              <w:t xml:space="preserve">effective feedback mechanism will also be put in place to facilitate the </w:t>
            </w:r>
            <w:r w:rsidR="009C43E2" w:rsidRPr="00DE3CB9">
              <w:rPr>
                <w:rFonts w:ascii="Tahoma" w:eastAsia="Times New Roman" w:hAnsi="Tahoma" w:cs="Tahoma"/>
                <w:bCs w:val="0"/>
                <w:sz w:val="20"/>
                <w:szCs w:val="20"/>
                <w:lang w:eastAsia="ja-JP"/>
              </w:rPr>
              <w:t xml:space="preserve">necessary improvement / adjustment to the system to become more </w:t>
            </w:r>
            <w:r w:rsidRPr="00DE3CB9">
              <w:rPr>
                <w:rFonts w:ascii="Tahoma" w:eastAsia="Times New Roman" w:hAnsi="Tahoma" w:cs="Tahoma"/>
                <w:bCs w:val="0"/>
                <w:sz w:val="20"/>
                <w:szCs w:val="20"/>
                <w:lang w:eastAsia="ja-JP"/>
              </w:rPr>
              <w:t xml:space="preserve">effective and </w:t>
            </w:r>
            <w:r w:rsidR="009C43E2" w:rsidRPr="00DE3CB9">
              <w:rPr>
                <w:rFonts w:ascii="Tahoma" w:eastAsia="Times New Roman" w:hAnsi="Tahoma" w:cs="Tahoma"/>
                <w:bCs w:val="0"/>
                <w:sz w:val="20"/>
                <w:szCs w:val="20"/>
                <w:lang w:eastAsia="ja-JP"/>
              </w:rPr>
              <w:t>responsive</w:t>
            </w:r>
            <w:r w:rsidRPr="00DE3CB9">
              <w:rPr>
                <w:rFonts w:ascii="Tahoma" w:eastAsia="Times New Roman" w:hAnsi="Tahoma" w:cs="Tahoma"/>
                <w:bCs w:val="0"/>
                <w:sz w:val="20"/>
                <w:szCs w:val="20"/>
                <w:lang w:eastAsia="ja-JP"/>
              </w:rPr>
              <w:t xml:space="preserve"> to the needs of the target beneficiaries</w:t>
            </w:r>
            <w:r w:rsidR="009C43E2" w:rsidRPr="00DE3CB9">
              <w:rPr>
                <w:rFonts w:ascii="Tahoma" w:eastAsia="Times New Roman" w:hAnsi="Tahoma" w:cs="Tahoma"/>
                <w:bCs w:val="0"/>
                <w:sz w:val="20"/>
                <w:szCs w:val="20"/>
                <w:lang w:eastAsia="ja-JP"/>
              </w:rPr>
              <w:t xml:space="preserve">.  </w:t>
            </w:r>
          </w:p>
        </w:tc>
      </w:tr>
      <w:tr w:rsidR="00F24194" w14:paraId="407ABE27"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D2AE70" w14:textId="77777777" w:rsidR="00F24194" w:rsidRDefault="00F24194">
            <w:pPr>
              <w:tabs>
                <w:tab w:val="left" w:pos="2540"/>
              </w:tabs>
              <w:rPr>
                <w:rFonts w:ascii="Cambria" w:eastAsia="Times New Roman" w:hAnsi="Cambria" w:cs="Arial"/>
                <w:b/>
                <w:bCs w:val="0"/>
                <w:sz w:val="20"/>
                <w:szCs w:val="20"/>
                <w:lang w:eastAsia="ja-JP"/>
              </w:rPr>
            </w:pPr>
            <w:r>
              <w:rPr>
                <w:rFonts w:ascii="Cambria" w:eastAsia="Times New Roman" w:hAnsi="Cambria" w:cs="Arial"/>
                <w:b/>
                <w:bCs w:val="0"/>
                <w:sz w:val="20"/>
                <w:szCs w:val="20"/>
                <w:lang w:eastAsia="ja-JP"/>
              </w:rPr>
              <w:t>Selected Risk Factor 3</w:t>
            </w:r>
            <w:r>
              <w:rPr>
                <w:rFonts w:ascii="Cambria" w:eastAsia="Times New Roman" w:hAnsi="Cambria" w:cs="Arial"/>
                <w:b/>
                <w:bCs w:val="0"/>
                <w:sz w:val="20"/>
                <w:szCs w:val="20"/>
                <w:lang w:eastAsia="ja-JP"/>
              </w:rPr>
              <w:tab/>
            </w:r>
          </w:p>
        </w:tc>
      </w:tr>
      <w:tr w:rsidR="00F24194" w14:paraId="10F54408"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DDB23D"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0BA05B"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13A6DD"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Impact</w:t>
            </w:r>
          </w:p>
        </w:tc>
      </w:tr>
      <w:tr w:rsidR="00F24194" w:rsidRPr="00DE3CB9" w14:paraId="4231E07E" w14:textId="77777777" w:rsidTr="001E7FAD">
        <w:trPr>
          <w:trHeight w:val="512"/>
        </w:trPr>
        <w:sdt>
          <w:sdtPr>
            <w:rPr>
              <w:rFonts w:ascii="Tahoma" w:eastAsia="Times New Roman" w:hAnsi="Tahoma" w:cs="Tahoma"/>
              <w:sz w:val="20"/>
              <w:lang w:eastAsia="ja-JP"/>
            </w:rPr>
            <w:alias w:val="Risk category"/>
            <w:tag w:val="Risk category"/>
            <w:id w:val="-234543178"/>
            <w:placeholder>
              <w:docPart w:val="670C269953A74CF7BBDAB38EC3B14D99"/>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C3F8EEB" w14:textId="54FFE550" w:rsidR="00F24194" w:rsidRPr="00DE3CB9" w:rsidRDefault="009C43E2">
                <w:pPr>
                  <w:jc w:val="center"/>
                  <w:rPr>
                    <w:rFonts w:ascii="Tahoma" w:eastAsia="Times New Roman" w:hAnsi="Tahoma" w:cs="Tahoma"/>
                    <w:bCs w:val="0"/>
                    <w:sz w:val="20"/>
                    <w:lang w:eastAsia="ja-JP"/>
                  </w:rPr>
                </w:pPr>
                <w:r w:rsidRPr="00DE3CB9">
                  <w:rPr>
                    <w:rFonts w:ascii="Tahoma" w:eastAsia="Times New Roman" w:hAnsi="Tahoma" w:cs="Tahoma"/>
                    <w:sz w:val="20"/>
                    <w:lang w:eastAsia="ja-JP"/>
                  </w:rPr>
                  <w:t>Technical and operational</w:t>
                </w:r>
              </w:p>
            </w:tc>
          </w:sdtContent>
        </w:sdt>
        <w:sdt>
          <w:sdtPr>
            <w:rPr>
              <w:rFonts w:ascii="Tahoma" w:eastAsia="Times New Roman" w:hAnsi="Tahoma" w:cs="Tahoma"/>
              <w:sz w:val="20"/>
              <w:lang w:eastAsia="ja-JP"/>
            </w:rPr>
            <w:id w:val="-241170821"/>
            <w:placeholder>
              <w:docPart w:val="E4965C5309FF4AC58ABED4C324206F1C"/>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1D5AA710" w14:textId="18823607" w:rsidR="00F24194" w:rsidRPr="00DE3CB9" w:rsidRDefault="00021223">
                <w:pPr>
                  <w:jc w:val="center"/>
                  <w:rPr>
                    <w:rFonts w:ascii="Tahoma" w:eastAsia="Times New Roman" w:hAnsi="Tahoma" w:cs="Tahoma"/>
                    <w:sz w:val="20"/>
                    <w:lang w:eastAsia="ja-JP"/>
                  </w:rPr>
                </w:pPr>
                <w:r>
                  <w:rPr>
                    <w:rFonts w:ascii="Tahoma" w:eastAsia="Times New Roman" w:hAnsi="Tahoma" w:cs="Tahoma"/>
                    <w:sz w:val="20"/>
                    <w:lang w:eastAsia="ja-JP"/>
                  </w:rPr>
                  <w:t>Low</w:t>
                </w:r>
              </w:p>
            </w:tc>
          </w:sdtContent>
        </w:sdt>
        <w:sdt>
          <w:sdtPr>
            <w:rPr>
              <w:rFonts w:ascii="Tahoma" w:eastAsia="Times New Roman" w:hAnsi="Tahoma" w:cs="Tahoma"/>
              <w:sz w:val="20"/>
              <w:szCs w:val="20"/>
              <w:lang w:eastAsia="ja-JP"/>
            </w:rPr>
            <w:id w:val="-362220953"/>
            <w:placeholder>
              <w:docPart w:val="51A0C486809F4EDAAFFE62227AEE6EB1"/>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9C7D48C" w14:textId="2641997D" w:rsidR="00F24194" w:rsidRPr="00DE3CB9" w:rsidRDefault="00021223">
                <w:pPr>
                  <w:jc w:val="center"/>
                  <w:rPr>
                    <w:rFonts w:ascii="Tahoma" w:eastAsia="Times New Roman" w:hAnsi="Tahoma" w:cs="Tahoma"/>
                    <w:sz w:val="20"/>
                    <w:lang w:eastAsia="ja-JP"/>
                  </w:rPr>
                </w:pPr>
                <w:r>
                  <w:rPr>
                    <w:rFonts w:ascii="Tahoma" w:eastAsia="Times New Roman" w:hAnsi="Tahoma" w:cs="Tahoma"/>
                    <w:sz w:val="20"/>
                    <w:szCs w:val="20"/>
                    <w:lang w:eastAsia="ja-JP"/>
                  </w:rPr>
                  <w:t>Medium</w:t>
                </w:r>
              </w:p>
            </w:tc>
          </w:sdtContent>
        </w:sdt>
      </w:tr>
      <w:tr w:rsidR="00F24194" w14:paraId="151BDD0C"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7E0F41" w14:textId="77777777" w:rsidR="00F24194" w:rsidRDefault="00F24194">
            <w:pPr>
              <w:jc w:val="center"/>
              <w:rPr>
                <w:rFonts w:ascii="Cambria" w:eastAsia="Times New Roman" w:hAnsi="Cambria" w:cs="Arial"/>
                <w:sz w:val="20"/>
                <w:szCs w:val="20"/>
                <w:lang w:eastAsia="ja-JP"/>
              </w:rPr>
            </w:pPr>
            <w:r>
              <w:rPr>
                <w:rFonts w:ascii="Cambria" w:eastAsia="Times New Roman" w:hAnsi="Cambria" w:cs="Arial"/>
                <w:bCs w:val="0"/>
                <w:sz w:val="20"/>
                <w:szCs w:val="20"/>
                <w:lang w:eastAsia="ja-JP"/>
              </w:rPr>
              <w:lastRenderedPageBreak/>
              <w:t>Description</w:t>
            </w:r>
          </w:p>
        </w:tc>
      </w:tr>
      <w:tr w:rsidR="00F24194" w14:paraId="66DA34FD" w14:textId="77777777" w:rsidTr="00DE3CB9">
        <w:trPr>
          <w:trHeight w:val="1070"/>
        </w:trPr>
        <w:tc>
          <w:tcPr>
            <w:tcW w:w="10620" w:type="dxa"/>
            <w:gridSpan w:val="3"/>
            <w:tcBorders>
              <w:top w:val="single" w:sz="4" w:space="0" w:color="auto"/>
              <w:left w:val="single" w:sz="4" w:space="0" w:color="auto"/>
              <w:bottom w:val="single" w:sz="4" w:space="0" w:color="auto"/>
              <w:right w:val="single" w:sz="4" w:space="0" w:color="auto"/>
            </w:tcBorders>
          </w:tcPr>
          <w:p w14:paraId="68FBE42F" w14:textId="7AA6530B" w:rsidR="00F24194" w:rsidRDefault="001E7FAD" w:rsidP="0088503C">
            <w:pPr>
              <w:jc w:val="both"/>
              <w:rPr>
                <w:rFonts w:ascii="Cambria" w:eastAsia="Times New Roman" w:hAnsi="Cambria" w:cs="Arial"/>
                <w:bCs w:val="0"/>
                <w:i/>
                <w:sz w:val="20"/>
                <w:szCs w:val="20"/>
                <w:lang w:eastAsia="ja-JP"/>
              </w:rPr>
            </w:pPr>
            <w:r w:rsidRPr="001E7FAD">
              <w:rPr>
                <w:rFonts w:ascii="Cambria" w:eastAsia="Times New Roman" w:hAnsi="Cambria" w:cs="Arial"/>
                <w:bCs w:val="0"/>
                <w:noProof/>
                <w:sz w:val="20"/>
                <w:szCs w:val="20"/>
                <w:lang w:val="en-PH" w:eastAsia="en-PH"/>
              </w:rPr>
              <mc:AlternateContent>
                <mc:Choice Requires="wps">
                  <w:drawing>
                    <wp:anchor distT="0" distB="0" distL="114300" distR="114300" simplePos="0" relativeHeight="251659264" behindDoc="0" locked="0" layoutInCell="1" allowOverlap="1" wp14:anchorId="3AF37A93" wp14:editId="2F4ECAA4">
                      <wp:simplePos x="0" y="0"/>
                      <wp:positionH relativeFrom="column">
                        <wp:posOffset>4965700</wp:posOffset>
                      </wp:positionH>
                      <wp:positionV relativeFrom="paragraph">
                        <wp:posOffset>-539115</wp:posOffset>
                      </wp:positionV>
                      <wp:extent cx="1247775" cy="26670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66700"/>
                              </a:xfrm>
                              <a:prstGeom prst="rect">
                                <a:avLst/>
                              </a:prstGeom>
                              <a:solidFill>
                                <a:srgbClr val="FFFFFF"/>
                              </a:solidFill>
                              <a:ln w="9525">
                                <a:noFill/>
                                <a:miter lim="800000"/>
                                <a:headEnd/>
                                <a:tailEnd/>
                              </a:ln>
                            </wps:spPr>
                            <wps:txbx>
                              <w:txbxContent>
                                <w:p w14:paraId="46FAEE05" w14:textId="05CF58A9" w:rsidR="001E7FAD" w:rsidRPr="001E7FAD" w:rsidRDefault="001E7FAD" w:rsidP="001E7FAD">
                                  <w:pPr>
                                    <w:jc w:val="center"/>
                                    <w:rPr>
                                      <w:rFonts w:ascii="Cambria" w:hAnsi="Cambria"/>
                                      <w:sz w:val="20"/>
                                    </w:rPr>
                                  </w:pPr>
                                  <w:r w:rsidRPr="001E7FAD">
                                    <w:rPr>
                                      <w:rFonts w:ascii="Cambria" w:hAnsi="Cambria"/>
                                      <w:sz w:val="20"/>
                                    </w:rPr>
                                    <w:t>High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F37A93" id="_x0000_t202" coordsize="21600,21600" o:spt="202" path="m,l,21600r21600,l21600,xe">
                      <v:stroke joinstyle="miter"/>
                      <v:path gradientshapeok="t" o:connecttype="rect"/>
                    </v:shapetype>
                    <v:shape id="Text Box 2" o:spid="_x0000_s1026" type="#_x0000_t202" style="position:absolute;left:0;text-align:left;margin-left:391pt;margin-top:-42.45pt;width:9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" stroked="f">
                      <v:textbox>
                        <w:txbxContent>
                          <w:p w14:paraId="46FAEE05" w14:textId="05CF58A9" w:rsidR="001E7FAD" w:rsidRPr="001E7FAD" w:rsidRDefault="001E7FAD" w:rsidP="001E7FAD">
                            <w:pPr>
                              <w:jc w:val="center"/>
                              <w:rPr>
                                <w:rFonts w:ascii="Cambria" w:hAnsi="Cambria"/>
                                <w:sz w:val="20"/>
                              </w:rPr>
                            </w:pPr>
                            <w:r w:rsidRPr="001E7FAD">
                              <w:rPr>
                                <w:rFonts w:ascii="Cambria" w:hAnsi="Cambria"/>
                                <w:sz w:val="20"/>
                              </w:rPr>
                              <w:t>High</w:t>
                            </w:r>
                          </w:p>
                        </w:txbxContent>
                      </v:textbox>
                    </v:shape>
                  </w:pict>
                </mc:Fallback>
              </mc:AlternateContent>
            </w:r>
            <w:r w:rsidR="00F24194">
              <w:rPr>
                <w:rFonts w:ascii="Cambria" w:eastAsia="Times New Roman" w:hAnsi="Cambria" w:cs="Arial"/>
                <w:bCs w:val="0"/>
                <w:i/>
                <w:sz w:val="20"/>
                <w:szCs w:val="20"/>
                <w:lang w:eastAsia="ja-JP"/>
              </w:rPr>
              <w:t xml:space="preserve">Please describe the risk to the best of your knowledge at this point in time. </w:t>
            </w:r>
          </w:p>
          <w:p w14:paraId="226DBC36" w14:textId="60B1FE5B" w:rsidR="00F24194" w:rsidRPr="00DE3CB9" w:rsidRDefault="005F3D1F" w:rsidP="00DE3CB9">
            <w:pPr>
              <w:spacing w:before="120" w:after="120"/>
              <w:jc w:val="both"/>
              <w:rPr>
                <w:rFonts w:ascii="Tahoma" w:eastAsia="Times New Roman" w:hAnsi="Tahoma" w:cs="Tahoma"/>
                <w:bCs w:val="0"/>
                <w:sz w:val="20"/>
                <w:szCs w:val="20"/>
                <w:lang w:eastAsia="ja-JP"/>
              </w:rPr>
            </w:pPr>
            <w:r w:rsidRPr="00DE3CB9">
              <w:rPr>
                <w:rFonts w:ascii="Tahoma" w:eastAsia="Times New Roman" w:hAnsi="Tahoma" w:cs="Tahoma"/>
                <w:bCs w:val="0"/>
                <w:sz w:val="20"/>
                <w:szCs w:val="20"/>
                <w:lang w:eastAsia="ja-JP"/>
              </w:rPr>
              <w:t xml:space="preserve">The </w:t>
            </w:r>
            <w:r w:rsidR="001E05D0" w:rsidRPr="00DE3CB9">
              <w:rPr>
                <w:rFonts w:ascii="Tahoma" w:eastAsia="Times New Roman" w:hAnsi="Tahoma" w:cs="Tahoma"/>
                <w:bCs w:val="0"/>
                <w:sz w:val="20"/>
                <w:szCs w:val="20"/>
                <w:lang w:eastAsia="ja-JP"/>
              </w:rPr>
              <w:t xml:space="preserve">radio frequency </w:t>
            </w:r>
            <w:r w:rsidRPr="00DE3CB9">
              <w:rPr>
                <w:rFonts w:ascii="Tahoma" w:eastAsia="Times New Roman" w:hAnsi="Tahoma" w:cs="Tahoma"/>
                <w:bCs w:val="0"/>
                <w:sz w:val="20"/>
                <w:szCs w:val="20"/>
                <w:lang w:eastAsia="ja-JP"/>
              </w:rPr>
              <w:t>signal from the cell site is weak</w:t>
            </w:r>
            <w:r w:rsidR="001E05D0" w:rsidRPr="00DE3CB9">
              <w:rPr>
                <w:rFonts w:ascii="Tahoma" w:eastAsia="Times New Roman" w:hAnsi="Tahoma" w:cs="Tahoma"/>
                <w:bCs w:val="0"/>
                <w:sz w:val="20"/>
                <w:szCs w:val="20"/>
                <w:lang w:eastAsia="ja-JP"/>
              </w:rPr>
              <w:t xml:space="preserve"> which </w:t>
            </w:r>
            <w:r w:rsidR="00DE3CB9">
              <w:rPr>
                <w:rFonts w:ascii="Tahoma" w:eastAsia="Times New Roman" w:hAnsi="Tahoma" w:cs="Tahoma"/>
                <w:bCs w:val="0"/>
                <w:sz w:val="20"/>
                <w:szCs w:val="20"/>
                <w:lang w:eastAsia="ja-JP"/>
              </w:rPr>
              <w:t xml:space="preserve">would cause </w:t>
            </w:r>
            <w:r w:rsidR="001E05D0" w:rsidRPr="00DE3CB9">
              <w:rPr>
                <w:rFonts w:ascii="Tahoma" w:eastAsia="Times New Roman" w:hAnsi="Tahoma" w:cs="Tahoma"/>
                <w:bCs w:val="0"/>
                <w:sz w:val="20"/>
                <w:szCs w:val="20"/>
                <w:lang w:eastAsia="ja-JP"/>
              </w:rPr>
              <w:t>delay</w:t>
            </w:r>
            <w:r w:rsidR="00DE3CB9">
              <w:rPr>
                <w:rFonts w:ascii="Tahoma" w:eastAsia="Times New Roman" w:hAnsi="Tahoma" w:cs="Tahoma"/>
                <w:bCs w:val="0"/>
                <w:sz w:val="20"/>
                <w:szCs w:val="20"/>
                <w:lang w:eastAsia="ja-JP"/>
              </w:rPr>
              <w:t xml:space="preserve"> in</w:t>
            </w:r>
            <w:r w:rsidR="001E05D0" w:rsidRPr="00DE3CB9">
              <w:rPr>
                <w:rFonts w:ascii="Tahoma" w:eastAsia="Times New Roman" w:hAnsi="Tahoma" w:cs="Tahoma"/>
                <w:bCs w:val="0"/>
                <w:sz w:val="20"/>
                <w:szCs w:val="20"/>
                <w:lang w:eastAsia="ja-JP"/>
              </w:rPr>
              <w:t xml:space="preserve"> the transmission of the early warning message to the community.  </w:t>
            </w:r>
          </w:p>
        </w:tc>
      </w:tr>
      <w:tr w:rsidR="00F24194" w14:paraId="2CC47118"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2FB1CA" w14:textId="77777777" w:rsidR="00F24194" w:rsidRDefault="00F24194">
            <w:pPr>
              <w:jc w:val="center"/>
              <w:rPr>
                <w:rFonts w:ascii="Cambria" w:eastAsia="Times New Roman" w:hAnsi="Cambria" w:cs="Arial"/>
                <w:bCs w:val="0"/>
                <w:sz w:val="20"/>
                <w:szCs w:val="20"/>
                <w:lang w:eastAsia="ja-JP"/>
              </w:rPr>
            </w:pPr>
            <w:r>
              <w:rPr>
                <w:rFonts w:ascii="Cambria" w:eastAsia="Times New Roman" w:hAnsi="Cambria" w:cs="Arial"/>
                <w:bCs w:val="0"/>
                <w:sz w:val="20"/>
                <w:szCs w:val="20"/>
                <w:lang w:eastAsia="ja-JP"/>
              </w:rPr>
              <w:t>Mitigation Measure(s)</w:t>
            </w:r>
          </w:p>
        </w:tc>
      </w:tr>
      <w:tr w:rsidR="00F24194" w14:paraId="5B5B7D85" w14:textId="77777777" w:rsidTr="0088503C">
        <w:trPr>
          <w:trHeight w:val="1340"/>
        </w:trPr>
        <w:tc>
          <w:tcPr>
            <w:tcW w:w="10620" w:type="dxa"/>
            <w:gridSpan w:val="3"/>
            <w:tcBorders>
              <w:top w:val="single" w:sz="4" w:space="0" w:color="auto"/>
              <w:left w:val="single" w:sz="4" w:space="0" w:color="auto"/>
              <w:bottom w:val="single" w:sz="4" w:space="0" w:color="auto"/>
              <w:right w:val="single" w:sz="4" w:space="0" w:color="auto"/>
            </w:tcBorders>
            <w:hideMark/>
          </w:tcPr>
          <w:p w14:paraId="70C9BAD4" w14:textId="77777777" w:rsidR="00F24194" w:rsidRDefault="00F24194">
            <w:pPr>
              <w:spacing w:before="40" w:after="40"/>
              <w:rPr>
                <w:rFonts w:ascii="Cambria" w:eastAsia="Times New Roman" w:hAnsi="Cambria" w:cs="Arial"/>
                <w:bCs w:val="0"/>
                <w:sz w:val="20"/>
                <w:szCs w:val="20"/>
                <w:lang w:eastAsia="ja-JP"/>
              </w:rPr>
            </w:pPr>
            <w:r>
              <w:rPr>
                <w:rFonts w:ascii="Cambria" w:eastAsia="Times New Roman" w:hAnsi="Cambria" w:cs="Arial"/>
                <w:bCs w:val="0"/>
                <w:i/>
                <w:sz w:val="20"/>
                <w:szCs w:val="20"/>
                <w:lang w:eastAsia="ja-JP"/>
              </w:rPr>
              <w:t>Please describe how the identified risk will be mitigated or managed. Do the mitigation measures lower the probability of risk occurring? If so, to what level?</w:t>
            </w:r>
          </w:p>
          <w:p w14:paraId="07336FFA" w14:textId="6C746C53" w:rsidR="001E05D0" w:rsidRPr="00DE3CB9" w:rsidRDefault="00AB4152" w:rsidP="00DE3CB9">
            <w:pPr>
              <w:spacing w:before="120" w:after="120"/>
              <w:jc w:val="both"/>
              <w:rPr>
                <w:rFonts w:ascii="Tahoma" w:eastAsia="Times New Roman" w:hAnsi="Tahoma" w:cs="Tahoma"/>
                <w:bCs w:val="0"/>
                <w:sz w:val="20"/>
                <w:szCs w:val="20"/>
                <w:lang w:eastAsia="ja-JP"/>
              </w:rPr>
            </w:pPr>
            <w:r w:rsidRPr="00DE3CB9">
              <w:rPr>
                <w:rFonts w:ascii="Tahoma" w:eastAsia="Times New Roman" w:hAnsi="Tahoma" w:cs="Tahoma"/>
                <w:bCs w:val="0"/>
                <w:sz w:val="20"/>
                <w:szCs w:val="20"/>
                <w:lang w:eastAsia="ja-JP"/>
              </w:rPr>
              <w:t xml:space="preserve">During the testing of the EWS, the transmission time will be recorded to determine the speed of the delivery of service.  </w:t>
            </w:r>
            <w:r w:rsidR="001E05D0" w:rsidRPr="00DE3CB9">
              <w:rPr>
                <w:rFonts w:ascii="Tahoma" w:eastAsia="Times New Roman" w:hAnsi="Tahoma" w:cs="Tahoma"/>
                <w:bCs w:val="0"/>
                <w:sz w:val="20"/>
                <w:szCs w:val="20"/>
                <w:lang w:eastAsia="ja-JP"/>
              </w:rPr>
              <w:t xml:space="preserve">Part of the SOPs will include the acknowledgment of message received by the recipient to ensure that the early warning is disseminated </w:t>
            </w:r>
            <w:r w:rsidRPr="00DE3CB9">
              <w:rPr>
                <w:rFonts w:ascii="Tahoma" w:eastAsia="Times New Roman" w:hAnsi="Tahoma" w:cs="Tahoma"/>
                <w:bCs w:val="0"/>
                <w:sz w:val="20"/>
                <w:szCs w:val="20"/>
                <w:lang w:eastAsia="ja-JP"/>
              </w:rPr>
              <w:t>to all stakeholders.</w:t>
            </w:r>
          </w:p>
        </w:tc>
      </w:tr>
      <w:tr w:rsidR="00F24194" w14:paraId="17B543AB" w14:textId="77777777" w:rsidTr="00F24194">
        <w:trPr>
          <w:trHeight w:val="340"/>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332F96" w14:textId="77777777" w:rsidR="00F24194" w:rsidRDefault="00F24194">
            <w:pPr>
              <w:rPr>
                <w:rStyle w:val="IntenseReference"/>
                <w:bCs/>
                <w:color w:val="auto"/>
              </w:rPr>
            </w:pPr>
            <w:r>
              <w:rPr>
                <w:rFonts w:ascii="Cambria" w:eastAsia="Times New Roman" w:hAnsi="Cambria" w:cs="Arial"/>
                <w:b/>
                <w:sz w:val="20"/>
                <w:szCs w:val="20"/>
                <w:lang w:eastAsia="ja-JP"/>
              </w:rPr>
              <w:t>2. AML/CFT* and Prohibited Practices compliance due diligence assessment (max. 1 page)</w:t>
            </w:r>
          </w:p>
        </w:tc>
      </w:tr>
      <w:tr w:rsidR="00F24194" w14:paraId="32106A74" w14:textId="77777777" w:rsidTr="00F24194">
        <w:trPr>
          <w:trHeight w:val="340"/>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F1B71D" w14:textId="77777777" w:rsidR="00F24194" w:rsidRDefault="00F24194">
            <w:pPr>
              <w:jc w:val="center"/>
              <w:rPr>
                <w:rStyle w:val="IntenseReference"/>
                <w:rFonts w:ascii="Cambria" w:hAnsi="Cambria" w:cs="Arial"/>
                <w:color w:val="auto"/>
                <w:sz w:val="20"/>
                <w:szCs w:val="20"/>
              </w:rPr>
            </w:pPr>
            <w:r>
              <w:rPr>
                <w:rFonts w:ascii="Cambria" w:eastAsia="Times New Roman" w:hAnsi="Cambria"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0A8BA9" w14:textId="77777777" w:rsidR="00F24194" w:rsidRDefault="00F24194">
            <w:pPr>
              <w:jc w:val="center"/>
              <w:rPr>
                <w:rStyle w:val="IntenseReference"/>
                <w:rFonts w:ascii="Cambria" w:hAnsi="Cambria" w:cs="Arial"/>
                <w:color w:val="auto"/>
                <w:sz w:val="20"/>
                <w:szCs w:val="20"/>
              </w:rPr>
            </w:pPr>
            <w:r>
              <w:rPr>
                <w:rFonts w:ascii="Cambria" w:eastAsia="Times New Roman" w:hAnsi="Cambria"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9C87BF" w14:textId="77777777" w:rsidR="00F24194" w:rsidRDefault="00F24194">
            <w:pPr>
              <w:jc w:val="center"/>
              <w:rPr>
                <w:rStyle w:val="IntenseReference"/>
                <w:rFonts w:ascii="Cambria" w:hAnsi="Cambria" w:cs="Arial"/>
                <w:color w:val="auto"/>
                <w:sz w:val="20"/>
                <w:szCs w:val="20"/>
              </w:rPr>
            </w:pPr>
            <w:r>
              <w:rPr>
                <w:rFonts w:ascii="Cambria" w:eastAsia="Times New Roman" w:hAnsi="Cambria" w:cs="Arial"/>
                <w:bCs w:val="0"/>
                <w:sz w:val="20"/>
                <w:szCs w:val="20"/>
                <w:lang w:eastAsia="ja-JP"/>
              </w:rPr>
              <w:t>Impact***</w:t>
            </w:r>
          </w:p>
        </w:tc>
      </w:tr>
      <w:tr w:rsidR="00DE3CB9" w:rsidRPr="00DE3CB9" w14:paraId="5122311D" w14:textId="77777777" w:rsidTr="00F24194">
        <w:trPr>
          <w:trHeight w:val="340"/>
        </w:trPr>
        <w:sdt>
          <w:sdtPr>
            <w:rPr>
              <w:rFonts w:ascii="Tahoma" w:eastAsia="Times New Roman" w:hAnsi="Tahoma" w:cs="Tahoma"/>
              <w:sz w:val="20"/>
              <w:lang w:eastAsia="ja-JP"/>
            </w:rPr>
            <w:alias w:val="Risk category"/>
            <w:tag w:val="Risk category"/>
            <w:id w:val="329798619"/>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D0A33B" w14:textId="552B0EEE" w:rsidR="00F24194" w:rsidRPr="00DE3CB9" w:rsidRDefault="000726F1">
                <w:pPr>
                  <w:jc w:val="center"/>
                  <w:rPr>
                    <w:rFonts w:ascii="Tahoma" w:eastAsia="Times New Roman" w:hAnsi="Tahoma" w:cs="Tahoma"/>
                    <w:bCs w:val="0"/>
                    <w:lang w:eastAsia="ja-JP"/>
                  </w:rPr>
                </w:pPr>
                <w:r w:rsidRPr="00DE3CB9">
                  <w:rPr>
                    <w:rFonts w:ascii="Tahoma" w:eastAsia="Times New Roman" w:hAnsi="Tahoma" w:cs="Tahoma"/>
                    <w:sz w:val="20"/>
                    <w:lang w:eastAsia="ja-JP"/>
                  </w:rPr>
                  <w:t>Prohibited Practices</w:t>
                </w:r>
              </w:p>
            </w:tc>
          </w:sdtContent>
        </w:sdt>
        <w:sdt>
          <w:sdtPr>
            <w:rPr>
              <w:rFonts w:ascii="Tahoma" w:eastAsia="Times New Roman" w:hAnsi="Tahoma" w:cs="Tahoma"/>
              <w:sz w:val="20"/>
              <w:lang w:eastAsia="ja-JP"/>
            </w:rPr>
            <w:id w:val="1397160503"/>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12E606" w14:textId="70297FBD" w:rsidR="00F24194" w:rsidRPr="00DE3CB9" w:rsidRDefault="001A74D5">
                <w:pPr>
                  <w:jc w:val="center"/>
                  <w:rPr>
                    <w:rFonts w:ascii="Tahoma" w:eastAsia="Times New Roman" w:hAnsi="Tahoma" w:cs="Tahoma"/>
                    <w:sz w:val="20"/>
                    <w:lang w:eastAsia="ja-JP"/>
                  </w:rPr>
                </w:pPr>
                <w:r w:rsidRPr="00DE3CB9">
                  <w:rPr>
                    <w:rFonts w:ascii="Tahoma" w:eastAsia="Times New Roman" w:hAnsi="Tahoma" w:cs="Tahoma"/>
                    <w:sz w:val="20"/>
                    <w:lang w:eastAsia="ja-JP"/>
                  </w:rPr>
                  <w:t>Low</w:t>
                </w:r>
              </w:p>
            </w:tc>
          </w:sdtContent>
        </w:sd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0F5AFA" w14:textId="0F0DB889" w:rsidR="00F24194" w:rsidRPr="00DE3CB9" w:rsidRDefault="002B199E">
            <w:pPr>
              <w:jc w:val="center"/>
              <w:rPr>
                <w:rStyle w:val="IntenseReference"/>
                <w:rFonts w:ascii="Tahoma" w:hAnsi="Tahoma" w:cs="Tahoma"/>
                <w:color w:val="auto"/>
                <w:szCs w:val="20"/>
              </w:rPr>
            </w:pPr>
            <w:sdt>
              <w:sdtPr>
                <w:rPr>
                  <w:rFonts w:ascii="Tahoma" w:eastAsia="Times New Roman" w:hAnsi="Tahoma" w:cs="Tahoma"/>
                  <w:b/>
                  <w:bCs w:val="0"/>
                  <w:smallCaps/>
                  <w:color w:val="4AA9A7" w:themeColor="accent1"/>
                  <w:spacing w:val="5"/>
                  <w:sz w:val="20"/>
                  <w:lang w:eastAsia="ja-JP"/>
                </w:rPr>
                <w:id w:val="-2124216781"/>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1A74D5" w:rsidRPr="00DE3CB9">
                  <w:rPr>
                    <w:rFonts w:ascii="Tahoma" w:eastAsia="Times New Roman" w:hAnsi="Tahoma" w:cs="Tahoma"/>
                    <w:b/>
                    <w:bCs w:val="0"/>
                    <w:smallCaps/>
                    <w:spacing w:val="5"/>
                    <w:sz w:val="20"/>
                    <w:lang w:eastAsia="ja-JP"/>
                  </w:rPr>
                  <w:t>High (&gt;20% of project value)</w:t>
                </w:r>
              </w:sdtContent>
            </w:sdt>
          </w:p>
        </w:tc>
      </w:tr>
      <w:tr w:rsidR="00F24194" w14:paraId="04473D42" w14:textId="77777777" w:rsidTr="00F24194">
        <w:trPr>
          <w:trHeight w:val="1309"/>
        </w:trPr>
        <w:tc>
          <w:tcPr>
            <w:tcW w:w="10620"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1234764" w14:textId="77777777" w:rsidR="00F24194" w:rsidRDefault="00F24194">
            <w:pPr>
              <w:rPr>
                <w:rFonts w:eastAsia="Times New Roman"/>
                <w:sz w:val="16"/>
                <w:szCs w:val="16"/>
                <w:lang w:eastAsia="ja-JP"/>
              </w:rPr>
            </w:pPr>
            <w:r>
              <w:rPr>
                <w:rFonts w:ascii="Cambria" w:eastAsia="Times New Roman" w:hAnsi="Cambria" w:cs="Arial"/>
                <w:bCs w:val="0"/>
                <w:sz w:val="16"/>
                <w:szCs w:val="16"/>
                <w:lang w:eastAsia="ja-JP"/>
              </w:rPr>
              <w:t>*Anti-Money Laundering/Countering the Financing of Terrorism</w:t>
            </w:r>
          </w:p>
          <w:p w14:paraId="0176A79D"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lang w:eastAsia="ja-JP"/>
              </w:rPr>
              <w:t>**H: High (has significant probability), M: Medium (has moderate probability), L: Low (has negligible probability)</w:t>
            </w:r>
          </w:p>
          <w:p w14:paraId="4008F52C"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lang w:eastAsia="ja-JP"/>
              </w:rPr>
              <w:t>*** H: High (has significant impact), M: Medium (has moderate impact), L: Low (has negligible impact)</w:t>
            </w:r>
          </w:p>
          <w:p w14:paraId="32B2693C"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vertAlign w:val="superscript"/>
                <w:lang w:eastAsia="ja-JP"/>
              </w:rPr>
              <w:t xml:space="preserve">1 </w:t>
            </w:r>
            <w:r>
              <w:rPr>
                <w:rFonts w:ascii="Cambria" w:eastAsia="Times New Roman" w:hAnsi="Cambria" w:cs="Arial"/>
                <w:bCs w:val="0"/>
                <w:sz w:val="16"/>
                <w:szCs w:val="16"/>
                <w:lang w:eastAsia="ja-JP"/>
              </w:rPr>
              <w:t>Money Laundering/Terrorist Financing</w:t>
            </w:r>
          </w:p>
          <w:p w14:paraId="017BF659"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vertAlign w:val="superscript"/>
                <w:lang w:eastAsia="ja-JP"/>
              </w:rPr>
              <w:t xml:space="preserve">2 </w:t>
            </w:r>
            <w:r>
              <w:rPr>
                <w:rFonts w:ascii="Cambria" w:eastAsia="Times New Roman" w:hAnsi="Cambria" w:cs="Arial"/>
                <w:bCs w:val="0"/>
                <w:sz w:val="16"/>
                <w:szCs w:val="16"/>
                <w:lang w:eastAsia="ja-JP"/>
              </w:rPr>
              <w:t>Sanction prohibitions of the United Nations, or other relevant sanctioning authorities (including the World Bank Debarred List)</w:t>
            </w:r>
          </w:p>
          <w:p w14:paraId="0BA655C1" w14:textId="77777777" w:rsidR="00F24194" w:rsidRDefault="00F24194">
            <w:pPr>
              <w:rPr>
                <w:rFonts w:ascii="Cambria" w:eastAsia="Times New Roman" w:hAnsi="Cambria" w:cs="Arial"/>
                <w:bCs w:val="0"/>
                <w:sz w:val="16"/>
                <w:szCs w:val="16"/>
                <w:lang w:eastAsia="ja-JP"/>
              </w:rPr>
            </w:pPr>
            <w:r>
              <w:rPr>
                <w:rFonts w:ascii="Cambria" w:eastAsia="Times New Roman" w:hAnsi="Cambria" w:cs="Arial"/>
                <w:bCs w:val="0"/>
                <w:sz w:val="16"/>
                <w:szCs w:val="16"/>
                <w:vertAlign w:val="superscript"/>
                <w:lang w:eastAsia="ja-JP"/>
              </w:rPr>
              <w:t xml:space="preserve">3 </w:t>
            </w:r>
            <w:r>
              <w:rPr>
                <w:rFonts w:ascii="Cambria" w:eastAsia="Times New Roman" w:hAnsi="Cambria" w:cs="Arial"/>
                <w:bCs w:val="0"/>
                <w:sz w:val="16"/>
                <w:szCs w:val="16"/>
                <w:lang w:eastAsia="ja-JP"/>
              </w:rPr>
              <w:t>In the context of Money Laundering/Terrorist Financing and Prohibited Practices</w:t>
            </w:r>
          </w:p>
          <w:p w14:paraId="0734810B" w14:textId="77777777" w:rsidR="00F24194" w:rsidRDefault="00F24194">
            <w:pPr>
              <w:rPr>
                <w:rStyle w:val="IntenseReference"/>
                <w:bCs/>
                <w:color w:val="auto"/>
                <w:sz w:val="20"/>
                <w:szCs w:val="20"/>
              </w:rPr>
            </w:pPr>
            <w:r>
              <w:rPr>
                <w:rFonts w:ascii="Cambria" w:eastAsia="Times New Roman" w:hAnsi="Cambria" w:cs="Arial"/>
                <w:bCs w:val="0"/>
                <w:sz w:val="16"/>
                <w:szCs w:val="16"/>
                <w:vertAlign w:val="superscript"/>
                <w:lang w:eastAsia="ja-JP"/>
              </w:rPr>
              <w:t xml:space="preserve">4 </w:t>
            </w:r>
            <w:r>
              <w:rPr>
                <w:rFonts w:ascii="Cambria" w:eastAsia="Times New Roman" w:hAnsi="Cambria" w:cs="Arial"/>
                <w:bCs w:val="0"/>
                <w:sz w:val="16"/>
                <w:szCs w:val="16"/>
                <w:lang w:eastAsia="ja-JP"/>
              </w:rPr>
              <w:t xml:space="preserve">Abuse, Conflict of Interest, Corrupt, Retaliation against Whistleblowers or Witnesses, as well as Fraudulent, Coercive, Collusive, and Obstructive Practices </w:t>
            </w:r>
          </w:p>
        </w:tc>
      </w:tr>
      <w:tr w:rsidR="00F24194" w14:paraId="3F8BB11D" w14:textId="77777777" w:rsidTr="00F24194">
        <w:trPr>
          <w:trHeight w:val="1476"/>
        </w:trPr>
        <w:tc>
          <w:tcPr>
            <w:tcW w:w="1062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05B5ED" w14:textId="563C09A7" w:rsidR="00F24194" w:rsidRDefault="00F24194" w:rsidP="0038194F">
            <w:pPr>
              <w:spacing w:before="40" w:after="40"/>
              <w:jc w:val="both"/>
              <w:rPr>
                <w:rFonts w:eastAsia="Times New Roman"/>
                <w:bCs w:val="0"/>
                <w:i/>
                <w:lang w:eastAsia="ja-JP"/>
              </w:rPr>
            </w:pPr>
            <w:r>
              <w:rPr>
                <w:rFonts w:ascii="Cambria" w:eastAsia="Times New Roman" w:hAnsi="Cambria" w:cs="Arial"/>
                <w:i/>
                <w:sz w:val="20"/>
                <w:lang w:eastAsia="ja-JP"/>
              </w:rPr>
              <w:t>Describe each risk identified which should be derived from the AML/CFT integrity due diligence assessment as well as the prohibited practices due diligence assess</w:t>
            </w:r>
            <w:r w:rsidR="0088503C">
              <w:rPr>
                <w:rFonts w:ascii="Cambria" w:eastAsia="Times New Roman" w:hAnsi="Cambria" w:cs="Arial"/>
                <w:i/>
                <w:sz w:val="20"/>
                <w:lang w:eastAsia="ja-JP"/>
              </w:rPr>
              <w:t>ment. This includes</w:t>
            </w:r>
            <w:r>
              <w:rPr>
                <w:rFonts w:ascii="Cambria" w:eastAsia="Times New Roman" w:hAnsi="Cambria" w:cs="Arial"/>
                <w:i/>
                <w:sz w:val="20"/>
                <w:lang w:eastAsia="ja-JP"/>
              </w:rPr>
              <w:t xml:space="preserve"> corruption, fraud, abuse, retaliation against whistleblowers and any other coercive, collusive or obstructive practice. Also provide the controls and measures to mitigate each identified risk.</w:t>
            </w:r>
          </w:p>
          <w:p w14:paraId="1D0F5D63" w14:textId="77777777" w:rsidR="0038194F" w:rsidRDefault="0038194F" w:rsidP="0038194F">
            <w:pPr>
              <w:jc w:val="both"/>
              <w:rPr>
                <w:rFonts w:ascii="Tahoma" w:eastAsia="Times New Roman" w:hAnsi="Tahoma" w:cs="Tahoma"/>
                <w:sz w:val="20"/>
                <w:lang w:eastAsia="ja-JP"/>
              </w:rPr>
            </w:pPr>
          </w:p>
          <w:p w14:paraId="78443687" w14:textId="4DBDA21F" w:rsidR="009E0165" w:rsidRDefault="000726F1" w:rsidP="0038194F">
            <w:pPr>
              <w:jc w:val="both"/>
              <w:rPr>
                <w:rFonts w:ascii="Tahoma" w:eastAsia="Times New Roman" w:hAnsi="Tahoma" w:cs="Tahoma"/>
                <w:sz w:val="20"/>
                <w:lang w:eastAsia="ja-JP"/>
              </w:rPr>
            </w:pPr>
            <w:r w:rsidRPr="00DE3CB9">
              <w:rPr>
                <w:rFonts w:ascii="Tahoma" w:eastAsia="Times New Roman" w:hAnsi="Tahoma" w:cs="Tahoma"/>
                <w:sz w:val="20"/>
                <w:lang w:eastAsia="ja-JP"/>
              </w:rPr>
              <w:t>No ML/FT risks identified for PAGASA project. Procurement for project activities on the level of PAGASA (refer to Output 1 and Output 2) will require an approved Procurement Plan. Related project activities on the level of concerned local government units</w:t>
            </w:r>
            <w:r w:rsidR="006E2DE0" w:rsidRPr="00DE3CB9">
              <w:rPr>
                <w:rFonts w:ascii="Tahoma" w:eastAsia="Times New Roman" w:hAnsi="Tahoma" w:cs="Tahoma"/>
                <w:sz w:val="20"/>
                <w:lang w:eastAsia="ja-JP"/>
              </w:rPr>
              <w:t>, or LGUs</w:t>
            </w:r>
            <w:r w:rsidRPr="00DE3CB9">
              <w:rPr>
                <w:rFonts w:ascii="Tahoma" w:eastAsia="Times New Roman" w:hAnsi="Tahoma" w:cs="Tahoma"/>
                <w:sz w:val="20"/>
                <w:lang w:eastAsia="ja-JP"/>
              </w:rPr>
              <w:t xml:space="preserve"> (refer to Output 3 and Output 4)</w:t>
            </w:r>
            <w:r w:rsidR="006E2DE0" w:rsidRPr="00DE3CB9">
              <w:rPr>
                <w:rFonts w:ascii="Tahoma" w:eastAsia="Times New Roman" w:hAnsi="Tahoma" w:cs="Tahoma"/>
                <w:sz w:val="20"/>
                <w:lang w:eastAsia="ja-JP"/>
              </w:rPr>
              <w:t>,</w:t>
            </w:r>
            <w:r w:rsidRPr="00DE3CB9">
              <w:rPr>
                <w:rFonts w:ascii="Tahoma" w:eastAsia="Times New Roman" w:hAnsi="Tahoma" w:cs="Tahoma"/>
                <w:sz w:val="20"/>
                <w:lang w:eastAsia="ja-JP"/>
              </w:rPr>
              <w:t xml:space="preserve"> mainly involve capacity building and information dissemination activi</w:t>
            </w:r>
            <w:r w:rsidR="009E0165" w:rsidRPr="00DE3CB9">
              <w:rPr>
                <w:rFonts w:ascii="Tahoma" w:eastAsia="Times New Roman" w:hAnsi="Tahoma" w:cs="Tahoma"/>
                <w:sz w:val="20"/>
                <w:lang w:eastAsia="ja-JP"/>
              </w:rPr>
              <w:t>ties, which are far removed from ML/FT risks. However, it should be noted that the Bank has its Money Laundering and Terrorist Financing Prevention Program (MLPP) in place to address any ML/FT risks or issues that may occur.</w:t>
            </w:r>
          </w:p>
          <w:p w14:paraId="3257A08B" w14:textId="77777777" w:rsidR="0038194F" w:rsidRPr="00DE3CB9" w:rsidRDefault="0038194F" w:rsidP="0038194F">
            <w:pPr>
              <w:jc w:val="both"/>
              <w:rPr>
                <w:rFonts w:ascii="Tahoma" w:eastAsia="Times New Roman" w:hAnsi="Tahoma" w:cs="Tahoma"/>
                <w:sz w:val="20"/>
                <w:lang w:eastAsia="ja-JP"/>
              </w:rPr>
            </w:pPr>
          </w:p>
          <w:p w14:paraId="7F01677C" w14:textId="6DF9DF34" w:rsidR="006E2DE0" w:rsidRPr="00DE3CB9" w:rsidRDefault="006E2DE0" w:rsidP="0038194F">
            <w:pPr>
              <w:jc w:val="both"/>
              <w:rPr>
                <w:rFonts w:ascii="Tahoma" w:eastAsia="Times New Roman" w:hAnsi="Tahoma" w:cs="Tahoma"/>
                <w:sz w:val="20"/>
                <w:lang w:eastAsia="ja-JP"/>
              </w:rPr>
            </w:pPr>
            <w:r w:rsidRPr="00DE3CB9">
              <w:rPr>
                <w:rFonts w:ascii="Tahoma" w:eastAsia="Times New Roman" w:hAnsi="Tahoma" w:cs="Tahoma"/>
                <w:sz w:val="20"/>
                <w:lang w:eastAsia="ja-JP"/>
              </w:rPr>
              <w:t>Risk of Prohibited Practices may occur in the implementation of the various project activities. However, it should be noted LANDBANK and PAGASA, as well as the concerned LGUs, are each a government entity/agency, and are thus covered/guided by the following Philippine laws/regulations</w:t>
            </w:r>
            <w:r w:rsidR="005E3178" w:rsidRPr="00DE3CB9">
              <w:rPr>
                <w:rFonts w:ascii="Tahoma" w:eastAsia="Times New Roman" w:hAnsi="Tahoma" w:cs="Tahoma"/>
                <w:sz w:val="20"/>
                <w:lang w:eastAsia="ja-JP"/>
              </w:rPr>
              <w:t xml:space="preserve"> pertaining to anti-bribery, graft and corruption</w:t>
            </w:r>
            <w:r w:rsidRPr="00DE3CB9">
              <w:rPr>
                <w:rFonts w:ascii="Tahoma" w:eastAsia="Times New Roman" w:hAnsi="Tahoma" w:cs="Tahoma"/>
                <w:sz w:val="20"/>
                <w:lang w:eastAsia="ja-JP"/>
              </w:rPr>
              <w:t>:</w:t>
            </w:r>
          </w:p>
          <w:p w14:paraId="756E990D" w14:textId="6CD50A9B" w:rsidR="009E0165" w:rsidRPr="00DE3CB9" w:rsidRDefault="00E93417" w:rsidP="0038194F">
            <w:pPr>
              <w:pStyle w:val="ListParagraph"/>
              <w:numPr>
                <w:ilvl w:val="0"/>
                <w:numId w:val="5"/>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Republic Act 3019 (RA 3019) – Anti-Graft and Corrupt Practices Act;</w:t>
            </w:r>
          </w:p>
          <w:p w14:paraId="4404C236" w14:textId="5BFFC24D" w:rsidR="00E93417" w:rsidRPr="00DE3CB9" w:rsidRDefault="00E93417" w:rsidP="0038194F">
            <w:pPr>
              <w:pStyle w:val="ListParagraph"/>
              <w:numPr>
                <w:ilvl w:val="0"/>
                <w:numId w:val="5"/>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RA 6713 – An Act Establishing a Code of Conduct and Ethical Standards for Public Officials and Employees;</w:t>
            </w:r>
          </w:p>
          <w:p w14:paraId="7DCDF94F" w14:textId="35105ADA" w:rsidR="00E93417" w:rsidRPr="00DE3CB9" w:rsidRDefault="00E93417" w:rsidP="0038194F">
            <w:pPr>
              <w:pStyle w:val="ListParagraph"/>
              <w:numPr>
                <w:ilvl w:val="0"/>
                <w:numId w:val="5"/>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RA 9485 – An Act to Improve Efficiency in the Delivery of Government Service to the Public by Reducing Bureaucratic Red Tape and Preventing Graft and Corruption, and Providing penalties Therefor;</w:t>
            </w:r>
          </w:p>
          <w:p w14:paraId="4F7A2161" w14:textId="43E9AE46" w:rsidR="00E93417" w:rsidRPr="00DE3CB9" w:rsidRDefault="00E93417" w:rsidP="0038194F">
            <w:pPr>
              <w:pStyle w:val="ListParagraph"/>
              <w:numPr>
                <w:ilvl w:val="0"/>
                <w:numId w:val="5"/>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 xml:space="preserve">Civil Service Commission (CSC) Resolution No. 060538, date April 4, 2006 </w:t>
            </w:r>
            <w:r w:rsidR="00B62769" w:rsidRPr="00DE3CB9">
              <w:rPr>
                <w:rFonts w:ascii="Tahoma" w:eastAsia="Times New Roman" w:hAnsi="Tahoma" w:cs="Tahoma"/>
                <w:sz w:val="20"/>
                <w:lang w:eastAsia="ja-JP"/>
              </w:rPr>
              <w:t xml:space="preserve">– </w:t>
            </w:r>
            <w:r w:rsidRPr="00DE3CB9">
              <w:rPr>
                <w:rFonts w:ascii="Tahoma" w:eastAsia="Times New Roman" w:hAnsi="Tahoma" w:cs="Tahoma"/>
                <w:sz w:val="20"/>
                <w:lang w:eastAsia="ja-JP"/>
              </w:rPr>
              <w:t>Rules on Administrative Offense on Dishonesty;</w:t>
            </w:r>
          </w:p>
          <w:p w14:paraId="69B296B1" w14:textId="77777777" w:rsidR="00B62769" w:rsidRPr="00DE3CB9" w:rsidRDefault="00B62769" w:rsidP="0038194F">
            <w:pPr>
              <w:pStyle w:val="ListParagraph"/>
              <w:numPr>
                <w:ilvl w:val="0"/>
                <w:numId w:val="5"/>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CSC Resolution No. 1101502, dated November 18, 2011 – Revised Rules on Administrative Cases in the Civil Service.</w:t>
            </w:r>
          </w:p>
          <w:p w14:paraId="717E5489" w14:textId="77777777" w:rsidR="0038194F" w:rsidRDefault="0038194F" w:rsidP="0038194F">
            <w:pPr>
              <w:jc w:val="both"/>
              <w:rPr>
                <w:rFonts w:ascii="Tahoma" w:eastAsia="Times New Roman" w:hAnsi="Tahoma" w:cs="Tahoma"/>
                <w:sz w:val="20"/>
                <w:lang w:eastAsia="ja-JP"/>
              </w:rPr>
            </w:pPr>
          </w:p>
          <w:p w14:paraId="6B70240B" w14:textId="7E7DB4D8" w:rsidR="0043291E" w:rsidRDefault="0038194F" w:rsidP="0038194F">
            <w:pPr>
              <w:jc w:val="both"/>
              <w:rPr>
                <w:rFonts w:ascii="Tahoma" w:eastAsia="Times New Roman" w:hAnsi="Tahoma" w:cs="Tahoma"/>
                <w:sz w:val="20"/>
                <w:lang w:eastAsia="ja-JP"/>
              </w:rPr>
            </w:pPr>
            <w:r>
              <w:rPr>
                <w:rFonts w:ascii="Tahoma" w:eastAsia="Times New Roman" w:hAnsi="Tahoma" w:cs="Tahoma"/>
                <w:sz w:val="20"/>
                <w:lang w:eastAsia="ja-JP"/>
              </w:rPr>
              <w:t>P</w:t>
            </w:r>
            <w:r w:rsidR="0043291E" w:rsidRPr="00DE3CB9">
              <w:rPr>
                <w:rFonts w:ascii="Tahoma" w:eastAsia="Times New Roman" w:hAnsi="Tahoma" w:cs="Tahoma"/>
                <w:sz w:val="20"/>
                <w:lang w:eastAsia="ja-JP"/>
              </w:rPr>
              <w:t xml:space="preserve">artners, contractors and suppliers in the private sector will be required to open an account with LANDBANK, through which releases will be made. </w:t>
            </w:r>
            <w:r>
              <w:rPr>
                <w:rFonts w:ascii="Tahoma" w:eastAsia="Times New Roman" w:hAnsi="Tahoma" w:cs="Tahoma"/>
                <w:sz w:val="20"/>
                <w:lang w:eastAsia="ja-JP"/>
              </w:rPr>
              <w:t xml:space="preserve">As the Bank’s clients, they </w:t>
            </w:r>
            <w:r w:rsidR="0043291E" w:rsidRPr="00DE3CB9">
              <w:rPr>
                <w:rFonts w:ascii="Tahoma" w:eastAsia="Times New Roman" w:hAnsi="Tahoma" w:cs="Tahoma"/>
                <w:sz w:val="20"/>
                <w:lang w:eastAsia="ja-JP"/>
              </w:rPr>
              <w:t>shall be subjected to the provisions and regulations of the MLPP.</w:t>
            </w:r>
          </w:p>
          <w:p w14:paraId="1793D2EC" w14:textId="77777777" w:rsidR="0038194F" w:rsidRDefault="0038194F" w:rsidP="0038194F">
            <w:pPr>
              <w:jc w:val="both"/>
              <w:rPr>
                <w:rFonts w:ascii="Tahoma" w:eastAsia="Times New Roman" w:hAnsi="Tahoma" w:cs="Tahoma"/>
                <w:sz w:val="20"/>
                <w:lang w:eastAsia="ja-JP"/>
              </w:rPr>
            </w:pPr>
          </w:p>
          <w:p w14:paraId="40D835DB" w14:textId="77777777" w:rsidR="00B62769" w:rsidRPr="00DE3CB9" w:rsidRDefault="00B62769" w:rsidP="0038194F">
            <w:pPr>
              <w:jc w:val="both"/>
              <w:rPr>
                <w:rFonts w:ascii="Tahoma" w:eastAsia="Times New Roman" w:hAnsi="Tahoma" w:cs="Tahoma"/>
                <w:sz w:val="20"/>
                <w:lang w:eastAsia="ja-JP"/>
              </w:rPr>
            </w:pPr>
            <w:r w:rsidRPr="00DE3CB9">
              <w:rPr>
                <w:rFonts w:ascii="Tahoma" w:eastAsia="Times New Roman" w:hAnsi="Tahoma" w:cs="Tahoma"/>
                <w:sz w:val="20"/>
                <w:lang w:eastAsia="ja-JP"/>
              </w:rPr>
              <w:t>In addition to the previously mentioned laws/regulations, LANDBANK has also institutionalized preventive measures against bribery, graft and corrupt practices by establishing and implementing internal policies/guidelines incorporating pertinent provisions of the aforementioned laws, rules and regulations of the Philippines and CSC, as follows:</w:t>
            </w:r>
          </w:p>
          <w:p w14:paraId="78894465" w14:textId="27D3C50D" w:rsidR="00E93417" w:rsidRPr="00DE3CB9" w:rsidRDefault="000E6AA0" w:rsidP="0038194F">
            <w:pPr>
              <w:pStyle w:val="ListParagraph"/>
              <w:numPr>
                <w:ilvl w:val="0"/>
                <w:numId w:val="6"/>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lastRenderedPageBreak/>
              <w:t>Code of Conduct for LANDBANK Employees;</w:t>
            </w:r>
          </w:p>
          <w:p w14:paraId="5DBC683B" w14:textId="2EAE4CAF" w:rsidR="000E6AA0" w:rsidRPr="00DE3CB9" w:rsidRDefault="000E6AA0" w:rsidP="0038194F">
            <w:pPr>
              <w:pStyle w:val="ListParagraph"/>
              <w:numPr>
                <w:ilvl w:val="0"/>
                <w:numId w:val="6"/>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Executive Order (EO) No. 022 series of 2010 – Guidelines on Conflict of Interest;</w:t>
            </w:r>
          </w:p>
          <w:p w14:paraId="6FC0A06D" w14:textId="47CEE870" w:rsidR="000E6AA0" w:rsidRPr="00DE3CB9" w:rsidRDefault="000E6AA0" w:rsidP="0038194F">
            <w:pPr>
              <w:pStyle w:val="ListParagraph"/>
              <w:numPr>
                <w:ilvl w:val="0"/>
                <w:numId w:val="6"/>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EO No. 043 s. 2010 – Guidelines on Internal Whistleblowing and Reporting;</w:t>
            </w:r>
          </w:p>
          <w:p w14:paraId="67B7ECD9" w14:textId="0EFCE438" w:rsidR="000E6AA0" w:rsidRPr="00DE3CB9" w:rsidRDefault="000E6AA0" w:rsidP="0038194F">
            <w:pPr>
              <w:pStyle w:val="ListParagraph"/>
              <w:numPr>
                <w:ilvl w:val="0"/>
                <w:numId w:val="6"/>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EO No. 064 s. 2012 – Guidelines on the Implementation of the Ethics Hotline;</w:t>
            </w:r>
          </w:p>
          <w:p w14:paraId="16CC0419" w14:textId="3F81E6B3" w:rsidR="000E6AA0" w:rsidRPr="00DE3CB9" w:rsidRDefault="000E6AA0" w:rsidP="0038194F">
            <w:pPr>
              <w:pStyle w:val="ListParagraph"/>
              <w:numPr>
                <w:ilvl w:val="0"/>
                <w:numId w:val="6"/>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EO No. 064 s. 2013 – Revised Rules on Administrative Disciplinary Cases;</w:t>
            </w:r>
          </w:p>
          <w:p w14:paraId="757C2C2D" w14:textId="0E0ACB9F" w:rsidR="000E6AA0" w:rsidRPr="00DE3CB9" w:rsidRDefault="000E6AA0" w:rsidP="0038194F">
            <w:pPr>
              <w:pStyle w:val="ListParagraph"/>
              <w:numPr>
                <w:ilvl w:val="0"/>
                <w:numId w:val="6"/>
              </w:numPr>
              <w:spacing w:before="40" w:after="40"/>
              <w:ind w:left="763"/>
              <w:contextualSpacing w:val="0"/>
              <w:jc w:val="both"/>
              <w:rPr>
                <w:rFonts w:ascii="Tahoma" w:eastAsia="Times New Roman" w:hAnsi="Tahoma" w:cs="Tahoma"/>
                <w:sz w:val="20"/>
                <w:lang w:eastAsia="ja-JP"/>
              </w:rPr>
            </w:pPr>
            <w:r w:rsidRPr="00DE3CB9">
              <w:rPr>
                <w:rFonts w:ascii="Tahoma" w:eastAsia="Times New Roman" w:hAnsi="Tahoma" w:cs="Tahoma"/>
                <w:sz w:val="20"/>
                <w:lang w:eastAsia="ja-JP"/>
              </w:rPr>
              <w:t>EO No. 041 s. 2014 – LBP No Gift Policy.</w:t>
            </w:r>
          </w:p>
          <w:p w14:paraId="4F3242DD" w14:textId="77777777" w:rsidR="000E6AA0" w:rsidRDefault="000E6AA0" w:rsidP="0038194F">
            <w:pPr>
              <w:spacing w:before="40" w:after="40"/>
              <w:jc w:val="both"/>
              <w:rPr>
                <w:rFonts w:ascii="Cambria" w:eastAsia="Times New Roman" w:hAnsi="Cambria" w:cs="Arial"/>
                <w:sz w:val="20"/>
                <w:lang w:eastAsia="ja-JP"/>
              </w:rPr>
            </w:pPr>
          </w:p>
          <w:p w14:paraId="53535C62" w14:textId="77777777" w:rsidR="00F24194" w:rsidRDefault="00F24194" w:rsidP="0038194F">
            <w:pPr>
              <w:spacing w:before="40" w:after="40"/>
              <w:jc w:val="both"/>
              <w:rPr>
                <w:rFonts w:ascii="Cambria" w:hAnsi="Cambria" w:cs="Arial"/>
                <w:i/>
                <w:sz w:val="20"/>
                <w:szCs w:val="20"/>
              </w:rPr>
            </w:pPr>
            <w:r>
              <w:rPr>
                <w:rFonts w:ascii="Cambria" w:hAnsi="Cambria" w:cs="Arial"/>
                <w:i/>
                <w:sz w:val="20"/>
                <w:szCs w:val="20"/>
              </w:rPr>
              <w:t>If the Executing Entity is different from the Accredited Entity, please include an annex providing further KYC details, e.g. on the beneficial ownership/control structure, and exposure to Politically Exposed Persons</w:t>
            </w:r>
            <w:r w:rsidR="0088503C">
              <w:rPr>
                <w:rFonts w:ascii="Cambria" w:hAnsi="Cambria" w:cs="Arial"/>
                <w:i/>
                <w:sz w:val="20"/>
                <w:szCs w:val="20"/>
              </w:rPr>
              <w:t xml:space="preserve"> </w:t>
            </w:r>
            <w:r>
              <w:rPr>
                <w:rFonts w:ascii="Cambria" w:hAnsi="Cambria" w:cs="Arial"/>
                <w:i/>
                <w:sz w:val="20"/>
                <w:szCs w:val="20"/>
              </w:rPr>
              <w:t>(PEPs) etc.</w:t>
            </w:r>
          </w:p>
          <w:p w14:paraId="00DD2972" w14:textId="7AC2EA42" w:rsidR="0043291E" w:rsidRPr="00920615" w:rsidRDefault="00920615" w:rsidP="0038194F">
            <w:pPr>
              <w:spacing w:before="120" w:after="120"/>
              <w:jc w:val="both"/>
              <w:rPr>
                <w:rStyle w:val="IntenseReference"/>
                <w:rFonts w:ascii="Tahoma" w:hAnsi="Tahoma" w:cs="Tahoma"/>
                <w:b w:val="0"/>
                <w:smallCaps w:val="0"/>
                <w:color w:val="auto"/>
              </w:rPr>
            </w:pPr>
            <w:r>
              <w:rPr>
                <w:rFonts w:ascii="Tahoma" w:hAnsi="Tahoma" w:cs="Tahoma"/>
                <w:sz w:val="20"/>
                <w:szCs w:val="20"/>
              </w:rPr>
              <w:t>See attached Credit Information Report for PAGASA, which is the Executing Entity for the MH-IBF-EWS project.</w:t>
            </w:r>
          </w:p>
        </w:tc>
      </w:tr>
      <w:tr w:rsidR="00F24194" w14:paraId="10D13DA8" w14:textId="77777777" w:rsidTr="00F24194">
        <w:trPr>
          <w:trHeight w:val="340"/>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166FF0" w14:textId="77777777" w:rsidR="00F24194" w:rsidRDefault="00F24194">
            <w:pPr>
              <w:rPr>
                <w:rStyle w:val="IntenseReference"/>
                <w:rFonts w:ascii="Cambria" w:eastAsia="Times New Roman" w:hAnsi="Cambria" w:cs="Arial"/>
                <w:color w:val="auto"/>
                <w:sz w:val="20"/>
                <w:szCs w:val="20"/>
                <w:lang w:eastAsia="ja-JP"/>
              </w:rPr>
            </w:pPr>
            <w:r>
              <w:rPr>
                <w:rStyle w:val="IntenseReference"/>
                <w:rFonts w:ascii="Cambria" w:hAnsi="Cambria" w:cs="Arial"/>
                <w:color w:val="auto"/>
                <w:sz w:val="20"/>
                <w:szCs w:val="20"/>
              </w:rPr>
              <w:lastRenderedPageBreak/>
              <w:t xml:space="preserve">3. </w:t>
            </w:r>
            <w:r>
              <w:rPr>
                <w:rFonts w:ascii="Cambria" w:eastAsia="Times New Roman" w:hAnsi="Cambria" w:cs="Arial"/>
                <w:b/>
                <w:sz w:val="20"/>
                <w:szCs w:val="20"/>
                <w:lang w:eastAsia="ja-JP"/>
              </w:rPr>
              <w:t xml:space="preserve">Other potential risks in the horizon </w:t>
            </w:r>
          </w:p>
        </w:tc>
      </w:tr>
      <w:tr w:rsidR="00F24194" w14:paraId="47F057D9"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4FC46697" w14:textId="47C717C2" w:rsidR="00F24194" w:rsidRDefault="00F24194" w:rsidP="0038194F">
            <w:pPr>
              <w:spacing w:before="40" w:after="40"/>
              <w:jc w:val="both"/>
              <w:rPr>
                <w:rFonts w:ascii="Cambria" w:eastAsia="Times New Roman" w:hAnsi="Cambria" w:cs="Arial"/>
                <w:bCs w:val="0"/>
                <w:i/>
                <w:sz w:val="20"/>
                <w:szCs w:val="20"/>
                <w:lang w:eastAsia="ja-JP"/>
              </w:rPr>
            </w:pPr>
            <w:r>
              <w:rPr>
                <w:rFonts w:ascii="Cambria" w:eastAsia="Times New Roman" w:hAnsi="Cambria" w:cs="Arial"/>
                <w:bCs w:val="0"/>
                <w:i/>
                <w:sz w:val="20"/>
                <w:szCs w:val="20"/>
                <w:lang w:eastAsia="ja-JP"/>
              </w:rPr>
              <w:t>Please describe other potential issues which will be monitored as “emerging risks” during the life of the projects (i.e., issues that have not yet raised to the level of “risk factor” but which will need monitoring).  This could include issues related to external stakeholders such as project beneficiaries or the pool of potential contractors.</w:t>
            </w:r>
          </w:p>
          <w:p w14:paraId="3CA08433" w14:textId="77777777" w:rsidR="003674C7" w:rsidRPr="003674C7" w:rsidRDefault="003674C7">
            <w:pPr>
              <w:spacing w:before="40" w:after="40"/>
              <w:rPr>
                <w:rFonts w:ascii="Cambria" w:eastAsia="Times New Roman" w:hAnsi="Cambria" w:cs="Arial"/>
                <w:bCs w:val="0"/>
                <w:i/>
                <w:sz w:val="18"/>
                <w:szCs w:val="20"/>
                <w:lang w:eastAsia="ja-JP"/>
              </w:rPr>
            </w:pPr>
          </w:p>
          <w:p w14:paraId="4B744D52" w14:textId="3268C574" w:rsidR="003674C7" w:rsidRPr="00920615" w:rsidRDefault="003674C7" w:rsidP="0038194F">
            <w:pPr>
              <w:pStyle w:val="ListParagraph"/>
              <w:numPr>
                <w:ilvl w:val="0"/>
                <w:numId w:val="7"/>
              </w:numPr>
              <w:spacing w:before="40" w:after="40"/>
              <w:jc w:val="both"/>
              <w:rPr>
                <w:rFonts w:ascii="Tahoma" w:hAnsi="Tahoma" w:cs="Tahoma"/>
              </w:rPr>
            </w:pPr>
            <w:r w:rsidRPr="00920615">
              <w:rPr>
                <w:rFonts w:ascii="Tahoma" w:hAnsi="Tahoma" w:cs="Tahoma"/>
                <w:sz w:val="20"/>
              </w:rPr>
              <w:t>Non-delivery, or sub-par deli</w:t>
            </w:r>
            <w:r w:rsidR="0038194F">
              <w:rPr>
                <w:rFonts w:ascii="Tahoma" w:hAnsi="Tahoma" w:cs="Tahoma"/>
                <w:sz w:val="20"/>
              </w:rPr>
              <w:t>very, of outputs by consultants</w:t>
            </w:r>
          </w:p>
          <w:p w14:paraId="612397DB" w14:textId="06DB851F" w:rsidR="00920615" w:rsidRPr="00920615" w:rsidRDefault="00920615" w:rsidP="0038194F">
            <w:pPr>
              <w:pStyle w:val="ListParagraph"/>
              <w:numPr>
                <w:ilvl w:val="0"/>
                <w:numId w:val="7"/>
              </w:numPr>
              <w:spacing w:before="40" w:after="40"/>
              <w:jc w:val="both"/>
              <w:rPr>
                <w:rFonts w:ascii="Tahoma" w:hAnsi="Tahoma" w:cs="Tahoma"/>
              </w:rPr>
            </w:pPr>
            <w:r>
              <w:rPr>
                <w:rFonts w:ascii="Tahoma" w:hAnsi="Tahoma" w:cs="Tahoma"/>
                <w:sz w:val="20"/>
              </w:rPr>
              <w:t xml:space="preserve">Delays in procurement </w:t>
            </w:r>
            <w:r w:rsidR="0038194F">
              <w:rPr>
                <w:rFonts w:ascii="Tahoma" w:hAnsi="Tahoma" w:cs="Tahoma"/>
                <w:sz w:val="20"/>
              </w:rPr>
              <w:t>process</w:t>
            </w:r>
          </w:p>
          <w:p w14:paraId="4637060F" w14:textId="1315EAD8" w:rsidR="003674C7" w:rsidRPr="003674C7" w:rsidRDefault="003674C7" w:rsidP="003674C7">
            <w:pPr>
              <w:pStyle w:val="ListParagraph"/>
              <w:spacing w:before="40" w:after="40"/>
              <w:rPr>
                <w:rFonts w:ascii="Cambria" w:hAnsi="Cambria"/>
              </w:rPr>
            </w:pPr>
          </w:p>
        </w:tc>
      </w:tr>
    </w:tbl>
    <w:p w14:paraId="6A66F6F9" w14:textId="77777777" w:rsidR="00F24194" w:rsidRDefault="00F24194" w:rsidP="00F24194">
      <w:pPr>
        <w:rPr>
          <w:rFonts w:asciiTheme="minorHAnsi" w:hAnsiTheme="minorHAnsi"/>
          <w:bCs w:val="0"/>
          <w:szCs w:val="22"/>
        </w:rPr>
      </w:pPr>
    </w:p>
    <w:p w14:paraId="5E3367F5" w14:textId="77777777" w:rsidR="007C0F6F" w:rsidRPr="007C0F6F" w:rsidRDefault="007C0F6F" w:rsidP="007C0F6F"/>
    <w:sectPr w:rsidR="007C0F6F" w:rsidRPr="007C0F6F" w:rsidSect="007C0F6F">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A67A0" w14:textId="77777777" w:rsidR="002B199E" w:rsidRDefault="002B199E" w:rsidP="007C0F6F">
      <w:pPr>
        <w:spacing w:after="0" w:line="240" w:lineRule="auto"/>
      </w:pPr>
      <w:r>
        <w:separator/>
      </w:r>
    </w:p>
  </w:endnote>
  <w:endnote w:type="continuationSeparator" w:id="0">
    <w:p w14:paraId="5E9DC834" w14:textId="77777777" w:rsidR="002B199E" w:rsidRDefault="002B199E" w:rsidP="007C0F6F">
      <w:pPr>
        <w:spacing w:after="0" w:line="240" w:lineRule="auto"/>
      </w:pPr>
      <w:r>
        <w:continuationSeparator/>
      </w:r>
    </w:p>
  </w:endnote>
  <w:endnote w:type="continuationNotice" w:id="1">
    <w:p w14:paraId="041F6A5B" w14:textId="77777777" w:rsidR="002B199E" w:rsidRDefault="002B1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HYPost-Light">
    <w:altName w:val="Batang"/>
    <w:charset w:val="81"/>
    <w:family w:val="roman"/>
    <w:pitch w:val="default"/>
  </w:font>
  <w:font w:name="GCF Camingo">
    <w:altName w:val="Calibri"/>
    <w:panose1 w:val="00000000000000000000"/>
    <w:charset w:val="00"/>
    <w:family w:val="swiss"/>
    <w:notTrueType/>
    <w:pitch w:val="default"/>
    <w:sig w:usb0="00000003" w:usb1="00000000" w:usb2="00000000" w:usb3="00000000" w:csb0="00000001" w:csb1="00000000"/>
  </w:font>
  <w:font w:name="GCF Camingo Light">
    <w:altName w:val="Calibri"/>
    <w:charset w:val="00"/>
    <w:family w:val="swiss"/>
    <w:pitch w:val="variable"/>
    <w:sig w:usb0="A000006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7B008" w14:textId="77777777" w:rsidR="00A84E48" w:rsidRDefault="00A84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1F7D5" w14:textId="77777777" w:rsidR="00A84E48" w:rsidRDefault="00A84E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7895C" w14:textId="77777777" w:rsidR="00A84E48" w:rsidRDefault="00A84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79119" w14:textId="77777777" w:rsidR="002B199E" w:rsidRDefault="002B199E" w:rsidP="007C0F6F">
      <w:pPr>
        <w:spacing w:after="0" w:line="240" w:lineRule="auto"/>
      </w:pPr>
      <w:r>
        <w:separator/>
      </w:r>
    </w:p>
  </w:footnote>
  <w:footnote w:type="continuationSeparator" w:id="0">
    <w:p w14:paraId="76FC6F21" w14:textId="77777777" w:rsidR="002B199E" w:rsidRDefault="002B199E" w:rsidP="007C0F6F">
      <w:pPr>
        <w:spacing w:after="0" w:line="240" w:lineRule="auto"/>
      </w:pPr>
      <w:r>
        <w:continuationSeparator/>
      </w:r>
    </w:p>
  </w:footnote>
  <w:footnote w:type="continuationNotice" w:id="1">
    <w:p w14:paraId="3604569D" w14:textId="77777777" w:rsidR="002B199E" w:rsidRDefault="002B1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740E5" w14:textId="77777777" w:rsidR="00A84E48" w:rsidRDefault="00A84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1D0F4" w14:textId="77777777" w:rsidR="00A84E48" w:rsidRDefault="00A84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717AF" w14:textId="22283ACA" w:rsidR="007C0F6F" w:rsidRDefault="007C0F6F">
    <w:pPr>
      <w:pStyle w:val="Header"/>
    </w:pPr>
    <w:r>
      <w:rPr>
        <w:noProof/>
        <w:lang w:val="en-PH" w:eastAsia="en-PH"/>
      </w:rPr>
      <w:drawing>
        <wp:anchor distT="0" distB="0" distL="114300" distR="114300" simplePos="0" relativeHeight="251658240" behindDoc="1" locked="0" layoutInCell="1" allowOverlap="1" wp14:anchorId="7C640F0D" wp14:editId="728E57AD">
          <wp:simplePos x="0" y="0"/>
          <wp:positionH relativeFrom="margin">
            <wp:posOffset>-925975</wp:posOffset>
          </wp:positionH>
          <wp:positionV relativeFrom="margin">
            <wp:posOffset>-914400</wp:posOffset>
          </wp:positionV>
          <wp:extent cx="7563434" cy="10690502"/>
          <wp:effectExtent l="0" t="0" r="635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nex1_cover.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560FC"/>
    <w:multiLevelType w:val="hybridMultilevel"/>
    <w:tmpl w:val="C4D22F5C"/>
    <w:lvl w:ilvl="0" w:tplc="3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D82898"/>
    <w:multiLevelType w:val="hybridMultilevel"/>
    <w:tmpl w:val="C5A61F42"/>
    <w:lvl w:ilvl="0" w:tplc="B0BEEEC2">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3D2784"/>
    <w:multiLevelType w:val="hybridMultilevel"/>
    <w:tmpl w:val="42AAFE84"/>
    <w:lvl w:ilvl="0" w:tplc="AA70300E">
      <w:start w:val="1"/>
      <w:numFmt w:val="bullet"/>
      <w:pStyle w:val="BulletedList"/>
      <w:lvlText w:val=""/>
      <w:lvlJc w:val="left"/>
      <w:pPr>
        <w:ind w:left="720" w:hanging="360"/>
      </w:pPr>
      <w:rPr>
        <w:rFonts w:ascii="Symbol" w:hAnsi="Symbol" w:hint="default"/>
        <w:color w:val="006E7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A03113"/>
    <w:multiLevelType w:val="hybridMultilevel"/>
    <w:tmpl w:val="D0DC224E"/>
    <w:lvl w:ilvl="0" w:tplc="34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7B4C78BA"/>
    <w:multiLevelType w:val="hybridMultilevel"/>
    <w:tmpl w:val="9E84DB8C"/>
    <w:lvl w:ilvl="0" w:tplc="34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2"/>
  </w:num>
  <w:num w:numId="2">
    <w:abstractNumId w:val="1"/>
  </w:num>
  <w:num w:numId="3">
    <w:abstractNumId w:val="2"/>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F6F"/>
    <w:rsid w:val="00021223"/>
    <w:rsid w:val="000726F1"/>
    <w:rsid w:val="000B2236"/>
    <w:rsid w:val="000B4601"/>
    <w:rsid w:val="000E4BB1"/>
    <w:rsid w:val="000E6AA0"/>
    <w:rsid w:val="000F1872"/>
    <w:rsid w:val="00133B54"/>
    <w:rsid w:val="001553BC"/>
    <w:rsid w:val="001A74D5"/>
    <w:rsid w:val="001C75BF"/>
    <w:rsid w:val="001E05D0"/>
    <w:rsid w:val="001E7FAD"/>
    <w:rsid w:val="002330E5"/>
    <w:rsid w:val="002524E5"/>
    <w:rsid w:val="00293AAE"/>
    <w:rsid w:val="002957F5"/>
    <w:rsid w:val="002B199E"/>
    <w:rsid w:val="003220E7"/>
    <w:rsid w:val="003674C7"/>
    <w:rsid w:val="00372819"/>
    <w:rsid w:val="0038194F"/>
    <w:rsid w:val="003869E9"/>
    <w:rsid w:val="003D196F"/>
    <w:rsid w:val="003F7404"/>
    <w:rsid w:val="00414AC5"/>
    <w:rsid w:val="0043291E"/>
    <w:rsid w:val="00441229"/>
    <w:rsid w:val="0055437E"/>
    <w:rsid w:val="0055699E"/>
    <w:rsid w:val="0058440A"/>
    <w:rsid w:val="005E3178"/>
    <w:rsid w:val="005F3D1F"/>
    <w:rsid w:val="00615EB3"/>
    <w:rsid w:val="00661DC7"/>
    <w:rsid w:val="006D16D2"/>
    <w:rsid w:val="006E2DE0"/>
    <w:rsid w:val="006E6AF1"/>
    <w:rsid w:val="006F4DF0"/>
    <w:rsid w:val="00704487"/>
    <w:rsid w:val="00756CA0"/>
    <w:rsid w:val="00765AFA"/>
    <w:rsid w:val="007C0F6F"/>
    <w:rsid w:val="007F19DB"/>
    <w:rsid w:val="0088503C"/>
    <w:rsid w:val="00885C12"/>
    <w:rsid w:val="008D2DCF"/>
    <w:rsid w:val="008D7C33"/>
    <w:rsid w:val="008F0DF0"/>
    <w:rsid w:val="009021E3"/>
    <w:rsid w:val="00910D09"/>
    <w:rsid w:val="00920615"/>
    <w:rsid w:val="00986058"/>
    <w:rsid w:val="009A231C"/>
    <w:rsid w:val="009C43E2"/>
    <w:rsid w:val="009D69C1"/>
    <w:rsid w:val="009E0165"/>
    <w:rsid w:val="00A11637"/>
    <w:rsid w:val="00A11708"/>
    <w:rsid w:val="00A32ED3"/>
    <w:rsid w:val="00A84E48"/>
    <w:rsid w:val="00AB4152"/>
    <w:rsid w:val="00AE0FB5"/>
    <w:rsid w:val="00AE6BF2"/>
    <w:rsid w:val="00B311D3"/>
    <w:rsid w:val="00B62769"/>
    <w:rsid w:val="00B87E2B"/>
    <w:rsid w:val="00BB54AB"/>
    <w:rsid w:val="00BC7551"/>
    <w:rsid w:val="00BE3EB2"/>
    <w:rsid w:val="00C179FF"/>
    <w:rsid w:val="00C52C6A"/>
    <w:rsid w:val="00C76F69"/>
    <w:rsid w:val="00C81BA1"/>
    <w:rsid w:val="00CA1476"/>
    <w:rsid w:val="00CC188A"/>
    <w:rsid w:val="00CD44C1"/>
    <w:rsid w:val="00CE4C25"/>
    <w:rsid w:val="00CF7F5C"/>
    <w:rsid w:val="00D22323"/>
    <w:rsid w:val="00D76D46"/>
    <w:rsid w:val="00D77455"/>
    <w:rsid w:val="00DE3CB9"/>
    <w:rsid w:val="00DF290C"/>
    <w:rsid w:val="00E053DD"/>
    <w:rsid w:val="00E4366D"/>
    <w:rsid w:val="00E72B0F"/>
    <w:rsid w:val="00E93417"/>
    <w:rsid w:val="00E95095"/>
    <w:rsid w:val="00EC194E"/>
    <w:rsid w:val="00ED337A"/>
    <w:rsid w:val="00F24194"/>
    <w:rsid w:val="00F9395B"/>
    <w:rsid w:val="00FC7F5B"/>
    <w:rsid w:val="00FE5D9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FF0D2"/>
  <w15:docId w15:val="{9F8F981B-FBB6-45B2-95E6-BFA87B6C8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404"/>
    <w:rPr>
      <w:rFonts w:ascii="GCF Camingo" w:hAnsi="GCF Camingo"/>
      <w:bCs/>
      <w:sz w:val="22"/>
      <w:lang w:val="en-CA"/>
    </w:rPr>
  </w:style>
  <w:style w:type="paragraph" w:styleId="Heading1">
    <w:name w:val="heading 1"/>
    <w:basedOn w:val="Normal"/>
    <w:next w:val="Normal"/>
    <w:link w:val="Heading1Char"/>
    <w:uiPriority w:val="9"/>
    <w:qFormat/>
    <w:rsid w:val="003F7404"/>
    <w:pPr>
      <w:outlineLvl w:val="0"/>
    </w:pPr>
    <w:rPr>
      <w:rFonts w:ascii="GCF Camingo Light" w:hAnsi="GCF Camingo Light"/>
      <w:sz w:val="48"/>
    </w:rPr>
  </w:style>
  <w:style w:type="paragraph" w:styleId="Heading2">
    <w:name w:val="heading 2"/>
    <w:basedOn w:val="Normal"/>
    <w:next w:val="Normal"/>
    <w:link w:val="Heading2Char"/>
    <w:uiPriority w:val="9"/>
    <w:unhideWhenUsed/>
    <w:qFormat/>
    <w:rsid w:val="003F7404"/>
    <w:pPr>
      <w:outlineLvl w:val="1"/>
    </w:pPr>
    <w:rPr>
      <w:bCs w:val="0"/>
      <w:color w:val="046972"/>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3F7404"/>
    <w:pPr>
      <w:numPr>
        <w:numId w:val="3"/>
      </w:numPr>
      <w:contextualSpacing/>
    </w:pPr>
    <w:rPr>
      <w:bCs w:val="0"/>
    </w:rPr>
  </w:style>
  <w:style w:type="character" w:customStyle="1" w:styleId="Heading1Char">
    <w:name w:val="Heading 1 Char"/>
    <w:basedOn w:val="DefaultParagraphFont"/>
    <w:link w:val="Heading1"/>
    <w:uiPriority w:val="9"/>
    <w:rsid w:val="003F7404"/>
    <w:rPr>
      <w:rFonts w:ascii="GCF Camingo Light" w:hAnsi="GCF Camingo Light"/>
      <w:bCs/>
      <w:sz w:val="48"/>
      <w:lang w:val="en-CA"/>
    </w:rPr>
  </w:style>
  <w:style w:type="character" w:customStyle="1" w:styleId="Heading2Char">
    <w:name w:val="Heading 2 Char"/>
    <w:basedOn w:val="DefaultParagraphFont"/>
    <w:link w:val="Heading2"/>
    <w:uiPriority w:val="9"/>
    <w:rsid w:val="003F7404"/>
    <w:rPr>
      <w:rFonts w:ascii="GCF Camingo" w:hAnsi="GCF Camingo"/>
      <w:color w:val="046972"/>
      <w:sz w:val="32"/>
      <w:lang w:val="en-CA"/>
    </w:rPr>
  </w:style>
  <w:style w:type="paragraph" w:customStyle="1" w:styleId="NumberedList">
    <w:name w:val="Numbered List"/>
    <w:basedOn w:val="Normal"/>
    <w:qFormat/>
    <w:rsid w:val="003F7404"/>
    <w:pPr>
      <w:numPr>
        <w:numId w:val="4"/>
      </w:numPr>
      <w:contextualSpacing/>
    </w:pPr>
    <w:rPr>
      <w:bCs w:val="0"/>
    </w:rPr>
  </w:style>
  <w:style w:type="paragraph" w:styleId="Subtitle">
    <w:name w:val="Subtitle"/>
    <w:basedOn w:val="Normal"/>
    <w:next w:val="Normal"/>
    <w:link w:val="SubtitleChar"/>
    <w:uiPriority w:val="11"/>
    <w:qFormat/>
    <w:rsid w:val="003F7404"/>
    <w:rPr>
      <w:b/>
      <w:bCs w:val="0"/>
      <w:color w:val="046972"/>
      <w:spacing w:val="20"/>
    </w:rPr>
  </w:style>
  <w:style w:type="character" w:customStyle="1" w:styleId="SubtitleChar">
    <w:name w:val="Subtitle Char"/>
    <w:basedOn w:val="DefaultParagraphFont"/>
    <w:link w:val="Subtitle"/>
    <w:uiPriority w:val="11"/>
    <w:rsid w:val="003F7404"/>
    <w:rPr>
      <w:rFonts w:ascii="GCF Camingo" w:hAnsi="GCF Camingo"/>
      <w:b/>
      <w:color w:val="046972"/>
      <w:spacing w:val="20"/>
      <w:sz w:val="22"/>
      <w:lang w:val="en-CA"/>
    </w:rPr>
  </w:style>
  <w:style w:type="paragraph" w:styleId="Title">
    <w:name w:val="Title"/>
    <w:basedOn w:val="Normal"/>
    <w:next w:val="Normal"/>
    <w:link w:val="TitleChar"/>
    <w:uiPriority w:val="10"/>
    <w:qFormat/>
    <w:rsid w:val="003F7404"/>
    <w:rPr>
      <w:b/>
      <w:bCs w:val="0"/>
      <w:sz w:val="28"/>
    </w:rPr>
  </w:style>
  <w:style w:type="character" w:customStyle="1" w:styleId="TitleChar">
    <w:name w:val="Title Char"/>
    <w:basedOn w:val="DefaultParagraphFont"/>
    <w:link w:val="Title"/>
    <w:uiPriority w:val="10"/>
    <w:rsid w:val="003F7404"/>
    <w:rPr>
      <w:rFonts w:ascii="GCF Camingo" w:hAnsi="GCF Camingo"/>
      <w:b/>
      <w:sz w:val="28"/>
      <w:lang w:val="en-CA"/>
    </w:rPr>
  </w:style>
  <w:style w:type="paragraph" w:styleId="Header">
    <w:name w:val="header"/>
    <w:basedOn w:val="Normal"/>
    <w:link w:val="HeaderChar"/>
    <w:uiPriority w:val="99"/>
    <w:unhideWhenUsed/>
    <w:rsid w:val="007C0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F6F"/>
    <w:rPr>
      <w:rFonts w:ascii="GCF Camingo" w:hAnsi="GCF Camingo"/>
      <w:bCs/>
      <w:sz w:val="22"/>
      <w:lang w:val="en-CA"/>
    </w:rPr>
  </w:style>
  <w:style w:type="paragraph" w:styleId="Footer">
    <w:name w:val="footer"/>
    <w:basedOn w:val="Normal"/>
    <w:link w:val="FooterChar"/>
    <w:uiPriority w:val="99"/>
    <w:unhideWhenUsed/>
    <w:rsid w:val="007C0F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F6F"/>
    <w:rPr>
      <w:rFonts w:ascii="GCF Camingo" w:hAnsi="GCF Camingo"/>
      <w:bCs/>
      <w:sz w:val="22"/>
      <w:lang w:val="en-CA"/>
    </w:rPr>
  </w:style>
  <w:style w:type="paragraph" w:styleId="BalloonText">
    <w:name w:val="Balloon Text"/>
    <w:basedOn w:val="Normal"/>
    <w:link w:val="BalloonTextChar"/>
    <w:uiPriority w:val="99"/>
    <w:semiHidden/>
    <w:unhideWhenUsed/>
    <w:rsid w:val="007C0F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0F6F"/>
    <w:rPr>
      <w:rFonts w:ascii="Times New Roman" w:hAnsi="Times New Roman" w:cs="Times New Roman"/>
      <w:bCs/>
      <w:sz w:val="18"/>
      <w:szCs w:val="18"/>
      <w:lang w:val="en-CA"/>
    </w:rPr>
  </w:style>
  <w:style w:type="character" w:styleId="PlaceholderText">
    <w:name w:val="Placeholder Text"/>
    <w:basedOn w:val="DefaultParagraphFont"/>
    <w:uiPriority w:val="99"/>
    <w:semiHidden/>
    <w:rsid w:val="00F24194"/>
    <w:rPr>
      <w:color w:val="808080"/>
    </w:rPr>
  </w:style>
  <w:style w:type="character" w:styleId="IntenseReference">
    <w:name w:val="Intense Reference"/>
    <w:basedOn w:val="DefaultParagraphFont"/>
    <w:uiPriority w:val="32"/>
    <w:qFormat/>
    <w:rsid w:val="00F24194"/>
    <w:rPr>
      <w:b/>
      <w:bCs/>
      <w:smallCaps/>
      <w:color w:val="4AA9A7" w:themeColor="accent1"/>
      <w:spacing w:val="5"/>
    </w:rPr>
  </w:style>
  <w:style w:type="table" w:styleId="TableGrid">
    <w:name w:val="Table Grid"/>
    <w:basedOn w:val="TableNormal"/>
    <w:uiPriority w:val="39"/>
    <w:rsid w:val="00F2419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3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78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4D8C68D5974F75AE85861AE36D7254"/>
        <w:category>
          <w:name w:val="General"/>
          <w:gallery w:val="placeholder"/>
        </w:category>
        <w:types>
          <w:type w:val="bbPlcHdr"/>
        </w:types>
        <w:behaviors>
          <w:behavior w:val="content"/>
        </w:behaviors>
        <w:guid w:val="{508DAC27-DCCF-445E-BD55-521392050AAE}"/>
      </w:docPartPr>
      <w:docPartBody>
        <w:p w:rsidR="00C82A8F" w:rsidRDefault="002D2F3A" w:rsidP="002D2F3A">
          <w:pPr>
            <w:pStyle w:val="964D8C68D5974F75AE85861AE36D7254"/>
          </w:pPr>
          <w:r>
            <w:rPr>
              <w:rStyle w:val="PlaceholderText"/>
              <w:rFonts w:ascii="Arial" w:hAnsi="Arial" w:cs="Arial"/>
              <w:sz w:val="20"/>
            </w:rPr>
            <w:t>Select</w:t>
          </w:r>
        </w:p>
      </w:docPartBody>
    </w:docPart>
    <w:docPart>
      <w:docPartPr>
        <w:name w:val="4A025C9C68884338B30D1E710F6D8616"/>
        <w:category>
          <w:name w:val="General"/>
          <w:gallery w:val="placeholder"/>
        </w:category>
        <w:types>
          <w:type w:val="bbPlcHdr"/>
        </w:types>
        <w:behaviors>
          <w:behavior w:val="content"/>
        </w:behaviors>
        <w:guid w:val="{1A36E725-CBE9-4051-A0E6-94637ED548F4}"/>
      </w:docPartPr>
      <w:docPartBody>
        <w:p w:rsidR="00C82A8F" w:rsidRDefault="002D2F3A" w:rsidP="002D2F3A">
          <w:pPr>
            <w:pStyle w:val="4A025C9C68884338B30D1E710F6D8616"/>
          </w:pPr>
          <w:r>
            <w:rPr>
              <w:rStyle w:val="PlaceholderText"/>
              <w:rFonts w:ascii="Arial" w:hAnsi="Arial" w:cs="Arial"/>
              <w:sz w:val="20"/>
            </w:rPr>
            <w:t>Select</w:t>
          </w:r>
        </w:p>
      </w:docPartBody>
    </w:docPart>
    <w:docPart>
      <w:docPartPr>
        <w:name w:val="11759AA51C9648D1A56A859372150BE5"/>
        <w:category>
          <w:name w:val="General"/>
          <w:gallery w:val="placeholder"/>
        </w:category>
        <w:types>
          <w:type w:val="bbPlcHdr"/>
        </w:types>
        <w:behaviors>
          <w:behavior w:val="content"/>
        </w:behaviors>
        <w:guid w:val="{9ACD1F2A-F1E7-416F-B103-459BD74C9EC8}"/>
      </w:docPartPr>
      <w:docPartBody>
        <w:p w:rsidR="00C82A8F" w:rsidRDefault="002D2F3A" w:rsidP="002D2F3A">
          <w:pPr>
            <w:pStyle w:val="11759AA51C9648D1A56A859372150BE5"/>
          </w:pPr>
          <w:r>
            <w:rPr>
              <w:rStyle w:val="PlaceholderText"/>
              <w:rFonts w:ascii="Arial" w:hAnsi="Arial" w:cs="Arial"/>
              <w:sz w:val="20"/>
              <w:szCs w:val="20"/>
            </w:rPr>
            <w:t>Select</w:t>
          </w:r>
        </w:p>
      </w:docPartBody>
    </w:docPart>
    <w:docPart>
      <w:docPartPr>
        <w:name w:val="87653E2890324CE180DE31515BF27E4C"/>
        <w:category>
          <w:name w:val="General"/>
          <w:gallery w:val="placeholder"/>
        </w:category>
        <w:types>
          <w:type w:val="bbPlcHdr"/>
        </w:types>
        <w:behaviors>
          <w:behavior w:val="content"/>
        </w:behaviors>
        <w:guid w:val="{2D2C8928-1342-4FAB-9BDA-4E36E2928CDC}"/>
      </w:docPartPr>
      <w:docPartBody>
        <w:p w:rsidR="00C82A8F" w:rsidRDefault="002D2F3A" w:rsidP="002D2F3A">
          <w:pPr>
            <w:pStyle w:val="87653E2890324CE180DE31515BF27E4C"/>
          </w:pPr>
          <w:r>
            <w:rPr>
              <w:rStyle w:val="PlaceholderText"/>
              <w:rFonts w:ascii="Arial" w:hAnsi="Arial" w:cs="Arial"/>
              <w:sz w:val="20"/>
            </w:rPr>
            <w:t>Select</w:t>
          </w:r>
        </w:p>
      </w:docPartBody>
    </w:docPart>
    <w:docPart>
      <w:docPartPr>
        <w:name w:val="89EE78A3CF9D4D63948A68B66A5ABFFF"/>
        <w:category>
          <w:name w:val="General"/>
          <w:gallery w:val="placeholder"/>
        </w:category>
        <w:types>
          <w:type w:val="bbPlcHdr"/>
        </w:types>
        <w:behaviors>
          <w:behavior w:val="content"/>
        </w:behaviors>
        <w:guid w:val="{D28C85E3-0CD3-4C0D-BECC-97F5E695CA03}"/>
      </w:docPartPr>
      <w:docPartBody>
        <w:p w:rsidR="00C82A8F" w:rsidRDefault="002D2F3A" w:rsidP="002D2F3A">
          <w:pPr>
            <w:pStyle w:val="89EE78A3CF9D4D63948A68B66A5ABFFF"/>
          </w:pPr>
          <w:r>
            <w:rPr>
              <w:rStyle w:val="PlaceholderText"/>
              <w:rFonts w:ascii="Arial" w:hAnsi="Arial" w:cs="Arial"/>
              <w:sz w:val="20"/>
            </w:rPr>
            <w:t>Select</w:t>
          </w:r>
        </w:p>
      </w:docPartBody>
    </w:docPart>
    <w:docPart>
      <w:docPartPr>
        <w:name w:val="ECF8231F96104991BD3B01F8BB2122F5"/>
        <w:category>
          <w:name w:val="General"/>
          <w:gallery w:val="placeholder"/>
        </w:category>
        <w:types>
          <w:type w:val="bbPlcHdr"/>
        </w:types>
        <w:behaviors>
          <w:behavior w:val="content"/>
        </w:behaviors>
        <w:guid w:val="{526039A7-8DCF-4CCE-8647-C4F3BA39D6E5}"/>
      </w:docPartPr>
      <w:docPartBody>
        <w:p w:rsidR="00C82A8F" w:rsidRDefault="002D2F3A" w:rsidP="002D2F3A">
          <w:pPr>
            <w:pStyle w:val="ECF8231F96104991BD3B01F8BB2122F5"/>
          </w:pPr>
          <w:r>
            <w:rPr>
              <w:rStyle w:val="PlaceholderText"/>
              <w:rFonts w:ascii="Arial" w:hAnsi="Arial" w:cs="Arial"/>
              <w:sz w:val="20"/>
              <w:szCs w:val="20"/>
            </w:rPr>
            <w:t>Select</w:t>
          </w:r>
        </w:p>
      </w:docPartBody>
    </w:docPart>
    <w:docPart>
      <w:docPartPr>
        <w:name w:val="670C269953A74CF7BBDAB38EC3B14D99"/>
        <w:category>
          <w:name w:val="General"/>
          <w:gallery w:val="placeholder"/>
        </w:category>
        <w:types>
          <w:type w:val="bbPlcHdr"/>
        </w:types>
        <w:behaviors>
          <w:behavior w:val="content"/>
        </w:behaviors>
        <w:guid w:val="{39F8D3DB-EA23-4167-97E6-0B88EF147039}"/>
      </w:docPartPr>
      <w:docPartBody>
        <w:p w:rsidR="00C82A8F" w:rsidRDefault="002D2F3A" w:rsidP="002D2F3A">
          <w:pPr>
            <w:pStyle w:val="670C269953A74CF7BBDAB38EC3B14D99"/>
          </w:pPr>
          <w:r>
            <w:rPr>
              <w:rStyle w:val="PlaceholderText"/>
              <w:rFonts w:ascii="Arial" w:hAnsi="Arial" w:cs="Arial"/>
              <w:sz w:val="20"/>
            </w:rPr>
            <w:t>Select</w:t>
          </w:r>
        </w:p>
      </w:docPartBody>
    </w:docPart>
    <w:docPart>
      <w:docPartPr>
        <w:name w:val="E4965C5309FF4AC58ABED4C324206F1C"/>
        <w:category>
          <w:name w:val="General"/>
          <w:gallery w:val="placeholder"/>
        </w:category>
        <w:types>
          <w:type w:val="bbPlcHdr"/>
        </w:types>
        <w:behaviors>
          <w:behavior w:val="content"/>
        </w:behaviors>
        <w:guid w:val="{BE0A77AF-41CF-435D-A980-7982A294DAD2}"/>
      </w:docPartPr>
      <w:docPartBody>
        <w:p w:rsidR="00C82A8F" w:rsidRDefault="002D2F3A" w:rsidP="002D2F3A">
          <w:pPr>
            <w:pStyle w:val="E4965C5309FF4AC58ABED4C324206F1C"/>
          </w:pPr>
          <w:r>
            <w:rPr>
              <w:rStyle w:val="PlaceholderText"/>
              <w:rFonts w:ascii="Arial" w:hAnsi="Arial" w:cs="Arial"/>
              <w:sz w:val="20"/>
            </w:rPr>
            <w:t>Select</w:t>
          </w:r>
        </w:p>
      </w:docPartBody>
    </w:docPart>
    <w:docPart>
      <w:docPartPr>
        <w:name w:val="51A0C486809F4EDAAFFE62227AEE6EB1"/>
        <w:category>
          <w:name w:val="General"/>
          <w:gallery w:val="placeholder"/>
        </w:category>
        <w:types>
          <w:type w:val="bbPlcHdr"/>
        </w:types>
        <w:behaviors>
          <w:behavior w:val="content"/>
        </w:behaviors>
        <w:guid w:val="{2382B817-8C01-47AD-A8AB-337A78F8C5F1}"/>
      </w:docPartPr>
      <w:docPartBody>
        <w:p w:rsidR="00C82A8F" w:rsidRDefault="002D2F3A" w:rsidP="002D2F3A">
          <w:pPr>
            <w:pStyle w:val="51A0C486809F4EDAAFFE62227AEE6EB1"/>
          </w:pPr>
          <w:r>
            <w:rPr>
              <w:rStyle w:val="PlaceholderText"/>
              <w:rFonts w:ascii="Arial" w:hAnsi="Arial" w:cs="Arial"/>
              <w:sz w:val="20"/>
              <w:szCs w:val="20"/>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HYPost-Light">
    <w:altName w:val="Batang"/>
    <w:charset w:val="81"/>
    <w:family w:val="roman"/>
    <w:pitch w:val="default"/>
  </w:font>
  <w:font w:name="GCF Camingo">
    <w:altName w:val="Calibri"/>
    <w:panose1 w:val="00000000000000000000"/>
    <w:charset w:val="00"/>
    <w:family w:val="swiss"/>
    <w:notTrueType/>
    <w:pitch w:val="default"/>
    <w:sig w:usb0="00000003" w:usb1="00000000" w:usb2="00000000" w:usb3="00000000" w:csb0="00000001" w:csb1="00000000"/>
  </w:font>
  <w:font w:name="GCF Camingo Light">
    <w:altName w:val="Calibri"/>
    <w:charset w:val="00"/>
    <w:family w:val="swiss"/>
    <w:pitch w:val="variable"/>
    <w:sig w:usb0="A000006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F3A"/>
    <w:rsid w:val="002D2F3A"/>
    <w:rsid w:val="004D07AB"/>
    <w:rsid w:val="007007CC"/>
    <w:rsid w:val="0093004B"/>
    <w:rsid w:val="00C730B4"/>
    <w:rsid w:val="00C82A8F"/>
    <w:rsid w:val="00D1012E"/>
    <w:rsid w:val="00D9629F"/>
    <w:rsid w:val="00E47154"/>
    <w:rsid w:val="00ED33FD"/>
    <w:rsid w:val="00EE27C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2F3A"/>
  </w:style>
  <w:style w:type="paragraph" w:customStyle="1" w:styleId="964D8C68D5974F75AE85861AE36D7254">
    <w:name w:val="964D8C68D5974F75AE85861AE36D7254"/>
    <w:rsid w:val="002D2F3A"/>
  </w:style>
  <w:style w:type="paragraph" w:customStyle="1" w:styleId="4A025C9C68884338B30D1E710F6D8616">
    <w:name w:val="4A025C9C68884338B30D1E710F6D8616"/>
    <w:rsid w:val="002D2F3A"/>
  </w:style>
  <w:style w:type="paragraph" w:customStyle="1" w:styleId="11759AA51C9648D1A56A859372150BE5">
    <w:name w:val="11759AA51C9648D1A56A859372150BE5"/>
    <w:rsid w:val="002D2F3A"/>
  </w:style>
  <w:style w:type="paragraph" w:customStyle="1" w:styleId="87653E2890324CE180DE31515BF27E4C">
    <w:name w:val="87653E2890324CE180DE31515BF27E4C"/>
    <w:rsid w:val="002D2F3A"/>
  </w:style>
  <w:style w:type="paragraph" w:customStyle="1" w:styleId="89EE78A3CF9D4D63948A68B66A5ABFFF">
    <w:name w:val="89EE78A3CF9D4D63948A68B66A5ABFFF"/>
    <w:rsid w:val="002D2F3A"/>
  </w:style>
  <w:style w:type="paragraph" w:customStyle="1" w:styleId="ECF8231F96104991BD3B01F8BB2122F5">
    <w:name w:val="ECF8231F96104991BD3B01F8BB2122F5"/>
    <w:rsid w:val="002D2F3A"/>
  </w:style>
  <w:style w:type="paragraph" w:customStyle="1" w:styleId="670C269953A74CF7BBDAB38EC3B14D99">
    <w:name w:val="670C269953A74CF7BBDAB38EC3B14D99"/>
    <w:rsid w:val="002D2F3A"/>
  </w:style>
  <w:style w:type="paragraph" w:customStyle="1" w:styleId="E4965C5309FF4AC58ABED4C324206F1C">
    <w:name w:val="E4965C5309FF4AC58ABED4C324206F1C"/>
    <w:rsid w:val="002D2F3A"/>
  </w:style>
  <w:style w:type="paragraph" w:customStyle="1" w:styleId="51A0C486809F4EDAAFFE62227AEE6EB1">
    <w:name w:val="51A0C486809F4EDAAFFE62227AEE6EB1"/>
    <w:rsid w:val="002D2F3A"/>
  </w:style>
  <w:style w:type="paragraph" w:customStyle="1" w:styleId="B164A8FE94C14AA784243DF85E31E54B">
    <w:name w:val="B164A8FE94C14AA784243DF85E31E54B"/>
    <w:rsid w:val="002D2F3A"/>
  </w:style>
  <w:style w:type="paragraph" w:customStyle="1" w:styleId="17088E50B8654F78AD1A575C3A18FADE">
    <w:name w:val="17088E50B8654F78AD1A575C3A18FADE"/>
    <w:rsid w:val="002D2F3A"/>
  </w:style>
  <w:style w:type="paragraph" w:customStyle="1" w:styleId="ADA3C4AB5C30495CA2CD6D9E11052DF6">
    <w:name w:val="ADA3C4AB5C30495CA2CD6D9E11052DF6"/>
    <w:rsid w:val="002D2F3A"/>
  </w:style>
  <w:style w:type="paragraph" w:customStyle="1" w:styleId="81BE36F6CCF344DF88F403B56E4065C4">
    <w:name w:val="81BE36F6CCF344DF88F403B56E4065C4"/>
    <w:rsid w:val="002D2F3A"/>
  </w:style>
  <w:style w:type="paragraph" w:customStyle="1" w:styleId="2FD781F51A99491E8A35C8417F3C06FF">
    <w:name w:val="2FD781F51A99491E8A35C8417F3C06FF"/>
    <w:rsid w:val="002D2F3A"/>
  </w:style>
  <w:style w:type="paragraph" w:customStyle="1" w:styleId="8C41D11ACC0C4B0D8D4990A954F36650">
    <w:name w:val="8C41D11ACC0C4B0D8D4990A954F36650"/>
    <w:rsid w:val="002D2F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1">
      <a:dk1>
        <a:srgbClr val="000000"/>
      </a:dk1>
      <a:lt1>
        <a:srgbClr val="FFFFFF"/>
      </a:lt1>
      <a:dk2>
        <a:srgbClr val="24634F"/>
      </a:dk2>
      <a:lt2>
        <a:srgbClr val="DFDFDF"/>
      </a:lt2>
      <a:accent1>
        <a:srgbClr val="4AA9A7"/>
      </a:accent1>
      <a:accent2>
        <a:srgbClr val="257281"/>
      </a:accent2>
      <a:accent3>
        <a:srgbClr val="346B4C"/>
      </a:accent3>
      <a:accent4>
        <a:srgbClr val="427B3D"/>
      </a:accent4>
      <a:accent5>
        <a:srgbClr val="6E9952"/>
      </a:accent5>
      <a:accent6>
        <a:srgbClr val="8BB85C"/>
      </a:accent6>
      <a:hlink>
        <a:srgbClr val="006D7E"/>
      </a:hlink>
      <a:folHlink>
        <a:srgbClr val="095B6B"/>
      </a:folHlink>
    </a:clrScheme>
    <a:fontScheme name="Corbel">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54C6A11B68D24095208F4A1BB3DCF2" ma:contentTypeVersion="8" ma:contentTypeDescription="Create a new document." ma:contentTypeScope="" ma:versionID="8b082b371986c5a844797779988810ea">
  <xsd:schema xmlns:xsd="http://www.w3.org/2001/XMLSchema" xmlns:xs="http://www.w3.org/2001/XMLSchema" xmlns:p="http://schemas.microsoft.com/office/2006/metadata/properties" xmlns:ns2="36a0b1e4-3e96-43d8-a065-9f764b3b42c2" xmlns:ns3="713b9a0d-ada1-433b-95e8-248bfb59b769" targetNamespace="http://schemas.microsoft.com/office/2006/metadata/properties" ma:root="true" ma:fieldsID="bbf4da49e9d730d92ce4b461b2ede585" ns2:_="" ns3:_="">
    <xsd:import namespace="36a0b1e4-3e96-43d8-a065-9f764b3b42c2"/>
    <xsd:import namespace="713b9a0d-ada1-433b-95e8-248bfb59b7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0b1e4-3e96-43d8-a065-9f764b3b4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3b9a0d-ada1-433b-95e8-248bfb59b7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23468-FBD1-42E1-83F1-6ACC889CD997}">
  <ds:schemaRefs>
    <ds:schemaRef ds:uri="http://schemas.microsoft.com/sharepoint/v3/contenttype/forms"/>
  </ds:schemaRefs>
</ds:datastoreItem>
</file>

<file path=customXml/itemProps2.xml><?xml version="1.0" encoding="utf-8"?>
<ds:datastoreItem xmlns:ds="http://schemas.openxmlformats.org/officeDocument/2006/customXml" ds:itemID="{58536C76-5538-463B-B98D-0B208E1200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DD8164-7972-45F0-9F58-C7DBBE7B4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a0b1e4-3e96-43d8-a065-9f764b3b42c2"/>
    <ds:schemaRef ds:uri="713b9a0d-ada1-433b-95e8-248bfb59b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9C322F-B327-4438-BC9F-DC1091DF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Luis Salazar</dc:creator>
  <cp:lastModifiedBy>Peeaye</cp:lastModifiedBy>
  <cp:revision>2</cp:revision>
  <dcterms:created xsi:type="dcterms:W3CDTF">2019-08-30T04:27:00Z</dcterms:created>
  <dcterms:modified xsi:type="dcterms:W3CDTF">2019-08-30T04:27:00Z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0x0101005954C6A11B68D24095208F4A1BB3DCF2</vt:lpwstr>
  </property>
</Properties>
</file>