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DA578" w14:textId="77777777" w:rsidR="002E0F2D" w:rsidRPr="00710694" w:rsidRDefault="002E0F2D" w:rsidP="002E0F2D">
      <w:pPr>
        <w:keepNext/>
        <w:keepLines/>
        <w:numPr>
          <w:ilvl w:val="1"/>
          <w:numId w:val="0"/>
        </w:numPr>
        <w:spacing w:after="0" w:line="240" w:lineRule="auto"/>
        <w:ind w:left="576" w:hanging="576"/>
        <w:contextualSpacing/>
        <w:jc w:val="both"/>
        <w:outlineLvl w:val="1"/>
        <w:rPr>
          <w:rFonts w:ascii="Arial" w:eastAsiaTheme="majorEastAsia" w:hAnsi="Arial" w:cs="Arial"/>
          <w:b/>
          <w:bCs/>
          <w:iCs/>
          <w:sz w:val="28"/>
          <w:szCs w:val="28"/>
          <w:lang w:val="en-GB"/>
        </w:rPr>
      </w:pPr>
      <w:bookmarkStart w:id="0" w:name="_Toc11266648"/>
      <w:r w:rsidRPr="00710694">
        <w:rPr>
          <w:rFonts w:ascii="Arial" w:eastAsiaTheme="majorEastAsia" w:hAnsi="Arial" w:cs="Arial"/>
          <w:b/>
          <w:bCs/>
          <w:iCs/>
          <w:sz w:val="28"/>
          <w:szCs w:val="28"/>
          <w:lang w:val="en-GB"/>
        </w:rPr>
        <w:t>Annex 2d. Project timelines</w:t>
      </w:r>
      <w:bookmarkEnd w:id="0"/>
      <w:r w:rsidRPr="00710694">
        <w:rPr>
          <w:rFonts w:ascii="Arial" w:eastAsiaTheme="majorEastAsia" w:hAnsi="Arial" w:cs="Arial"/>
          <w:b/>
          <w:bCs/>
          <w:iCs/>
          <w:sz w:val="28"/>
          <w:szCs w:val="28"/>
          <w:lang w:val="en-GB"/>
        </w:rPr>
        <w:t xml:space="preserve"> </w:t>
      </w:r>
    </w:p>
    <w:p w14:paraId="79F1BD10" w14:textId="1CE89503" w:rsidR="002E0F2D" w:rsidRDefault="002E0F2D" w:rsidP="002E0F2D">
      <w:pPr>
        <w:jc w:val="both"/>
        <w:rPr>
          <w:rFonts w:ascii="Arial" w:hAnsi="Arial"/>
          <w:sz w:val="20"/>
          <w:lang w:val="en-GB"/>
        </w:rPr>
      </w:pPr>
    </w:p>
    <w:p w14:paraId="21A95F3F" w14:textId="56027FD5" w:rsidR="00710694" w:rsidRPr="002E0F2D" w:rsidRDefault="00710694" w:rsidP="002E0F2D">
      <w:pPr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>Table 1. Project timelines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4"/>
        <w:gridCol w:w="493"/>
        <w:gridCol w:w="493"/>
        <w:gridCol w:w="493"/>
        <w:gridCol w:w="493"/>
        <w:gridCol w:w="493"/>
        <w:gridCol w:w="562"/>
        <w:gridCol w:w="493"/>
        <w:gridCol w:w="493"/>
        <w:gridCol w:w="493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2E0F2D" w:rsidRPr="002E0F2D" w14:paraId="53C0751C" w14:textId="77777777" w:rsidTr="00454992">
        <w:trPr>
          <w:trHeight w:val="454"/>
          <w:tblHeader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49EF1229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bC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vAlign w:val="center"/>
          </w:tcPr>
          <w:p w14:paraId="739898C4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</w:t>
            </w:r>
          </w:p>
        </w:tc>
        <w:tc>
          <w:tcPr>
            <w:tcW w:w="190" w:type="pct"/>
            <w:vAlign w:val="center"/>
          </w:tcPr>
          <w:p w14:paraId="40298A4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Q2</w:t>
            </w:r>
          </w:p>
        </w:tc>
        <w:tc>
          <w:tcPr>
            <w:tcW w:w="190" w:type="pct"/>
            <w:vAlign w:val="center"/>
          </w:tcPr>
          <w:p w14:paraId="14AB3917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Q3</w:t>
            </w:r>
          </w:p>
        </w:tc>
        <w:tc>
          <w:tcPr>
            <w:tcW w:w="190" w:type="pct"/>
            <w:tcBorders>
              <w:right w:val="single" w:sz="12" w:space="0" w:color="auto"/>
            </w:tcBorders>
            <w:vAlign w:val="center"/>
          </w:tcPr>
          <w:p w14:paraId="07B9D2A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Q4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vAlign w:val="center"/>
          </w:tcPr>
          <w:p w14:paraId="7ED39D25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Q5</w:t>
            </w:r>
          </w:p>
        </w:tc>
        <w:tc>
          <w:tcPr>
            <w:tcW w:w="216" w:type="pct"/>
            <w:vAlign w:val="center"/>
          </w:tcPr>
          <w:p w14:paraId="17408908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Q6</w:t>
            </w:r>
          </w:p>
        </w:tc>
        <w:tc>
          <w:tcPr>
            <w:tcW w:w="191" w:type="pct"/>
            <w:vAlign w:val="center"/>
          </w:tcPr>
          <w:p w14:paraId="21D5C3A9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Q7</w:t>
            </w:r>
          </w:p>
        </w:tc>
        <w:tc>
          <w:tcPr>
            <w:tcW w:w="190" w:type="pct"/>
            <w:tcBorders>
              <w:right w:val="single" w:sz="12" w:space="0" w:color="auto"/>
            </w:tcBorders>
            <w:vAlign w:val="center"/>
          </w:tcPr>
          <w:p w14:paraId="20BFF660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Q8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vAlign w:val="center"/>
          </w:tcPr>
          <w:p w14:paraId="7F5B7B64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Q9</w:t>
            </w:r>
          </w:p>
        </w:tc>
        <w:tc>
          <w:tcPr>
            <w:tcW w:w="236" w:type="pct"/>
            <w:vAlign w:val="center"/>
          </w:tcPr>
          <w:p w14:paraId="7399A635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Q10</w:t>
            </w:r>
          </w:p>
        </w:tc>
        <w:tc>
          <w:tcPr>
            <w:tcW w:w="236" w:type="pct"/>
            <w:vAlign w:val="center"/>
          </w:tcPr>
          <w:p w14:paraId="688A3B42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Q11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1A10447F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Q12</w:t>
            </w: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7D2076B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Q13</w:t>
            </w:r>
          </w:p>
        </w:tc>
        <w:tc>
          <w:tcPr>
            <w:tcW w:w="236" w:type="pct"/>
            <w:vAlign w:val="center"/>
          </w:tcPr>
          <w:p w14:paraId="6177BF6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Q14</w:t>
            </w:r>
          </w:p>
        </w:tc>
        <w:tc>
          <w:tcPr>
            <w:tcW w:w="236" w:type="pct"/>
            <w:vAlign w:val="center"/>
          </w:tcPr>
          <w:p w14:paraId="49F763D5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Q15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32BDB4CD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Q16</w:t>
            </w: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32CDEED2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Q17</w:t>
            </w:r>
          </w:p>
        </w:tc>
        <w:tc>
          <w:tcPr>
            <w:tcW w:w="236" w:type="pct"/>
            <w:vAlign w:val="center"/>
          </w:tcPr>
          <w:p w14:paraId="214FB9A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Q18</w:t>
            </w:r>
          </w:p>
        </w:tc>
        <w:tc>
          <w:tcPr>
            <w:tcW w:w="236" w:type="pct"/>
            <w:vAlign w:val="center"/>
          </w:tcPr>
          <w:p w14:paraId="0A92A4A0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Q19</w:t>
            </w: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36C236E3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b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  <w:t>Q20</w:t>
            </w:r>
          </w:p>
        </w:tc>
      </w:tr>
      <w:tr w:rsidR="00921776" w:rsidRPr="002E0F2D" w14:paraId="7F9D2F39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599A6D" w14:textId="2A658B19" w:rsidR="002E0F2D" w:rsidRPr="002E0F2D" w:rsidRDefault="0017359A" w:rsidP="002002A2">
            <w:pPr>
              <w:spacing w:after="0" w:line="240" w:lineRule="auto"/>
              <w:rPr>
                <w:rFonts w:eastAsiaTheme="minorEastAsia" w:cs="Arial"/>
                <w:bCs/>
                <w:smallCaps/>
                <w:color w:val="4472C4" w:themeColor="accent1"/>
                <w:spacing w:val="5"/>
                <w:sz w:val="20"/>
                <w:szCs w:val="20"/>
                <w:lang w:eastAsia="ko-KR"/>
              </w:rPr>
            </w:pPr>
            <w:r w:rsidRPr="0017359A">
              <w:rPr>
                <w:rFonts w:ascii="Arial" w:eastAsiaTheme="minorEastAsia" w:hAnsi="Arial" w:cs="Arial"/>
                <w:b/>
                <w:sz w:val="20"/>
                <w:szCs w:val="20"/>
                <w:lang w:eastAsia="ko-KR"/>
              </w:rPr>
              <w:t>Component 1. Technical and institutional capacity building to plan, design, implement and maintain integrated urban Ecosystems-based Adaptation (EbA) interventions for the reduction of climate change-induced flooding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86069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39B885A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76EC68F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833A3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5C7D2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1E3B58E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65CF68A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EF498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E49EF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BB3BBF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593F59E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681AC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D9134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4C628F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11D99B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9DE39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31960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C54CFB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CB1D5D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6610B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921776" w:rsidRPr="002E0F2D" w14:paraId="400B3754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29949E" w14:textId="5CD00E07" w:rsidR="002E0F2D" w:rsidRPr="002E0F2D" w:rsidRDefault="002E0F2D" w:rsidP="002002A2">
            <w:pPr>
              <w:spacing w:after="0" w:line="240" w:lineRule="auto"/>
              <w:rPr>
                <w:rFonts w:ascii="Arial" w:eastAsiaTheme="minorEastAsia" w:hAnsi="Arial" w:cs="Arial"/>
                <w:i/>
                <w:sz w:val="20"/>
                <w:szCs w:val="20"/>
                <w:lang w:eastAsia="ko-KR"/>
              </w:rPr>
            </w:pPr>
            <w:r w:rsidRPr="002E0F2D">
              <w:rPr>
                <w:rFonts w:ascii="Arial" w:eastAsiaTheme="minorEastAsia" w:hAnsi="Arial" w:cs="Arial"/>
                <w:i/>
                <w:sz w:val="20"/>
                <w:szCs w:val="20"/>
                <w:lang w:eastAsia="ko-KR"/>
              </w:rPr>
              <w:t xml:space="preserve">Output 1.1 </w:t>
            </w:r>
            <w:r w:rsidR="000E462A" w:rsidRPr="000E462A">
              <w:rPr>
                <w:rFonts w:ascii="Arial" w:eastAsiaTheme="minorEastAsia" w:hAnsi="Arial" w:cs="Arial"/>
                <w:i/>
                <w:sz w:val="20"/>
                <w:szCs w:val="20"/>
                <w:lang w:eastAsia="ko-KR"/>
              </w:rPr>
              <w:t xml:space="preserve">Strengthening of institutional capacity for integrated flood risk management and implementation of urban ecosystems-based </w:t>
            </w:r>
            <w:r w:rsidR="000E462A" w:rsidRPr="000E462A">
              <w:rPr>
                <w:rFonts w:ascii="Arial" w:eastAsiaTheme="minorEastAsia" w:hAnsi="Arial" w:cs="Arial"/>
                <w:i/>
                <w:sz w:val="20"/>
                <w:szCs w:val="20"/>
                <w:lang w:eastAsia="ko-KR"/>
              </w:rPr>
              <w:lastRenderedPageBreak/>
              <w:t>adaptation and males and females with increased awareness of climate threats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37556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4FD5233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3EB5EA0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E0B71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DD847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532F942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6353B4F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518FC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05229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90D43F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CF5224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31364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FBB05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5FA8A0B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32A85C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5B732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5D275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CBAE06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8410C7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89158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921776" w:rsidRPr="002E0F2D" w14:paraId="3E4A6CFF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09566B35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1.1.1 Build the capacity of national and local representatives for using urban EbA to manage climate change-induced flooding.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5B93F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7B49328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4224CBF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B1E26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47662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7D27C79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7A21578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26D3B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5FEC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D5D1C8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81B110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69DC3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310DA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5E6A9C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D0CCBE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8349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074C1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9FE0AA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1EAB64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5EA77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DB2550" w:rsidRPr="002E0F2D" w14:paraId="386AA203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5F3A8CBA" w14:textId="5C4EE991" w:rsidR="00DB2550" w:rsidRPr="00E9181A" w:rsidRDefault="00DB2550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4333" w:type="pct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11DF23BC" w14:textId="26015301" w:rsidR="00DB2550" w:rsidRPr="00E9181A" w:rsidRDefault="00416AEA" w:rsidP="00E9181A">
            <w:pPr>
              <w:spacing w:after="0"/>
              <w:rPr>
                <w:rFonts w:ascii="Arial" w:hAnsi="Arial" w:cs="Arial"/>
                <w:spacing w:val="5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Capacity building </w:t>
            </w:r>
            <w:r w:rsidR="00647A12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of national and local representatives will continue for the duration of the project and </w:t>
            </w:r>
            <w:r w:rsidR="00D866F3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end in Q20.</w:t>
            </w:r>
          </w:p>
        </w:tc>
      </w:tr>
      <w:tr w:rsidR="00921776" w:rsidRPr="002E0F2D" w14:paraId="06707485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48444F66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1.1.2 Establish a national knowledge hub that produces and disseminates information on urban EbA interventions locally, regionally and internationally.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A6D0F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3DAACC6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5C7041E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9CA3B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408B4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6C2CE62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1187716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6CF5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1D22A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5AC7700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020C29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D4CCE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C4A0E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35E0E7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A5CF24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C8210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A7039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440DA9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70DE76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736ED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454992" w:rsidRPr="002E0F2D" w14:paraId="7AAC8DCA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76F2D660" w14:textId="2F89BEB4" w:rsidR="006D6C17" w:rsidRPr="00E9181A" w:rsidRDefault="006D6C17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4333" w:type="pct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77BBCCCB" w14:textId="6495B150" w:rsidR="006D6C17" w:rsidRPr="00E9181A" w:rsidRDefault="00AA3B24" w:rsidP="00E9181A">
            <w:pPr>
              <w:spacing w:after="0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A national knowledge hub will be established </w:t>
            </w:r>
            <w:r w:rsidR="001203B7"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and continue to operate </w:t>
            </w:r>
            <w:r w:rsidR="00FB53E1"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beyond the </w:t>
            </w:r>
            <w:r w:rsidR="001203B7"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project lifetime </w:t>
            </w:r>
          </w:p>
        </w:tc>
      </w:tr>
      <w:tr w:rsidR="00921776" w:rsidRPr="002E0F2D" w14:paraId="1D1C0D13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2332C532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1.1.3 Conduct awareness-raising campaigns in each of the four target cities for communities and the private sector on urban EbA and flood management.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C3CF7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0BFA692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20A02F0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389B5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AC789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0D9A980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7EC77C0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EE859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88CD2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D3300F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8B925F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F1BEC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0E0E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830435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0E93B65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73D1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7F5D2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A251A5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C70B43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BF047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AD729C" w:rsidRPr="002E0F2D" w14:paraId="0D0F8679" w14:textId="77777777" w:rsidTr="00E9181A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2D9A667B" w14:textId="443B8F41" w:rsidR="00AD729C" w:rsidRPr="00E9181A" w:rsidRDefault="00AD729C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4333" w:type="pct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2675B78E" w14:textId="1B07E1F7" w:rsidR="00AD729C" w:rsidRPr="00E9181A" w:rsidRDefault="00AD729C" w:rsidP="00E9181A">
            <w:pPr>
              <w:spacing w:after="0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Awareness raising campaigns will be designed </w:t>
            </w:r>
            <w:r w:rsidR="00A9314A"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by Q4 and awareness raising will continue for the duration of the project lifetime, ending in Q20.</w:t>
            </w:r>
          </w:p>
        </w:tc>
      </w:tr>
      <w:tr w:rsidR="00921776" w:rsidRPr="002E0F2D" w14:paraId="54098D8D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2E4753" w14:textId="2C663C0A" w:rsidR="002E0F2D" w:rsidRPr="002E0F2D" w:rsidRDefault="00A0181A" w:rsidP="00E9181A">
            <w:pPr>
              <w:spacing w:after="0"/>
              <w:rPr>
                <w:rFonts w:ascii="Arial" w:hAnsi="Arial" w:cs="Arial"/>
                <w:bCs/>
                <w:i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A0181A">
              <w:rPr>
                <w:rFonts w:ascii="Arial" w:hAnsi="Arial" w:cs="Arial"/>
                <w:i/>
                <w:sz w:val="20"/>
                <w:szCs w:val="20"/>
                <w:lang w:val="en-GB"/>
              </w:rPr>
              <w:t>Output 1.2 Integrated Climate-resilient Flood Management Strategies and urban EbA guidelines developed for Vientiane, Paksan, Savannakhet and Pakse, and effective Flood Risk Management Committees as coordination mechanisms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73288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16E7643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45FB83C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AF07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E8AFA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76A81F2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2AC08B9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B8DB8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AAD8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F70B61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2066F3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E5695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064E8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C00301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E41DD6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D7028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8977B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2C1C26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E4BC1F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5DAED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2E0F2D" w:rsidRPr="002E0F2D" w14:paraId="4185C2DC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0D884872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1.2.1 Conduct economic valuation of urban ecosystem services.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4FF84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6F5BFB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CC7F71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5E142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36FE5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3AC947D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56D51DC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E52B7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C281C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2FA671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B50EFF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7B1282B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102D71D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3A75D49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5568C21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2EEB29D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0EB151D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439D36B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0148D84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629D244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DB2550" w:rsidRPr="002E0F2D" w14:paraId="48A8B03A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6EB6CAE1" w14:textId="0A59BFBE" w:rsidR="00DB2550" w:rsidRPr="00E9181A" w:rsidRDefault="00DB2550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2212" w:type="pct"/>
            <w:gridSpan w:val="11"/>
            <w:tcBorders>
              <w:left w:val="single" w:sz="12" w:space="0" w:color="auto"/>
            </w:tcBorders>
            <w:shd w:val="clear" w:color="auto" w:fill="B4C6E7" w:themeFill="accent1" w:themeFillTint="66"/>
            <w:vAlign w:val="center"/>
          </w:tcPr>
          <w:p w14:paraId="5DED23D5" w14:textId="71AE0194" w:rsidR="00DB2550" w:rsidRPr="00E9181A" w:rsidRDefault="00454992" w:rsidP="00521842">
            <w:pPr>
              <w:spacing w:after="0"/>
              <w:jc w:val="center"/>
              <w:rPr>
                <w:rFonts w:ascii="Arial" w:hAnsi="Arial" w:cs="Arial"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Economic </w:t>
            </w:r>
            <w:r w:rsidRPr="00AC4E80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valuation</w:t>
            </w: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 of ecosystems </w:t>
            </w:r>
            <w:r w:rsidRPr="00AC4E80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complete</w:t>
            </w:r>
            <w:r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d</w:t>
            </w: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 by Q11</w:t>
            </w:r>
          </w:p>
        </w:tc>
        <w:tc>
          <w:tcPr>
            <w:tcW w:w="2121" w:type="pct"/>
            <w:gridSpan w:val="9"/>
            <w:tcBorders>
              <w:right w:val="single" w:sz="12" w:space="0" w:color="auto"/>
            </w:tcBorders>
            <w:vAlign w:val="center"/>
          </w:tcPr>
          <w:p w14:paraId="530D84B3" w14:textId="77777777" w:rsidR="00DB2550" w:rsidRPr="002E0F2D" w:rsidRDefault="00DB2550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EF42D5" w:rsidRPr="002E0F2D" w14:paraId="0145C908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43915C05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1.2.2 Conduct hydrological assessments and climate risk assessments to inform climate change adaptation solutions for flood management in Vientiane, Paksan, Savannakhet and Pakse.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840D7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7704C24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0C9D0A6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A52D0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BDE31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55BE29B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7B5275F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vAlign w:val="center"/>
          </w:tcPr>
          <w:p w14:paraId="2585736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vAlign w:val="center"/>
          </w:tcPr>
          <w:p w14:paraId="0BAA1B0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17DAB94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3D01957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00CF6EB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30D81C3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6DBEE50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4F65700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0188D35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79201C3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5FE7A75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550B00D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222BB18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DB2550" w:rsidRPr="002E0F2D" w14:paraId="1371EA3F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10A3035F" w14:textId="24826096" w:rsidR="00DB2550" w:rsidRPr="00E9181A" w:rsidRDefault="00DB2550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1359" w:type="pct"/>
            <w:gridSpan w:val="7"/>
            <w:tcBorders>
              <w:left w:val="single" w:sz="12" w:space="0" w:color="auto"/>
            </w:tcBorders>
            <w:shd w:val="clear" w:color="auto" w:fill="B4C6E7" w:themeFill="accent1" w:themeFillTint="66"/>
            <w:vAlign w:val="center"/>
          </w:tcPr>
          <w:p w14:paraId="48AA6A2B" w14:textId="371B7B47" w:rsidR="00DB2550" w:rsidRPr="00E9181A" w:rsidRDefault="00454992" w:rsidP="00521842">
            <w:pPr>
              <w:spacing w:after="0"/>
              <w:jc w:val="center"/>
              <w:rPr>
                <w:rFonts w:ascii="Arial" w:hAnsi="Arial" w:cs="Arial"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Hydrological </w:t>
            </w:r>
            <w:r w:rsidR="007F6C21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and climate risk </w:t>
            </w: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assessments completed by Q7</w:t>
            </w:r>
          </w:p>
        </w:tc>
        <w:tc>
          <w:tcPr>
            <w:tcW w:w="2974" w:type="pct"/>
            <w:gridSpan w:val="13"/>
            <w:tcBorders>
              <w:right w:val="single" w:sz="12" w:space="0" w:color="auto"/>
            </w:tcBorders>
            <w:vAlign w:val="center"/>
          </w:tcPr>
          <w:p w14:paraId="4B90F774" w14:textId="77777777" w:rsidR="00DB2550" w:rsidRPr="002E0F2D" w:rsidRDefault="00DB2550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921776" w:rsidRPr="002E0F2D" w14:paraId="2150E0EB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6D3DF499" w14:textId="691A192E" w:rsidR="002E0F2D" w:rsidRPr="002E0F2D" w:rsidRDefault="00FD52A0" w:rsidP="00E9181A">
            <w:pPr>
              <w:spacing w:after="0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FD52A0">
              <w:rPr>
                <w:rFonts w:ascii="Arial" w:hAnsi="Arial" w:cs="Arial"/>
                <w:sz w:val="20"/>
                <w:szCs w:val="20"/>
                <w:lang w:val="en-GB"/>
              </w:rPr>
              <w:t>Activity 1.2.3 Develop the ICFMS and mainstream climate change and urban EbA into relevant policies, guidelines and plans.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DD705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62CA2F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975797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C25F0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C3F58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31AFAE4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3BBE09B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87EAE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4C757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94246B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EA0C70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FF655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E00E6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696588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00CFAA63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C83C02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B2DA5D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55700B95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6793F4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7C583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454992" w:rsidRPr="002E0F2D" w14:paraId="53E135D1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090084F6" w14:textId="46DAFB50" w:rsidR="006D6C17" w:rsidRPr="00E9181A" w:rsidRDefault="006D6C17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4333" w:type="pct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57618968" w14:textId="563177CF" w:rsidR="006D6C17" w:rsidRPr="00E9181A" w:rsidRDefault="009666AE" w:rsidP="00E9181A">
            <w:pPr>
              <w:spacing w:after="0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ICFMS</w:t>
            </w:r>
            <w:r w:rsidR="003840C9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 for each target city</w:t>
            </w:r>
            <w:r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 developed</w:t>
            </w:r>
            <w:r w:rsidR="004E7E6F"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 by Q20</w:t>
            </w:r>
          </w:p>
        </w:tc>
      </w:tr>
      <w:tr w:rsidR="00921776" w:rsidRPr="002E0F2D" w14:paraId="5765D22E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36D14DEB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1.2.4 Develop national urban EbA guidelines for Laos.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A7133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22987BC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4ED1122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B236F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F4531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18236DC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2236FA0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23BC9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07782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59983A1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3FF975B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260D3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2ED64DC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6E73823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60587D62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3DCEF1FE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47266B80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27F6D941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3F95E9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AEA7B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ED09DB" w:rsidRPr="002E0F2D" w14:paraId="4D2BCE13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6C94E158" w14:textId="29F5B4B4" w:rsidR="00ED09DB" w:rsidRPr="00E9181A" w:rsidRDefault="00ED09DB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1550" w:type="pct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0ED843E8" w14:textId="002D1DC2" w:rsidR="00ED09DB" w:rsidRPr="00E9181A" w:rsidRDefault="00ED09DB" w:rsidP="00E9181A">
            <w:pPr>
              <w:spacing w:after="0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National urban EbA guidelines developed by Q8</w:t>
            </w:r>
          </w:p>
        </w:tc>
        <w:tc>
          <w:tcPr>
            <w:tcW w:w="2783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CE435" w14:textId="77777777" w:rsidR="00ED09DB" w:rsidRPr="002E0F2D" w:rsidRDefault="00ED09DB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921776" w:rsidRPr="002E0F2D" w14:paraId="044EF0E4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783D045A" w14:textId="78569CF7" w:rsidR="002E0F2D" w:rsidRPr="002E0F2D" w:rsidRDefault="00B841E8" w:rsidP="00E9181A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841E8">
              <w:rPr>
                <w:rFonts w:ascii="Arial" w:hAnsi="Arial" w:cs="Arial"/>
                <w:b/>
                <w:sz w:val="20"/>
                <w:szCs w:val="20"/>
                <w:lang w:val="en-GB"/>
              </w:rPr>
              <w:t>Component 2.  Rehabilitation and protection of ecosystem in response to climate variability and change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DCE22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4FDC32D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4D97C2B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16BBE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34692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6EB4141A" w14:textId="334E7A03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0D74161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58E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DE987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58CCAB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549265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FE3D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E496F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580056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B5C167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D58E3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BECC4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07AF548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C4B64C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6567E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921776" w:rsidRPr="002E0F2D" w14:paraId="5265DDA7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637C1F9C" w14:textId="2DD0A55F" w:rsidR="002E0F2D" w:rsidRPr="002E0F2D" w:rsidRDefault="002E0F2D" w:rsidP="00E9181A">
            <w:pPr>
              <w:spacing w:after="0"/>
              <w:rPr>
                <w:rFonts w:ascii="Arial" w:hAnsi="Arial" w:cs="Arial"/>
                <w:bCs/>
                <w:i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Output 2.1 </w:t>
            </w:r>
            <w:r w:rsidR="00CA2DD4" w:rsidRPr="00CA2DD4">
              <w:rPr>
                <w:rFonts w:ascii="Arial" w:hAnsi="Arial" w:cs="Arial"/>
                <w:i/>
                <w:sz w:val="20"/>
                <w:szCs w:val="20"/>
                <w:lang w:val="en-GB"/>
              </w:rPr>
              <w:t>Area of wetland restored  contributing to flood reduction and sustainable management of the Nong Peung wetland in Paksan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D59A2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3C86EAD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1EECD1F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FB49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00DA9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54CF319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2BAF54F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5C388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F1DCA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5ABAAD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5C5179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2641B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3BEC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55A9D19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ED9B79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65D94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4C569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AA2159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7228FE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F67EA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921776" w:rsidRPr="002E0F2D" w14:paraId="1BDD1405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28F53BCB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2.1.1 Develop a wetland management plan for Nong Peung wetland in Paksan.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303925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1B120B4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1E470C9E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BBC5DE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A29F88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55CEDBA1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vAlign w:val="center"/>
          </w:tcPr>
          <w:p w14:paraId="7BCC844E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vAlign w:val="center"/>
          </w:tcPr>
          <w:p w14:paraId="6FFC95D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vAlign w:val="center"/>
          </w:tcPr>
          <w:p w14:paraId="480DAD3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FBB6C9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64422450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5877FF22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0E838EAD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80535B9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2AEAE0DC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0FC12BE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A19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2C4A5282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3A4C1C98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F1D09F" w14:textId="77777777" w:rsidR="002E0F2D" w:rsidRPr="002E0F2D" w:rsidRDefault="002E0F2D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D09DB" w:rsidRPr="002E0F2D" w14:paraId="75927517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404D3A6C" w14:textId="32BCA27E" w:rsidR="00ED09DB" w:rsidRPr="00E9181A" w:rsidRDefault="00ED09DB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1168" w:type="pct"/>
            <w:gridSpan w:val="6"/>
            <w:tcBorders>
              <w:left w:val="single" w:sz="12" w:space="0" w:color="auto"/>
            </w:tcBorders>
            <w:shd w:val="clear" w:color="auto" w:fill="B4C6E7" w:themeFill="accent1" w:themeFillTint="66"/>
            <w:vAlign w:val="center"/>
          </w:tcPr>
          <w:p w14:paraId="3F06BCA5" w14:textId="631A2B32" w:rsidR="00ED09DB" w:rsidRPr="002E0F2D" w:rsidRDefault="00ED09DB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Wetland management plan developed by Q6</w:t>
            </w:r>
          </w:p>
        </w:tc>
        <w:tc>
          <w:tcPr>
            <w:tcW w:w="381" w:type="pct"/>
            <w:gridSpan w:val="2"/>
            <w:tcBorders>
              <w:right w:val="single" w:sz="12" w:space="0" w:color="auto"/>
            </w:tcBorders>
            <w:vAlign w:val="center"/>
          </w:tcPr>
          <w:p w14:paraId="440C6C17" w14:textId="77777777" w:rsidR="00ED09DB" w:rsidRPr="002E0F2D" w:rsidRDefault="00ED09DB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783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4670EF20" w14:textId="3864E7E2" w:rsidR="00ED09DB" w:rsidRPr="002E0F2D" w:rsidRDefault="00ED09DB" w:rsidP="002E0F2D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Wetland management plan updated in Q10, Q14, Q17 and Q20 based on monitoring </w:t>
            </w:r>
            <w:r w:rsidR="00EC045F">
              <w:rPr>
                <w:rFonts w:ascii="Arial" w:hAnsi="Arial" w:cs="Arial"/>
                <w:sz w:val="20"/>
                <w:szCs w:val="20"/>
                <w:lang w:val="en-GB"/>
              </w:rPr>
              <w:t>findings</w:t>
            </w:r>
          </w:p>
        </w:tc>
      </w:tr>
      <w:tr w:rsidR="00921776" w:rsidRPr="002E0F2D" w14:paraId="4E9D2DB3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0B55B666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2.1.2 Rehabilitate the Nong Peung wetland.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430B7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vAlign w:val="center"/>
          </w:tcPr>
          <w:p w14:paraId="111BDF1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vAlign w:val="center"/>
          </w:tcPr>
          <w:p w14:paraId="7549A5B4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vAlign w:val="center"/>
          </w:tcPr>
          <w:p w14:paraId="2566E75F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C70073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28692CEC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65ED17FF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BE8FA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9A5A87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C8FCAD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365F6E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BE7A86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6F48C2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574731C3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14CE645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2ADC80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A08DF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2131BD7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21FF639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35D0EE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5D5796" w:rsidRPr="002E0F2D" w14:paraId="524E88B1" w14:textId="77777777" w:rsidTr="00E9181A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5BE95D51" w14:textId="6D19C8CF" w:rsidR="005D5796" w:rsidRPr="00E9181A" w:rsidRDefault="005D5796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4333" w:type="pct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1F992C8B" w14:textId="0AEA105D" w:rsidR="005D5796" w:rsidRPr="00E9181A" w:rsidRDefault="00EC045F" w:rsidP="00E9181A">
            <w:pPr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Target </w:t>
            </w:r>
            <w:r w:rsidR="00CF3ADD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area </w:t>
            </w:r>
            <w:r w:rsidR="006964F7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in</w:t>
            </w:r>
            <w:r w:rsidR="00CF3ADD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 </w:t>
            </w:r>
            <w:r w:rsidR="00173F0C"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Nong Peung wetland rehabilitated by Q20</w:t>
            </w:r>
          </w:p>
        </w:tc>
      </w:tr>
      <w:tr w:rsidR="00921776" w:rsidRPr="002E0F2D" w14:paraId="3183C307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7EEF13F3" w14:textId="06350A77" w:rsidR="002E0F2D" w:rsidRPr="002E0F2D" w:rsidRDefault="002E0F2D" w:rsidP="00E9181A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Output 2.2 </w:t>
            </w:r>
            <w:r w:rsidR="00CA2DD4" w:rsidRPr="00CA2DD4">
              <w:rPr>
                <w:rFonts w:ascii="Arial" w:hAnsi="Arial" w:cs="Arial"/>
                <w:i/>
                <w:sz w:val="20"/>
                <w:szCs w:val="20"/>
                <w:lang w:val="en-GB"/>
              </w:rPr>
              <w:t>Area of urban streams restored contributing to flood reduction and sustainable management of urban streams in Savannakhet and Pakse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DD4F0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292CD1C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37786ECC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3F6818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892E57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2AC3C6B4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33AAAE0D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E3E737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29EF31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AC9E5D7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E836E68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2F5B95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D927C3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07D74C5F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9998B89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8AFB5C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D9C42C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0547BE54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C5D5709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E0C8C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921776" w:rsidRPr="002E0F2D" w14:paraId="0595ACE6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26DDAE9F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2.2.1 Restore natural urban streams in Savannakhet and Pakse.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80E3C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8AE1C5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A82C691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089E04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2C451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66520821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740EB65F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77594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A9529C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ED305B6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08EE531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FB6CF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90AD7B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55C086C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6BBEEAC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C03BB7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F9F71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954823A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A14AC2F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E5AFE" w14:textId="77777777" w:rsidR="002E0F2D" w:rsidRPr="002E0F2D" w:rsidRDefault="002E0F2D" w:rsidP="002E0F2D">
            <w:pPr>
              <w:jc w:val="both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3A5F56" w:rsidRPr="002E0F2D" w14:paraId="3EB5ECFF" w14:textId="77777777" w:rsidTr="00E9181A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073C626C" w14:textId="3B69A2E1" w:rsidR="003A5F56" w:rsidRPr="00E9181A" w:rsidRDefault="003A5F56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4333" w:type="pct"/>
            <w:gridSpan w:val="20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4110DB32" w14:textId="3BDF1B32" w:rsidR="003A5F56" w:rsidRPr="00E9181A" w:rsidRDefault="00A210E3" w:rsidP="002E0F2D">
            <w:pPr>
              <w:jc w:val="both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Target n</w:t>
            </w:r>
            <w:r w:rsidR="00454992"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atural urban streams in Savannakhet and Pakse restored by Q20</w:t>
            </w:r>
          </w:p>
        </w:tc>
      </w:tr>
      <w:tr w:rsidR="00921776" w:rsidRPr="002E0F2D" w14:paraId="07503D7E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5A16B950" w14:textId="678C348C" w:rsidR="002E0F2D" w:rsidRPr="002E0F2D" w:rsidRDefault="002E0F2D" w:rsidP="00E9181A">
            <w:pPr>
              <w:spacing w:after="0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 xml:space="preserve">Activity 2.2.2 </w:t>
            </w:r>
            <w:r w:rsidR="00785473" w:rsidRPr="00785473">
              <w:rPr>
                <w:rFonts w:ascii="Arial" w:hAnsi="Arial" w:cs="Arial"/>
                <w:iCs/>
                <w:sz w:val="20"/>
                <w:szCs w:val="20"/>
              </w:rPr>
              <w:t>Develop management plans for restored urban streams in Savannakhet and Pakse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D0100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2D03877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7B71303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542A4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E63CA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56B1DD9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vAlign w:val="center"/>
          </w:tcPr>
          <w:p w14:paraId="008E945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vAlign w:val="center"/>
          </w:tcPr>
          <w:p w14:paraId="78DDA71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vAlign w:val="center"/>
          </w:tcPr>
          <w:p w14:paraId="6A5F32B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612A298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29888BC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66C8F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6038F27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03B9A7C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046739A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B1E1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365D7C0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3B6C943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4F7F53E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C3A9A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454992" w:rsidRPr="002E0F2D" w14:paraId="4AE0C514" w14:textId="77777777" w:rsidTr="00E9181A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771AE156" w14:textId="5766E6F5" w:rsidR="00454992" w:rsidRPr="00E9181A" w:rsidRDefault="00454992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1168" w:type="pct"/>
            <w:gridSpan w:val="6"/>
            <w:tcBorders>
              <w:left w:val="single" w:sz="12" w:space="0" w:color="auto"/>
            </w:tcBorders>
            <w:shd w:val="clear" w:color="auto" w:fill="B4C6E7" w:themeFill="accent1" w:themeFillTint="66"/>
            <w:vAlign w:val="center"/>
          </w:tcPr>
          <w:p w14:paraId="14ED99A8" w14:textId="1E5460C7" w:rsidR="00454992" w:rsidRPr="00E9181A" w:rsidRDefault="00454992" w:rsidP="00E9181A">
            <w:pPr>
              <w:spacing w:after="0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Management </w:t>
            </w:r>
            <w:r w:rsid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plans</w:t>
            </w: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 developed by Q6</w:t>
            </w:r>
          </w:p>
        </w:tc>
        <w:tc>
          <w:tcPr>
            <w:tcW w:w="381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A41FDC" w14:textId="77777777" w:rsidR="00454992" w:rsidRPr="002E0F2D" w:rsidRDefault="00454992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783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32D906A5" w14:textId="4A87378A" w:rsidR="00454992" w:rsidRPr="00E9181A" w:rsidRDefault="00454992" w:rsidP="002E0F2D">
            <w:pPr>
              <w:spacing w:after="0"/>
              <w:jc w:val="center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Management </w:t>
            </w:r>
            <w:r w:rsid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plans</w:t>
            </w: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 xml:space="preserve">reviewed and </w:t>
            </w: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updated in Q12, Q16 and Q20</w:t>
            </w:r>
          </w:p>
        </w:tc>
      </w:tr>
      <w:tr w:rsidR="00921776" w:rsidRPr="002E0F2D" w14:paraId="74A82ECF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2C53CBBD" w14:textId="79232E31" w:rsidR="002E0F2D" w:rsidRPr="002E0F2D" w:rsidRDefault="002E0F2D" w:rsidP="00E9181A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Output 2.3 </w:t>
            </w:r>
            <w:r w:rsidR="00CA2DD4" w:rsidRPr="00CA2DD4">
              <w:rPr>
                <w:rFonts w:ascii="Arial" w:hAnsi="Arial" w:cs="Arial"/>
                <w:i/>
                <w:sz w:val="20"/>
                <w:szCs w:val="20"/>
                <w:lang w:val="en-GB"/>
              </w:rPr>
              <w:t>Area of permeable paving solutions installed in public areas contributing to flood reduction in Vientiane, Paksan, Savannakhet and Pakse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BBD7A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324CA17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40DA5759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55CF5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1216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6C6BB84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7B8A1ED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CCFE4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3FF9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EB0882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6563897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9DA9D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8A8B5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3310F68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2CCD818A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F5A5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69487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490EECE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5CA33FA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CE769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2E0F2D" w:rsidRPr="002E0F2D" w14:paraId="6FDAE320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73189EA0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2.3.1 Design permeable paving solutions for public areas in Vientiane, Paksan, Savannakhet and Pakse.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8A61D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61D7C5A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2DC7588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B6B3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6BE2D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21EAE44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4B43F67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242E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DDDA2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14:paraId="61061CFF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429349E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27866ED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6B57251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0936CE4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16945B6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54843213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6E81D5B2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05F002DB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63AA425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15BF884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454992" w:rsidRPr="002E0F2D" w14:paraId="0F3EBE21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70629C03" w14:textId="407C7C01" w:rsidR="00454992" w:rsidRPr="00E9181A" w:rsidRDefault="00454992" w:rsidP="00E9181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1740" w:type="pct"/>
            <w:gridSpan w:val="9"/>
            <w:tcBorders>
              <w:left w:val="single" w:sz="12" w:space="0" w:color="auto"/>
            </w:tcBorders>
            <w:shd w:val="clear" w:color="auto" w:fill="B4C6E7" w:themeFill="accent1" w:themeFillTint="66"/>
            <w:vAlign w:val="center"/>
          </w:tcPr>
          <w:p w14:paraId="21E803F1" w14:textId="53EA051C" w:rsidR="00454992" w:rsidRPr="00E9181A" w:rsidRDefault="00454992" w:rsidP="00E9181A">
            <w:pPr>
              <w:spacing w:after="0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Permeable paving solutions for target cities designed by Q9</w:t>
            </w:r>
          </w:p>
        </w:tc>
        <w:tc>
          <w:tcPr>
            <w:tcW w:w="2593" w:type="pct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627C860" w14:textId="77777777" w:rsidR="00454992" w:rsidRPr="002E0F2D" w:rsidRDefault="00454992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921776" w:rsidRPr="002E0F2D" w14:paraId="4283BBBC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vAlign w:val="center"/>
          </w:tcPr>
          <w:p w14:paraId="3B4847B3" w14:textId="77777777" w:rsidR="002E0F2D" w:rsidRPr="002E0F2D" w:rsidRDefault="002E0F2D" w:rsidP="00E9181A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E0F2D">
              <w:rPr>
                <w:rFonts w:ascii="Arial" w:hAnsi="Arial" w:cs="Arial"/>
                <w:sz w:val="20"/>
                <w:szCs w:val="20"/>
                <w:lang w:val="en-GB"/>
              </w:rPr>
              <w:t>Activity 2.3.2 Install permeable paving in public areas in Vientiane, Paksan, Savannakhet and Pakse.</w:t>
            </w: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F3684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vAlign w:val="center"/>
          </w:tcPr>
          <w:p w14:paraId="3AF46C38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vAlign w:val="center"/>
          </w:tcPr>
          <w:p w14:paraId="4DE886E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8CD8C2" w14:textId="42E48F54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64803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  <w:vAlign w:val="center"/>
          </w:tcPr>
          <w:p w14:paraId="1496991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707ADCBE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734E6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19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927B56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7C92708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shd w:val="clear" w:color="auto" w:fill="D9D9D9" w:themeFill="background1" w:themeFillShade="D9"/>
            <w:vAlign w:val="center"/>
          </w:tcPr>
          <w:p w14:paraId="18F2CBAC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7C51FD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7D621BD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37D30B81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366D2C3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1545A6A7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left w:val="single" w:sz="12" w:space="0" w:color="auto"/>
            </w:tcBorders>
            <w:vAlign w:val="center"/>
          </w:tcPr>
          <w:p w14:paraId="2C170D64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0B697C10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vAlign w:val="center"/>
          </w:tcPr>
          <w:p w14:paraId="68C9374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  <w:tc>
          <w:tcPr>
            <w:tcW w:w="236" w:type="pct"/>
            <w:tcBorders>
              <w:right w:val="single" w:sz="12" w:space="0" w:color="auto"/>
            </w:tcBorders>
            <w:vAlign w:val="center"/>
          </w:tcPr>
          <w:p w14:paraId="0A5A3A85" w14:textId="77777777" w:rsidR="002E0F2D" w:rsidRPr="002E0F2D" w:rsidRDefault="002E0F2D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  <w:tr w:rsidR="00454992" w:rsidRPr="002E0F2D" w14:paraId="29BA3F0C" w14:textId="77777777" w:rsidTr="00454992">
        <w:trPr>
          <w:trHeight w:val="454"/>
        </w:trPr>
        <w:tc>
          <w:tcPr>
            <w:tcW w:w="667" w:type="pct"/>
            <w:tcBorders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4D7CF5E2" w14:textId="4C4A580F" w:rsidR="00454992" w:rsidRPr="00E9181A" w:rsidRDefault="00454992" w:rsidP="002E0F2D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Deliverable</w:t>
            </w:r>
          </w:p>
        </w:tc>
        <w:tc>
          <w:tcPr>
            <w:tcW w:w="2447" w:type="pct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</w:tcPr>
          <w:p w14:paraId="134CD8DE" w14:textId="19B73C05" w:rsidR="00454992" w:rsidRPr="00E9181A" w:rsidRDefault="00454992" w:rsidP="00E9181A">
            <w:pPr>
              <w:spacing w:after="0"/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</w:pPr>
            <w:r w:rsidRPr="00E9181A">
              <w:rPr>
                <w:rFonts w:ascii="Arial" w:hAnsi="Arial" w:cs="Arial"/>
                <w:bCs/>
                <w:spacing w:val="5"/>
                <w:sz w:val="20"/>
                <w:szCs w:val="20"/>
                <w:lang w:val="en-GB"/>
              </w:rPr>
              <w:t>Permeable paving solutions installed in target cities by Q12</w:t>
            </w:r>
          </w:p>
        </w:tc>
        <w:tc>
          <w:tcPr>
            <w:tcW w:w="1886" w:type="pct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D508AB" w14:textId="77777777" w:rsidR="00454992" w:rsidRPr="002E0F2D" w:rsidRDefault="00454992" w:rsidP="002E0F2D">
            <w:pPr>
              <w:spacing w:after="0"/>
              <w:jc w:val="center"/>
              <w:rPr>
                <w:rFonts w:ascii="Arial" w:hAnsi="Arial" w:cs="Arial"/>
                <w:bCs/>
                <w:smallCaps/>
                <w:color w:val="4472C4" w:themeColor="accent1"/>
                <w:spacing w:val="5"/>
                <w:sz w:val="20"/>
                <w:szCs w:val="20"/>
                <w:lang w:val="en-GB"/>
              </w:rPr>
            </w:pPr>
          </w:p>
        </w:tc>
      </w:tr>
    </w:tbl>
    <w:p w14:paraId="0F966EAD" w14:textId="406A79C2" w:rsidR="002E0F2D" w:rsidRDefault="002E0F2D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4FCDCC09" w14:textId="53E83C44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0F5CDD5D" w14:textId="78A4F865" w:rsidR="00785473" w:rsidRDefault="00785473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6BDA430F" w14:textId="2F4B86C5" w:rsidR="00785473" w:rsidRDefault="00785473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7F7DF1D4" w14:textId="77777777" w:rsidR="00785473" w:rsidRPr="002E0F2D" w:rsidRDefault="00785473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19208C10" w14:textId="7633B8AF" w:rsidR="002E0F2D" w:rsidRPr="00E9181A" w:rsidRDefault="007449DE" w:rsidP="002E0F2D">
      <w:pPr>
        <w:spacing w:after="0" w:line="240" w:lineRule="auto"/>
        <w:jc w:val="both"/>
        <w:rPr>
          <w:rFonts w:ascii="Arial" w:hAnsi="Arial"/>
          <w:b/>
          <w:bCs/>
          <w:sz w:val="20"/>
          <w:lang w:val="en-GB"/>
        </w:rPr>
      </w:pPr>
      <w:r w:rsidRPr="00E9181A">
        <w:rPr>
          <w:rFonts w:ascii="Arial" w:hAnsi="Arial"/>
          <w:b/>
          <w:bCs/>
          <w:sz w:val="20"/>
          <w:lang w:val="en-GB"/>
        </w:rPr>
        <w:t>Sequencing of project activities</w:t>
      </w:r>
    </w:p>
    <w:p w14:paraId="3941075D" w14:textId="0EC442F2" w:rsidR="007449DE" w:rsidRDefault="007449DE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4EAACC70" w14:textId="5C3AECBC" w:rsidR="00E2314A" w:rsidRDefault="00E2314A" w:rsidP="002E0F2D">
      <w:pPr>
        <w:spacing w:after="0" w:line="240" w:lineRule="auto"/>
        <w:jc w:val="both"/>
        <w:rPr>
          <w:rFonts w:ascii="Arial" w:hAnsi="Arial"/>
          <w:i/>
          <w:iCs/>
          <w:sz w:val="20"/>
          <w:lang w:val="en-GB"/>
        </w:rPr>
      </w:pPr>
      <w:r w:rsidRPr="00E9181A">
        <w:rPr>
          <w:rFonts w:ascii="Arial" w:hAnsi="Arial"/>
          <w:i/>
          <w:iCs/>
          <w:sz w:val="20"/>
          <w:lang w:val="en-GB"/>
        </w:rPr>
        <w:t>Component 1</w:t>
      </w:r>
    </w:p>
    <w:p w14:paraId="5B98D730" w14:textId="77777777" w:rsidR="00E2314A" w:rsidRPr="00E9181A" w:rsidRDefault="00E2314A" w:rsidP="002E0F2D">
      <w:pPr>
        <w:spacing w:after="0" w:line="240" w:lineRule="auto"/>
        <w:jc w:val="both"/>
        <w:rPr>
          <w:rFonts w:ascii="Arial" w:hAnsi="Arial"/>
          <w:i/>
          <w:iCs/>
          <w:sz w:val="20"/>
          <w:lang w:val="en-GB"/>
        </w:rPr>
      </w:pPr>
    </w:p>
    <w:p w14:paraId="1A48EE52" w14:textId="38EEE1C6" w:rsidR="007449DE" w:rsidRDefault="007449DE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 xml:space="preserve">Capacity building activities to be implemented under Component 1 will continue for the duration of the project. </w:t>
      </w:r>
      <w:r w:rsidR="005A409B">
        <w:rPr>
          <w:rFonts w:ascii="Arial" w:hAnsi="Arial"/>
          <w:sz w:val="20"/>
          <w:lang w:val="en-GB"/>
        </w:rPr>
        <w:t xml:space="preserve">Activity 1.2.1 will commence in Year </w:t>
      </w:r>
      <w:r w:rsidR="00C73F0E">
        <w:rPr>
          <w:rFonts w:ascii="Arial" w:hAnsi="Arial"/>
          <w:sz w:val="20"/>
          <w:lang w:val="en-GB"/>
        </w:rPr>
        <w:t>2 of project implementation and will be informed by the hydrological assessments that will be conducted under Activity 1.2.2. The</w:t>
      </w:r>
      <w:r w:rsidR="003F3F7B">
        <w:rPr>
          <w:rFonts w:ascii="Arial" w:hAnsi="Arial"/>
          <w:sz w:val="20"/>
          <w:lang w:val="en-GB"/>
        </w:rPr>
        <w:t xml:space="preserve">se hydrological assessments will </w:t>
      </w:r>
      <w:r w:rsidR="00AE2946">
        <w:rPr>
          <w:rFonts w:ascii="Arial" w:hAnsi="Arial"/>
          <w:sz w:val="20"/>
          <w:lang w:val="en-GB"/>
        </w:rPr>
        <w:t>inform the</w:t>
      </w:r>
      <w:r w:rsidR="00C73F0E">
        <w:rPr>
          <w:rFonts w:ascii="Arial" w:hAnsi="Arial"/>
          <w:sz w:val="20"/>
          <w:lang w:val="en-GB"/>
        </w:rPr>
        <w:t xml:space="preserve"> </w:t>
      </w:r>
      <w:r w:rsidR="006964F7">
        <w:rPr>
          <w:rFonts w:ascii="Arial" w:hAnsi="Arial"/>
          <w:sz w:val="20"/>
          <w:lang w:val="en-GB"/>
        </w:rPr>
        <w:t xml:space="preserve">development of ICFMS </w:t>
      </w:r>
      <w:r w:rsidR="00AE2946">
        <w:rPr>
          <w:rFonts w:ascii="Arial" w:hAnsi="Arial"/>
          <w:sz w:val="20"/>
          <w:lang w:val="en-GB"/>
        </w:rPr>
        <w:t xml:space="preserve">(Activity 1.2.3) </w:t>
      </w:r>
      <w:r w:rsidR="006964F7">
        <w:rPr>
          <w:rFonts w:ascii="Arial" w:hAnsi="Arial"/>
          <w:sz w:val="20"/>
          <w:lang w:val="en-GB"/>
        </w:rPr>
        <w:t xml:space="preserve">and </w:t>
      </w:r>
      <w:r w:rsidR="00AE2946">
        <w:rPr>
          <w:rFonts w:ascii="Arial" w:hAnsi="Arial"/>
          <w:sz w:val="20"/>
          <w:lang w:val="en-GB"/>
        </w:rPr>
        <w:t xml:space="preserve">national </w:t>
      </w:r>
      <w:r w:rsidR="00C73F0E">
        <w:rPr>
          <w:rFonts w:ascii="Arial" w:hAnsi="Arial"/>
          <w:sz w:val="20"/>
          <w:lang w:val="en-GB"/>
        </w:rPr>
        <w:t>urban EbA</w:t>
      </w:r>
      <w:r w:rsidR="00AE2946">
        <w:rPr>
          <w:rFonts w:ascii="Arial" w:hAnsi="Arial"/>
          <w:sz w:val="20"/>
          <w:lang w:val="en-GB"/>
        </w:rPr>
        <w:t xml:space="preserve"> guidelines (</w:t>
      </w:r>
      <w:r w:rsidR="000D1073">
        <w:rPr>
          <w:rFonts w:ascii="Arial" w:hAnsi="Arial"/>
          <w:sz w:val="20"/>
          <w:lang w:val="en-GB"/>
        </w:rPr>
        <w:t xml:space="preserve">Activity 1.2.4), which will begin in </w:t>
      </w:r>
      <w:r w:rsidR="00C73F0E">
        <w:rPr>
          <w:rFonts w:ascii="Arial" w:hAnsi="Arial"/>
          <w:sz w:val="20"/>
          <w:lang w:val="en-GB"/>
        </w:rPr>
        <w:t>the final quarter of Year 1</w:t>
      </w:r>
      <w:r w:rsidR="000D1073">
        <w:rPr>
          <w:rFonts w:ascii="Arial" w:hAnsi="Arial"/>
          <w:sz w:val="20"/>
          <w:lang w:val="en-GB"/>
        </w:rPr>
        <w:t xml:space="preserve">. </w:t>
      </w:r>
      <w:r w:rsidR="00453FD8">
        <w:rPr>
          <w:rFonts w:ascii="Arial" w:hAnsi="Arial"/>
          <w:sz w:val="20"/>
          <w:lang w:val="en-GB"/>
        </w:rPr>
        <w:t xml:space="preserve">Both the </w:t>
      </w:r>
      <w:r w:rsidR="000D1073">
        <w:rPr>
          <w:rFonts w:ascii="Arial" w:hAnsi="Arial"/>
          <w:sz w:val="20"/>
          <w:lang w:val="en-GB"/>
        </w:rPr>
        <w:t xml:space="preserve">ICFMS </w:t>
      </w:r>
      <w:r w:rsidR="00453FD8">
        <w:rPr>
          <w:rFonts w:ascii="Arial" w:hAnsi="Arial"/>
          <w:sz w:val="20"/>
          <w:lang w:val="en-GB"/>
        </w:rPr>
        <w:t xml:space="preserve">and urban EbA guidelines will be </w:t>
      </w:r>
      <w:r w:rsidR="00746D3F">
        <w:rPr>
          <w:rFonts w:ascii="Arial" w:hAnsi="Arial"/>
          <w:sz w:val="20"/>
          <w:lang w:val="en-GB"/>
        </w:rPr>
        <w:t xml:space="preserve">reviewed and updated </w:t>
      </w:r>
      <w:r w:rsidR="00994627">
        <w:rPr>
          <w:rFonts w:ascii="Arial" w:hAnsi="Arial"/>
          <w:sz w:val="20"/>
          <w:lang w:val="en-GB"/>
        </w:rPr>
        <w:t xml:space="preserve">at intervals during project implementation. The ICFMS and urban EbA guidelines will be </w:t>
      </w:r>
      <w:r w:rsidR="000D1073">
        <w:rPr>
          <w:rFonts w:ascii="Arial" w:hAnsi="Arial"/>
          <w:sz w:val="20"/>
          <w:lang w:val="en-GB"/>
        </w:rPr>
        <w:t>finalised by Q20</w:t>
      </w:r>
      <w:r w:rsidR="00994627">
        <w:rPr>
          <w:rFonts w:ascii="Arial" w:hAnsi="Arial"/>
          <w:sz w:val="20"/>
          <w:lang w:val="en-GB"/>
        </w:rPr>
        <w:t>.</w:t>
      </w:r>
      <w:r w:rsidR="00746D3F">
        <w:rPr>
          <w:rFonts w:ascii="Arial" w:hAnsi="Arial"/>
          <w:sz w:val="20"/>
          <w:lang w:val="en-GB"/>
        </w:rPr>
        <w:t xml:space="preserve"> </w:t>
      </w:r>
    </w:p>
    <w:p w14:paraId="3F584923" w14:textId="77777777" w:rsidR="00710694" w:rsidRDefault="00710694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429348F6" w14:textId="1ED8B1AB" w:rsidR="00E2314A" w:rsidRPr="00E9181A" w:rsidRDefault="00E2314A" w:rsidP="002E0F2D">
      <w:pPr>
        <w:spacing w:after="0" w:line="240" w:lineRule="auto"/>
        <w:jc w:val="both"/>
        <w:rPr>
          <w:rFonts w:ascii="Arial" w:hAnsi="Arial"/>
          <w:i/>
          <w:iCs/>
          <w:sz w:val="20"/>
          <w:lang w:val="en-GB"/>
        </w:rPr>
      </w:pPr>
      <w:r w:rsidRPr="00E9181A">
        <w:rPr>
          <w:rFonts w:ascii="Arial" w:hAnsi="Arial"/>
          <w:i/>
          <w:iCs/>
          <w:sz w:val="20"/>
          <w:lang w:val="en-GB"/>
        </w:rPr>
        <w:t>Component 2</w:t>
      </w:r>
    </w:p>
    <w:p w14:paraId="10A9F18C" w14:textId="5FA96AD2" w:rsidR="002E0F2D" w:rsidRDefault="002E0F2D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0173EB96" w14:textId="7C3624B7" w:rsidR="009F17BD" w:rsidRDefault="009F17BD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 xml:space="preserve">The development of the wetland management plan (Activity 2.1.1), </w:t>
      </w:r>
      <w:r w:rsidR="00E30020">
        <w:rPr>
          <w:rFonts w:ascii="Arial" w:hAnsi="Arial"/>
          <w:sz w:val="20"/>
          <w:lang w:val="en-GB"/>
        </w:rPr>
        <w:t xml:space="preserve">urban stream </w:t>
      </w:r>
      <w:r w:rsidR="00CF77B5">
        <w:rPr>
          <w:rFonts w:ascii="Arial" w:hAnsi="Arial"/>
          <w:sz w:val="20"/>
          <w:lang w:val="en-GB"/>
        </w:rPr>
        <w:t xml:space="preserve">management models (Activity 2.2.2) and design of the permeable paving solutions </w:t>
      </w:r>
      <w:r w:rsidR="00B63F09">
        <w:rPr>
          <w:rFonts w:ascii="Arial" w:hAnsi="Arial"/>
          <w:sz w:val="20"/>
          <w:lang w:val="en-GB"/>
        </w:rPr>
        <w:t xml:space="preserve">(Activity 2.3.1) </w:t>
      </w:r>
      <w:r w:rsidR="00CF77B5">
        <w:rPr>
          <w:rFonts w:ascii="Arial" w:hAnsi="Arial"/>
          <w:sz w:val="20"/>
          <w:lang w:val="en-GB"/>
        </w:rPr>
        <w:t xml:space="preserve">will commence </w:t>
      </w:r>
      <w:r w:rsidR="00337923">
        <w:rPr>
          <w:rFonts w:ascii="Arial" w:hAnsi="Arial"/>
          <w:sz w:val="20"/>
          <w:lang w:val="en-GB"/>
        </w:rPr>
        <w:t>in the second quarter of Year 1. The management plans will be used to inform and guide r</w:t>
      </w:r>
      <w:r w:rsidR="00337923" w:rsidRPr="00337923">
        <w:rPr>
          <w:rFonts w:ascii="Arial" w:hAnsi="Arial"/>
          <w:sz w:val="20"/>
          <w:lang w:val="en-GB"/>
        </w:rPr>
        <w:t>ehabilitat</w:t>
      </w:r>
      <w:r w:rsidR="00337923">
        <w:rPr>
          <w:rFonts w:ascii="Arial" w:hAnsi="Arial"/>
          <w:sz w:val="20"/>
          <w:lang w:val="en-GB"/>
        </w:rPr>
        <w:t>ion of</w:t>
      </w:r>
      <w:r w:rsidR="00337923" w:rsidRPr="00337923">
        <w:rPr>
          <w:rFonts w:ascii="Arial" w:hAnsi="Arial"/>
          <w:sz w:val="20"/>
          <w:lang w:val="en-GB"/>
        </w:rPr>
        <w:t xml:space="preserve"> the Nong Peung wetland</w:t>
      </w:r>
      <w:r w:rsidR="00337923">
        <w:rPr>
          <w:rFonts w:ascii="Arial" w:hAnsi="Arial"/>
          <w:sz w:val="20"/>
          <w:lang w:val="en-GB"/>
        </w:rPr>
        <w:t xml:space="preserve"> (Activity 2.1.2) and the restoration of </w:t>
      </w:r>
      <w:r w:rsidR="00337923" w:rsidRPr="00337923">
        <w:rPr>
          <w:rFonts w:ascii="Arial" w:hAnsi="Arial"/>
          <w:sz w:val="20"/>
          <w:lang w:val="en-GB"/>
        </w:rPr>
        <w:t>natural urban streams in Savannakhet and Pakse</w:t>
      </w:r>
      <w:r w:rsidR="00337923">
        <w:rPr>
          <w:rFonts w:ascii="Arial" w:hAnsi="Arial"/>
          <w:sz w:val="20"/>
          <w:lang w:val="en-GB"/>
        </w:rPr>
        <w:t xml:space="preserve"> (A</w:t>
      </w:r>
      <w:r w:rsidR="0024196C">
        <w:rPr>
          <w:rFonts w:ascii="Arial" w:hAnsi="Arial"/>
          <w:sz w:val="20"/>
          <w:lang w:val="en-GB"/>
        </w:rPr>
        <w:t>ctivity 2.2.1)</w:t>
      </w:r>
      <w:r w:rsidR="002D6F0A">
        <w:rPr>
          <w:rFonts w:ascii="Arial" w:hAnsi="Arial"/>
          <w:sz w:val="20"/>
          <w:lang w:val="en-GB"/>
        </w:rPr>
        <w:t xml:space="preserve">; both of these activities will begin in Year 2 of project implementation to allow </w:t>
      </w:r>
      <w:r w:rsidR="00B63F09">
        <w:rPr>
          <w:rFonts w:ascii="Arial" w:hAnsi="Arial"/>
          <w:sz w:val="20"/>
          <w:lang w:val="en-GB"/>
        </w:rPr>
        <w:t xml:space="preserve">time for the management plans to be developed. Additionally, the installation of permeable paving solutions will begin </w:t>
      </w:r>
      <w:r w:rsidR="00214DCE">
        <w:rPr>
          <w:rFonts w:ascii="Arial" w:hAnsi="Arial"/>
          <w:sz w:val="20"/>
          <w:lang w:val="en-GB"/>
        </w:rPr>
        <w:t xml:space="preserve">at some sites </w:t>
      </w:r>
      <w:r w:rsidR="00B63F09">
        <w:rPr>
          <w:rFonts w:ascii="Arial" w:hAnsi="Arial"/>
          <w:sz w:val="20"/>
          <w:lang w:val="en-GB"/>
        </w:rPr>
        <w:t>in the last quarter of Year 1</w:t>
      </w:r>
      <w:r w:rsidR="00214DCE">
        <w:rPr>
          <w:rFonts w:ascii="Arial" w:hAnsi="Arial"/>
          <w:sz w:val="20"/>
          <w:lang w:val="en-GB"/>
        </w:rPr>
        <w:t xml:space="preserve">. </w:t>
      </w:r>
      <w:r w:rsidR="00A87803">
        <w:rPr>
          <w:rFonts w:ascii="Arial" w:hAnsi="Arial"/>
          <w:sz w:val="20"/>
          <w:lang w:val="en-GB"/>
        </w:rPr>
        <w:t>As soon as technical designs for these solutions have been completed (under Activity 2.3.1)</w:t>
      </w:r>
      <w:r w:rsidR="00507D32">
        <w:rPr>
          <w:rFonts w:ascii="Arial" w:hAnsi="Arial"/>
          <w:sz w:val="20"/>
          <w:lang w:val="en-GB"/>
        </w:rPr>
        <w:t xml:space="preserve">, installation will begin. As a result, installation of permeable paving solutions may begin earlier at some sites </w:t>
      </w:r>
      <w:r w:rsidR="0006051E">
        <w:rPr>
          <w:rFonts w:ascii="Arial" w:hAnsi="Arial"/>
          <w:sz w:val="20"/>
          <w:lang w:val="en-GB"/>
        </w:rPr>
        <w:t xml:space="preserve">as designs are completed and validated. Installing the permeable paving solutions in the first half </w:t>
      </w:r>
      <w:r w:rsidR="00102D28">
        <w:rPr>
          <w:rFonts w:ascii="Arial" w:hAnsi="Arial"/>
          <w:sz w:val="20"/>
          <w:lang w:val="en-GB"/>
        </w:rPr>
        <w:t xml:space="preserve">of the project </w:t>
      </w:r>
      <w:r w:rsidR="00E26DC2">
        <w:rPr>
          <w:rFonts w:ascii="Arial" w:hAnsi="Arial"/>
          <w:sz w:val="20"/>
          <w:lang w:val="en-GB"/>
        </w:rPr>
        <w:t>period</w:t>
      </w:r>
      <w:r w:rsidR="00102D28">
        <w:rPr>
          <w:rFonts w:ascii="Arial" w:hAnsi="Arial"/>
          <w:sz w:val="20"/>
          <w:lang w:val="en-GB"/>
        </w:rPr>
        <w:t xml:space="preserve"> will allow time for </w:t>
      </w:r>
      <w:r w:rsidR="007A39DC">
        <w:rPr>
          <w:rFonts w:ascii="Arial" w:hAnsi="Arial"/>
          <w:sz w:val="20"/>
          <w:lang w:val="en-GB"/>
        </w:rPr>
        <w:t>sufficient</w:t>
      </w:r>
      <w:r w:rsidR="00102D28">
        <w:rPr>
          <w:rFonts w:ascii="Arial" w:hAnsi="Arial"/>
          <w:sz w:val="20"/>
          <w:lang w:val="en-GB"/>
        </w:rPr>
        <w:t xml:space="preserve"> </w:t>
      </w:r>
      <w:r w:rsidR="007A39DC">
        <w:rPr>
          <w:rFonts w:ascii="Arial" w:hAnsi="Arial"/>
          <w:sz w:val="20"/>
          <w:lang w:val="en-GB"/>
        </w:rPr>
        <w:t>assessment</w:t>
      </w:r>
      <w:r w:rsidR="00102D28">
        <w:rPr>
          <w:rFonts w:ascii="Arial" w:hAnsi="Arial"/>
          <w:sz w:val="20"/>
          <w:lang w:val="en-GB"/>
        </w:rPr>
        <w:t xml:space="preserve"> of these interventions to take place </w:t>
      </w:r>
      <w:r w:rsidR="007A39DC">
        <w:rPr>
          <w:rFonts w:ascii="Arial" w:hAnsi="Arial"/>
          <w:sz w:val="20"/>
          <w:lang w:val="en-GB"/>
        </w:rPr>
        <w:t>during the project.</w:t>
      </w:r>
    </w:p>
    <w:p w14:paraId="6AAC0EA3" w14:textId="4676BE4B" w:rsidR="007379D7" w:rsidRPr="002E0F2D" w:rsidRDefault="007379D7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6FAD14FD" w14:textId="251956D4" w:rsidR="007A39DC" w:rsidRDefault="007A39DC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5824C986" w14:textId="1653F099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2D41EC09" w14:textId="5508CF90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4E0FAD4A" w14:textId="4A77D1E4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71BBE1C8" w14:textId="4FD19A36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3715DA77" w14:textId="5C6AE0B2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0B3AE1DC" w14:textId="6CF77C8D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6D721FEF" w14:textId="4E40179F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0BD71C16" w14:textId="565D2BFE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4F6D8B5C" w14:textId="38882B54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5AF3065D" w14:textId="3847F740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3BE52772" w14:textId="6127080B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316C80B6" w14:textId="2A92A37B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56966599" w14:textId="62C47619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25F37CEB" w14:textId="59668C25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4E1B3C1C" w14:textId="05DDE1C1" w:rsidR="00785473" w:rsidRDefault="00785473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2C2A6BF3" w14:textId="727C2403" w:rsidR="00785473" w:rsidRDefault="00785473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1F7E8605" w14:textId="77777777" w:rsidR="00785473" w:rsidRDefault="00785473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2CDE3F6D" w14:textId="6533FE6E" w:rsidR="00E9181A" w:rsidRDefault="00E9181A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69463649" w14:textId="4A4A3BE5" w:rsidR="007A39DC" w:rsidRDefault="00710694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  <w:bookmarkStart w:id="1" w:name="_GoBack"/>
      <w:bookmarkEnd w:id="1"/>
      <w:r>
        <w:rPr>
          <w:rFonts w:ascii="Arial" w:hAnsi="Arial"/>
          <w:sz w:val="20"/>
          <w:lang w:val="en-GB"/>
        </w:rPr>
        <w:t>Table 2. Reporting timelines</w:t>
      </w:r>
    </w:p>
    <w:p w14:paraId="6DC73442" w14:textId="77777777" w:rsidR="00710694" w:rsidRPr="002E0F2D" w:rsidRDefault="00710694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tbl>
      <w:tblPr>
        <w:tblW w:w="146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1420"/>
        <w:gridCol w:w="698"/>
        <w:gridCol w:w="587"/>
        <w:gridCol w:w="587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</w:tblGrid>
      <w:tr w:rsidR="002E0F2D" w:rsidRPr="002E0F2D" w14:paraId="70372BE8" w14:textId="77777777" w:rsidTr="00FD3668">
        <w:trPr>
          <w:trHeight w:val="259"/>
        </w:trPr>
        <w:tc>
          <w:tcPr>
            <w:tcW w:w="14675" w:type="dxa"/>
            <w:gridSpan w:val="22"/>
            <w:tcBorders>
              <w:right w:val="single" w:sz="12" w:space="0" w:color="auto"/>
            </w:tcBorders>
            <w:vAlign w:val="center"/>
          </w:tcPr>
          <w:p w14:paraId="4FD31771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/>
                <w:bCs/>
                <w:smallCaps/>
                <w:color w:val="0070C0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color w:val="0070C0"/>
                <w:sz w:val="16"/>
                <w:szCs w:val="16"/>
                <w:lang w:val="en-GB"/>
              </w:rPr>
              <w:t>Reporting requirements</w:t>
            </w:r>
          </w:p>
        </w:tc>
      </w:tr>
      <w:tr w:rsidR="002E0F2D" w:rsidRPr="002E0F2D" w14:paraId="62A68F94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0F9C45AA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AE to GCF: APRs and Financial information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79295143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Annually (by 28 February of each year)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411F749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7" w:type="dxa"/>
            <w:vAlign w:val="center"/>
          </w:tcPr>
          <w:p w14:paraId="6EC9C636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4DC5E64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C1FF18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3082C48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23BA571F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EACFF3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DC7378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2EAABE8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675C955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5D90E7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530C63A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1D583D5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5D35D82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75B1DD5A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4385C4B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7DD7DC5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5D2DFE1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8792FE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6C2F038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</w:tr>
      <w:tr w:rsidR="002E0F2D" w:rsidRPr="002E0F2D" w14:paraId="52746091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2ADF1CA0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AE to GCF: </w:t>
            </w:r>
          </w:p>
          <w:p w14:paraId="4C59E344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Inception report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2F7089EF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12 months from effective start date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0B6874B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415135C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6388720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48B378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6BDD3C3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15BB01F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55805A4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813EE1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6FA0FCA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E0A9EB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878987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557EFFD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04292AA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A55285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FF8B6B7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3867E0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499D634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5F57B7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58F8A8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EC2639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</w:tr>
      <w:tr w:rsidR="002E0F2D" w:rsidRPr="002E0F2D" w14:paraId="7679FD13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55A96F0B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AE to GCF: </w:t>
            </w:r>
          </w:p>
          <w:p w14:paraId="6015E710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Interim independent evaluation report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434E4A7F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Halfway through the project period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2D8CC36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0C30208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2D5CAF0A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57B3DDD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2A5328D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5352E433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E094A6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578FF8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7DEFC64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729611F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23B327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40C49C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567696B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1E80789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19E323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6CF90BC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2946643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C7F09A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0A2926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77D661F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</w:tr>
      <w:tr w:rsidR="002E0F2D" w:rsidRPr="002E0F2D" w14:paraId="31C4E3D1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40EEC94C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AE to GCF: </w:t>
            </w:r>
          </w:p>
          <w:p w14:paraId="23AD4B24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Project completion report/Final APR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4A287872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6 months after date of project completion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0DA19B7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0BD6B75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47456A6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4D0F3E9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5CE2076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64278EB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1F25B74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4F5B5F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615309B7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9A89FC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5065727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F4A666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24478B8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7C1B66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D7E816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49362D6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3E79512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F2AA1C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18E198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3753026" w14:textId="548164E8" w:rsidR="002E0F2D" w:rsidRPr="00E9181A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</w:pPr>
            <w:r w:rsidRPr="00E9181A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>6 mo</w:t>
            </w:r>
            <w:r w:rsidR="00BE2242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>.</w:t>
            </w:r>
            <w:r w:rsidRPr="00E9181A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 xml:space="preserve"> </w:t>
            </w:r>
            <w:r w:rsidR="00BE2242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 xml:space="preserve">post </w:t>
            </w:r>
            <w:r w:rsidRPr="00E9181A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>Q20</w:t>
            </w:r>
          </w:p>
        </w:tc>
      </w:tr>
      <w:tr w:rsidR="002E0F2D" w:rsidRPr="002E0F2D" w14:paraId="1A530215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6964A3BD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AE to GCF: </w:t>
            </w:r>
          </w:p>
          <w:p w14:paraId="54EA6931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Final independent evaluation report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3FD26D58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9 months after date of project completion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06B99C1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19A4FC8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6977FA3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AC7EF6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2337CB7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E862D10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C7B908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5B659E4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647706F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55298B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CB917F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3D9521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33303E9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5CDECE3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A9A3B9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39ED1CB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5873AB4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87E232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A18362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1DE2A14E" w14:textId="0D67D0F5" w:rsidR="002E0F2D" w:rsidRPr="00E9181A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</w:pPr>
            <w:r w:rsidRPr="00E9181A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 xml:space="preserve">9 </w:t>
            </w:r>
            <w:r w:rsidR="00BE2242" w:rsidRPr="00E9181A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>mo</w:t>
            </w:r>
            <w:r w:rsidR="00BE2242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>.</w:t>
            </w:r>
            <w:r w:rsidR="00BE2242" w:rsidRPr="00E9181A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 xml:space="preserve"> </w:t>
            </w:r>
            <w:r w:rsidR="00BE2242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>post</w:t>
            </w:r>
            <w:r w:rsidR="00BE2242" w:rsidRPr="00E9181A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 xml:space="preserve"> </w:t>
            </w:r>
            <w:r w:rsidRPr="00E9181A">
              <w:rPr>
                <w:rFonts w:ascii="Arial" w:eastAsia="MS Mincho" w:hAnsi="Arial" w:cs="Arial"/>
                <w:smallCaps/>
                <w:spacing w:val="5"/>
                <w:sz w:val="16"/>
                <w:szCs w:val="16"/>
                <w:lang w:val="en-GB"/>
              </w:rPr>
              <w:t>Q20</w:t>
            </w:r>
          </w:p>
        </w:tc>
      </w:tr>
      <w:tr w:rsidR="002E0F2D" w:rsidRPr="002E0F2D" w14:paraId="594F55E6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7D83A3CF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EE to AE: </w:t>
            </w:r>
          </w:p>
          <w:p w14:paraId="3E3047A4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Project progress report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5D3939C4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Semi-annually (by 30 July of each year)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7769F03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363149E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1BED916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3F06F9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39F4E24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2994DA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E45D32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67C2F2F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3CF0A0A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764F670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5F3155C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2B3CD0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46CCEE9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EEAE6E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54A95C6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0499FA7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237E75C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57A12CA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772FA50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79DAC89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</w:tr>
      <w:tr w:rsidR="002E0F2D" w:rsidRPr="002E0F2D" w14:paraId="55658ADE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539F462D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EE to AE: </w:t>
            </w:r>
          </w:p>
          <w:p w14:paraId="2053FC39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Annual performance reports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50FFE24F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Annually (by 1 February of each year)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0399D51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7" w:type="dxa"/>
            <w:vAlign w:val="center"/>
          </w:tcPr>
          <w:p w14:paraId="3F912F9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3FDAC7C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47302CE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1E36CE6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3798A89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7687C57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51B09EE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7FCC26C7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55F8A8F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F76CB3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4B5E113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72C7FCF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7D41801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54DB570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7DA5B62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594ABD0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2341B57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ADC6C5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6535A0C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</w:tr>
      <w:tr w:rsidR="002E0F2D" w:rsidRPr="002E0F2D" w14:paraId="61AD385B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338D56AB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EE to AE: </w:t>
            </w:r>
          </w:p>
          <w:p w14:paraId="5042A6CD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Final report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2805E7A8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3 months after project completion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0594E21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3BB144F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1AAFD10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65F3122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390CFBE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42287F3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6A4766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E604EE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1FC0A25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C204E4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E66D00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9469FA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756711E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E275F2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177B3677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6CE5230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2D7DE5C4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51E44D6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3E7AEB1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C98EC4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</w:tr>
      <w:tr w:rsidR="002E0F2D" w:rsidRPr="002E0F2D" w14:paraId="42223059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4D57EFB9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EE to AE: </w:t>
            </w:r>
          </w:p>
          <w:p w14:paraId="41945EEE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Financial report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740A9850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Quarterly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55823CA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7" w:type="dxa"/>
            <w:vAlign w:val="center"/>
          </w:tcPr>
          <w:p w14:paraId="005ED6BA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7" w:type="dxa"/>
            <w:vAlign w:val="center"/>
          </w:tcPr>
          <w:p w14:paraId="5160462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75713DC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145C1F8A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2D32AA9B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0BC7BC0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8840E9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4D3162DE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7AAAC39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041DD1F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70BE7F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6ECF9BCA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2D988E2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5091DB5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69941E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4082CAF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74B1EDA0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vAlign w:val="center"/>
          </w:tcPr>
          <w:p w14:paraId="68F6094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41CF209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  <w:t>x</w:t>
            </w:r>
          </w:p>
        </w:tc>
      </w:tr>
      <w:tr w:rsidR="002E0F2D" w:rsidRPr="002E0F2D" w14:paraId="3B4FACE4" w14:textId="77777777" w:rsidTr="00FD3668">
        <w:trPr>
          <w:trHeight w:val="259"/>
        </w:trPr>
        <w:tc>
          <w:tcPr>
            <w:tcW w:w="1421" w:type="dxa"/>
            <w:tcBorders>
              <w:right w:val="single" w:sz="12" w:space="0" w:color="auto"/>
            </w:tcBorders>
            <w:vAlign w:val="center"/>
          </w:tcPr>
          <w:p w14:paraId="34A5AAF6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 xml:space="preserve">EE to AE: </w:t>
            </w:r>
          </w:p>
          <w:p w14:paraId="529C7708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sz w:val="16"/>
                <w:szCs w:val="16"/>
                <w:lang w:val="en-GB"/>
              </w:rPr>
              <w:t>Final statement of accounts</w:t>
            </w:r>
          </w:p>
        </w:tc>
        <w:tc>
          <w:tcPr>
            <w:tcW w:w="1420" w:type="dxa"/>
            <w:tcBorders>
              <w:right w:val="single" w:sz="12" w:space="0" w:color="auto"/>
            </w:tcBorders>
          </w:tcPr>
          <w:p w14:paraId="578F5BAD" w14:textId="77777777" w:rsidR="002E0F2D" w:rsidRPr="002E0F2D" w:rsidRDefault="002E0F2D" w:rsidP="002E0F2D">
            <w:pPr>
              <w:spacing w:after="0"/>
              <w:jc w:val="both"/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</w:pPr>
            <w:r w:rsidRPr="002E0F2D">
              <w:rPr>
                <w:rFonts w:ascii="Arial" w:eastAsia="MS Mincho" w:hAnsi="Arial" w:cs="Arial"/>
                <w:bCs/>
                <w:spacing w:val="5"/>
                <w:sz w:val="16"/>
                <w:szCs w:val="16"/>
                <w:lang w:val="en-GB"/>
              </w:rPr>
              <w:t>Within 3 months after completion of activities.</w:t>
            </w:r>
          </w:p>
        </w:tc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31BCD9A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34F6EBC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7" w:type="dxa"/>
            <w:vAlign w:val="center"/>
          </w:tcPr>
          <w:p w14:paraId="7FBF304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64AB82C8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22C52A0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0E9C2D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2E51883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49EA21F9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36261E45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F63FFE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A5D1BA7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10FAD4A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01BD9FC2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62A67DB6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28319DB7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127C43DC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left w:val="single" w:sz="12" w:space="0" w:color="auto"/>
            </w:tcBorders>
            <w:vAlign w:val="center"/>
          </w:tcPr>
          <w:p w14:paraId="4444023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001714FD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vAlign w:val="center"/>
          </w:tcPr>
          <w:p w14:paraId="108CE92F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  <w:tc>
          <w:tcPr>
            <w:tcW w:w="586" w:type="dxa"/>
            <w:tcBorders>
              <w:right w:val="single" w:sz="12" w:space="0" w:color="auto"/>
            </w:tcBorders>
            <w:vAlign w:val="center"/>
          </w:tcPr>
          <w:p w14:paraId="08DA5731" w14:textId="77777777" w:rsidR="002E0F2D" w:rsidRPr="002E0F2D" w:rsidRDefault="002E0F2D" w:rsidP="002E0F2D">
            <w:pPr>
              <w:spacing w:after="0"/>
              <w:jc w:val="center"/>
              <w:rPr>
                <w:rFonts w:ascii="Arial" w:eastAsia="MS Mincho" w:hAnsi="Arial" w:cs="Arial"/>
                <w:b/>
                <w:bCs/>
                <w:smallCaps/>
                <w:color w:val="4F81BD"/>
                <w:spacing w:val="5"/>
                <w:sz w:val="16"/>
                <w:szCs w:val="16"/>
                <w:lang w:val="en-GB"/>
              </w:rPr>
            </w:pPr>
          </w:p>
        </w:tc>
      </w:tr>
    </w:tbl>
    <w:p w14:paraId="7AA8700C" w14:textId="77777777" w:rsidR="002E0F2D" w:rsidRPr="002E0F2D" w:rsidRDefault="002E0F2D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2ADF8674" w14:textId="77777777" w:rsidR="002E0F2D" w:rsidRPr="002E0F2D" w:rsidRDefault="002E0F2D" w:rsidP="002E0F2D">
      <w:pPr>
        <w:spacing w:after="0" w:line="240" w:lineRule="auto"/>
        <w:jc w:val="both"/>
        <w:rPr>
          <w:rFonts w:ascii="Arial" w:hAnsi="Arial"/>
          <w:sz w:val="20"/>
          <w:lang w:val="en-GB"/>
        </w:rPr>
      </w:pPr>
    </w:p>
    <w:p w14:paraId="60E3B145" w14:textId="77777777" w:rsidR="002E0F2D" w:rsidRDefault="002E0F2D"/>
    <w:sectPr w:rsidR="002E0F2D" w:rsidSect="002E0F2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C0349" w14:textId="77777777" w:rsidR="002E03EE" w:rsidRDefault="002E03EE" w:rsidP="008615EF">
      <w:pPr>
        <w:spacing w:after="0" w:line="240" w:lineRule="auto"/>
      </w:pPr>
      <w:r>
        <w:separator/>
      </w:r>
    </w:p>
  </w:endnote>
  <w:endnote w:type="continuationSeparator" w:id="0">
    <w:p w14:paraId="41D0BDC5" w14:textId="77777777" w:rsidR="002E03EE" w:rsidRDefault="002E03EE" w:rsidP="008615EF">
      <w:pPr>
        <w:spacing w:after="0" w:line="240" w:lineRule="auto"/>
      </w:pPr>
      <w:r>
        <w:continuationSeparator/>
      </w:r>
    </w:p>
  </w:endnote>
  <w:endnote w:type="continuationNotice" w:id="1">
    <w:p w14:paraId="0C64CDD9" w14:textId="77777777" w:rsidR="002E03EE" w:rsidRDefault="002E03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F4DA1" w14:textId="77777777" w:rsidR="002E03EE" w:rsidRDefault="002E03EE" w:rsidP="008615EF">
      <w:pPr>
        <w:spacing w:after="0" w:line="240" w:lineRule="auto"/>
      </w:pPr>
      <w:r>
        <w:separator/>
      </w:r>
    </w:p>
  </w:footnote>
  <w:footnote w:type="continuationSeparator" w:id="0">
    <w:p w14:paraId="69B12590" w14:textId="77777777" w:rsidR="002E03EE" w:rsidRDefault="002E03EE" w:rsidP="008615EF">
      <w:pPr>
        <w:spacing w:after="0" w:line="240" w:lineRule="auto"/>
      </w:pPr>
      <w:r>
        <w:continuationSeparator/>
      </w:r>
    </w:p>
  </w:footnote>
  <w:footnote w:type="continuationNotice" w:id="1">
    <w:p w14:paraId="7612A183" w14:textId="77777777" w:rsidR="002E03EE" w:rsidRDefault="002E03E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F2D"/>
    <w:rsid w:val="0006051E"/>
    <w:rsid w:val="00094515"/>
    <w:rsid w:val="000D1073"/>
    <w:rsid w:val="000E462A"/>
    <w:rsid w:val="00102D28"/>
    <w:rsid w:val="0010622E"/>
    <w:rsid w:val="00120005"/>
    <w:rsid w:val="001203B7"/>
    <w:rsid w:val="0016323A"/>
    <w:rsid w:val="0017359A"/>
    <w:rsid w:val="00173F0C"/>
    <w:rsid w:val="001976E1"/>
    <w:rsid w:val="002002A2"/>
    <w:rsid w:val="00214DCE"/>
    <w:rsid w:val="00233A74"/>
    <w:rsid w:val="0024196C"/>
    <w:rsid w:val="00284D8F"/>
    <w:rsid w:val="002D6F0A"/>
    <w:rsid w:val="002E03EE"/>
    <w:rsid w:val="002E0F2D"/>
    <w:rsid w:val="00337923"/>
    <w:rsid w:val="00370A51"/>
    <w:rsid w:val="003840C9"/>
    <w:rsid w:val="003A5F56"/>
    <w:rsid w:val="003F3F7B"/>
    <w:rsid w:val="00412406"/>
    <w:rsid w:val="00416AEA"/>
    <w:rsid w:val="00453FD8"/>
    <w:rsid w:val="00454992"/>
    <w:rsid w:val="004671EE"/>
    <w:rsid w:val="00471015"/>
    <w:rsid w:val="004B51D1"/>
    <w:rsid w:val="004E7E6F"/>
    <w:rsid w:val="00507D32"/>
    <w:rsid w:val="00521842"/>
    <w:rsid w:val="00551E47"/>
    <w:rsid w:val="005548D4"/>
    <w:rsid w:val="0059023D"/>
    <w:rsid w:val="00592514"/>
    <w:rsid w:val="005A409B"/>
    <w:rsid w:val="005C6561"/>
    <w:rsid w:val="005D5796"/>
    <w:rsid w:val="006116FE"/>
    <w:rsid w:val="00647A12"/>
    <w:rsid w:val="00670510"/>
    <w:rsid w:val="00692745"/>
    <w:rsid w:val="006964F7"/>
    <w:rsid w:val="006A175A"/>
    <w:rsid w:val="006D6C17"/>
    <w:rsid w:val="00710694"/>
    <w:rsid w:val="00720D2A"/>
    <w:rsid w:val="0072260A"/>
    <w:rsid w:val="007379D7"/>
    <w:rsid w:val="007449DE"/>
    <w:rsid w:val="00746D3F"/>
    <w:rsid w:val="00785473"/>
    <w:rsid w:val="007A39DC"/>
    <w:rsid w:val="007B1C48"/>
    <w:rsid w:val="007F54DF"/>
    <w:rsid w:val="007F6C21"/>
    <w:rsid w:val="008615EF"/>
    <w:rsid w:val="00921776"/>
    <w:rsid w:val="009666AE"/>
    <w:rsid w:val="00994627"/>
    <w:rsid w:val="00997CF6"/>
    <w:rsid w:val="009F17BD"/>
    <w:rsid w:val="00A0181A"/>
    <w:rsid w:val="00A210E3"/>
    <w:rsid w:val="00A821B0"/>
    <w:rsid w:val="00A87803"/>
    <w:rsid w:val="00A9314A"/>
    <w:rsid w:val="00AA3B24"/>
    <w:rsid w:val="00AB77F8"/>
    <w:rsid w:val="00AC4E80"/>
    <w:rsid w:val="00AD729C"/>
    <w:rsid w:val="00AE2946"/>
    <w:rsid w:val="00B63F09"/>
    <w:rsid w:val="00B841E8"/>
    <w:rsid w:val="00B94462"/>
    <w:rsid w:val="00BE2242"/>
    <w:rsid w:val="00C62B01"/>
    <w:rsid w:val="00C73F0E"/>
    <w:rsid w:val="00CA2DD4"/>
    <w:rsid w:val="00CF3ADD"/>
    <w:rsid w:val="00CF77B5"/>
    <w:rsid w:val="00D74093"/>
    <w:rsid w:val="00D866F3"/>
    <w:rsid w:val="00DA19D7"/>
    <w:rsid w:val="00DB2550"/>
    <w:rsid w:val="00DB6B32"/>
    <w:rsid w:val="00DB6E3B"/>
    <w:rsid w:val="00DC6A1C"/>
    <w:rsid w:val="00DF67E0"/>
    <w:rsid w:val="00E128FB"/>
    <w:rsid w:val="00E2314A"/>
    <w:rsid w:val="00E26DC2"/>
    <w:rsid w:val="00E30020"/>
    <w:rsid w:val="00E9181A"/>
    <w:rsid w:val="00EA17A3"/>
    <w:rsid w:val="00EC045F"/>
    <w:rsid w:val="00ED09DB"/>
    <w:rsid w:val="00EF42D5"/>
    <w:rsid w:val="00F0636C"/>
    <w:rsid w:val="00F32B78"/>
    <w:rsid w:val="00FB53E1"/>
    <w:rsid w:val="00FD3668"/>
    <w:rsid w:val="00FD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57B64"/>
  <w15:chartTrackingRefBased/>
  <w15:docId w15:val="{0E0E9D2D-CD43-4E01-8F99-1E89F3E3F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615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15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15E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B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C62B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B01"/>
  </w:style>
  <w:style w:type="paragraph" w:styleId="Footer">
    <w:name w:val="footer"/>
    <w:basedOn w:val="Normal"/>
    <w:link w:val="FooterChar"/>
    <w:uiPriority w:val="99"/>
    <w:semiHidden/>
    <w:unhideWhenUsed/>
    <w:rsid w:val="00C62B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79F12F22C9E4F9273E32F354CEDB7" ma:contentTypeVersion="12" ma:contentTypeDescription="Create a new document." ma:contentTypeScope="" ma:versionID="269d2fed81ffc115f7c3d57f86669936">
  <xsd:schema xmlns:xsd="http://www.w3.org/2001/XMLSchema" xmlns:xs="http://www.w3.org/2001/XMLSchema" xmlns:p="http://schemas.microsoft.com/office/2006/metadata/properties" xmlns:ns2="366ae72f-6d51-4737-8f6b-a9169c366b64" xmlns:ns3="a3cd7b71-671d-4139-9a97-5d1a7380fae4" targetNamespace="http://schemas.microsoft.com/office/2006/metadata/properties" ma:root="true" ma:fieldsID="dc2c45890cfec18f8c711e369341847d" ns2:_="" ns3:_="">
    <xsd:import namespace="366ae72f-6d51-4737-8f6b-a9169c366b64"/>
    <xsd:import namespace="a3cd7b71-671d-4139-9a97-5d1a7380f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file_x0020_" minOccurs="0"/>
                <xsd:element ref="ns2:remark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ae72f-6d51-4737-8f6b-a9169c366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file_x0020_" ma:index="16" nillable="true" ma:displayName="file " ma:format="Dropdown" ma:internalName="file_x0020_" ma:percentage="FALSE">
      <xsd:simpleType>
        <xsd:restriction base="dms:Number"/>
      </xsd:simpleType>
    </xsd:element>
    <xsd:element name="remarks" ma:index="17" nillable="true" ma:displayName="remarks" ma:format="Dropdown" ma:internalName="remarks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d7b71-671d-4139-9a97-5d1a7380f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marks xmlns="366ae72f-6d51-4737-8f6b-a9169c366b64" xsi:nil="true"/>
    <file_x0020_ xmlns="366ae72f-6d51-4737-8f6b-a9169c366b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EDC64-7C22-4800-A332-2E250E245C3B}"/>
</file>

<file path=customXml/itemProps2.xml><?xml version="1.0" encoding="utf-8"?>
<ds:datastoreItem xmlns:ds="http://schemas.openxmlformats.org/officeDocument/2006/customXml" ds:itemID="{3D45D18A-0A77-4F8E-9D98-6E8820FA4D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5D6836-FEC6-4367-8A6F-D1A66CCD1E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83CF0A-D5ED-40D6-BF66-9A24DC23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Baviera</dc:creator>
  <cp:keywords/>
  <dc:description/>
  <cp:lastModifiedBy>Pieter</cp:lastModifiedBy>
  <cp:revision>4</cp:revision>
  <dcterms:created xsi:type="dcterms:W3CDTF">2019-07-02T14:13:00Z</dcterms:created>
  <dcterms:modified xsi:type="dcterms:W3CDTF">2019-07-02T14:24:00Z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0x01010000979F12F22C9E4F9273E32F354CEDB7</vt:lpwstr>
  </property>
</Properties>
</file>