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D12BDC" w14:textId="738C5316" w:rsidR="00221DAB" w:rsidRPr="00341033" w:rsidRDefault="006D3DB3" w:rsidP="00221DAB">
      <w:pPr>
        <w:tabs>
          <w:tab w:val="left" w:pos="9630"/>
        </w:tabs>
        <w:ind w:right="-1332"/>
        <w:jc w:val="center"/>
        <w:rPr>
          <w:rFonts w:ascii="Arial" w:hAnsi="Arial" w:cs="Arial"/>
          <w:b/>
          <w:sz w:val="22"/>
          <w:szCs w:val="22"/>
        </w:rPr>
      </w:pPr>
      <w:bookmarkStart w:id="0" w:name="_GoBack"/>
      <w:bookmarkEnd w:id="0"/>
      <w:r w:rsidRPr="00341033">
        <w:rPr>
          <w:rFonts w:ascii="Arial" w:hAnsi="Arial" w:cs="Arial"/>
          <w:b/>
          <w:sz w:val="22"/>
          <w:szCs w:val="22"/>
        </w:rPr>
        <w:t xml:space="preserve">Accredited Entity: </w:t>
      </w:r>
      <w:proofErr w:type="spellStart"/>
      <w:r w:rsidRPr="00341033">
        <w:rPr>
          <w:rFonts w:ascii="Arial" w:hAnsi="Arial" w:cs="Arial"/>
          <w:b/>
          <w:sz w:val="22"/>
          <w:szCs w:val="22"/>
        </w:rPr>
        <w:t>Kreditanstalt</w:t>
      </w:r>
      <w:proofErr w:type="spellEnd"/>
      <w:r w:rsidRPr="00341033">
        <w:rPr>
          <w:rFonts w:ascii="Arial" w:hAnsi="Arial" w:cs="Arial"/>
          <w:b/>
          <w:sz w:val="22"/>
          <w:szCs w:val="22"/>
        </w:rPr>
        <w:t xml:space="preserve"> </w:t>
      </w:r>
      <w:proofErr w:type="spellStart"/>
      <w:r w:rsidRPr="00341033">
        <w:rPr>
          <w:rFonts w:ascii="Arial" w:hAnsi="Arial" w:cs="Arial"/>
          <w:b/>
          <w:sz w:val="22"/>
          <w:szCs w:val="22"/>
        </w:rPr>
        <w:t>für</w:t>
      </w:r>
      <w:proofErr w:type="spellEnd"/>
      <w:r w:rsidRPr="00341033">
        <w:rPr>
          <w:rFonts w:ascii="Arial" w:hAnsi="Arial" w:cs="Arial"/>
          <w:b/>
          <w:sz w:val="22"/>
          <w:szCs w:val="22"/>
        </w:rPr>
        <w:t xml:space="preserve"> </w:t>
      </w:r>
      <w:proofErr w:type="spellStart"/>
      <w:r w:rsidRPr="00341033">
        <w:rPr>
          <w:rFonts w:ascii="Arial" w:hAnsi="Arial" w:cs="Arial"/>
          <w:b/>
          <w:sz w:val="22"/>
          <w:szCs w:val="22"/>
        </w:rPr>
        <w:t>Wiederaufbau</w:t>
      </w:r>
      <w:proofErr w:type="spellEnd"/>
    </w:p>
    <w:p w14:paraId="695C6DB9" w14:textId="77777777" w:rsidR="00221DAB" w:rsidRPr="00341033" w:rsidRDefault="00221DAB" w:rsidP="00221DAB">
      <w:pPr>
        <w:tabs>
          <w:tab w:val="left" w:pos="9630"/>
        </w:tabs>
        <w:ind w:right="-1332"/>
        <w:jc w:val="center"/>
        <w:rPr>
          <w:rFonts w:ascii="Arial" w:hAnsi="Arial" w:cs="Arial"/>
          <w:b/>
          <w:sz w:val="22"/>
          <w:szCs w:val="22"/>
        </w:rPr>
      </w:pPr>
    </w:p>
    <w:p w14:paraId="27A7CB8D" w14:textId="4BD892DC" w:rsidR="007258A5" w:rsidRPr="00221DAB" w:rsidRDefault="0089562A" w:rsidP="00221DAB">
      <w:pPr>
        <w:tabs>
          <w:tab w:val="left" w:pos="9630"/>
        </w:tabs>
        <w:ind w:right="-1332"/>
        <w:jc w:val="center"/>
        <w:rPr>
          <w:rFonts w:ascii="Arial" w:hAnsi="Arial" w:cs="Arial"/>
          <w:b/>
          <w:sz w:val="22"/>
          <w:szCs w:val="22"/>
        </w:rPr>
      </w:pPr>
      <w:r w:rsidRPr="00221DAB">
        <w:rPr>
          <w:rFonts w:ascii="Arial" w:hAnsi="Arial" w:cs="Arial"/>
          <w:b/>
          <w:sz w:val="22"/>
          <w:szCs w:val="22"/>
        </w:rPr>
        <w:t xml:space="preserve">Procurement </w:t>
      </w:r>
      <w:r w:rsidR="00221DAB" w:rsidRPr="00221DAB">
        <w:rPr>
          <w:rFonts w:ascii="Arial" w:hAnsi="Arial" w:cs="Arial"/>
          <w:b/>
          <w:sz w:val="22"/>
          <w:szCs w:val="22"/>
        </w:rPr>
        <w:t xml:space="preserve">Rules applied </w:t>
      </w:r>
      <w:r w:rsidR="00221DAB">
        <w:rPr>
          <w:rFonts w:ascii="Arial" w:hAnsi="Arial" w:cs="Arial"/>
          <w:b/>
          <w:sz w:val="22"/>
          <w:szCs w:val="22"/>
        </w:rPr>
        <w:t>in</w:t>
      </w:r>
      <w:r w:rsidR="00221DAB" w:rsidRPr="00221DAB">
        <w:rPr>
          <w:rFonts w:ascii="Arial" w:hAnsi="Arial" w:cs="Arial"/>
          <w:b/>
          <w:sz w:val="22"/>
          <w:szCs w:val="22"/>
        </w:rPr>
        <w:t xml:space="preserve"> the </w:t>
      </w:r>
      <w:proofErr w:type="spellStart"/>
      <w:r w:rsidR="00221DAB" w:rsidRPr="00221DAB">
        <w:rPr>
          <w:rFonts w:ascii="Arial" w:hAnsi="Arial" w:cs="Arial"/>
          <w:b/>
          <w:sz w:val="22"/>
          <w:szCs w:val="22"/>
        </w:rPr>
        <w:t>Programme</w:t>
      </w:r>
      <w:proofErr w:type="spellEnd"/>
      <w:r w:rsidR="00221DAB" w:rsidRPr="00221DAB">
        <w:rPr>
          <w:rFonts w:ascii="Arial" w:hAnsi="Arial" w:cs="Arial"/>
          <w:b/>
          <w:sz w:val="22"/>
          <w:szCs w:val="22"/>
        </w:rPr>
        <w:t xml:space="preserve"> </w:t>
      </w:r>
    </w:p>
    <w:p w14:paraId="74DA67F2" w14:textId="77777777" w:rsidR="007258A5" w:rsidRPr="00221DAB" w:rsidRDefault="007258A5" w:rsidP="00221DAB">
      <w:pPr>
        <w:jc w:val="both"/>
        <w:rPr>
          <w:rFonts w:ascii="Arial" w:hAnsi="Arial" w:cs="Arial"/>
          <w:sz w:val="22"/>
          <w:szCs w:val="22"/>
        </w:rPr>
      </w:pPr>
    </w:p>
    <w:p w14:paraId="36EB0BED" w14:textId="77777777" w:rsidR="000C6DBC" w:rsidRDefault="000C6DBC" w:rsidP="00221DAB">
      <w:pPr>
        <w:widowControl w:val="0"/>
        <w:autoSpaceDE w:val="0"/>
        <w:autoSpaceDN w:val="0"/>
        <w:adjustRightInd w:val="0"/>
        <w:spacing w:after="60"/>
        <w:rPr>
          <w:rFonts w:ascii="Arial" w:hAnsi="Arial" w:cs="Arial"/>
          <w:b/>
        </w:rPr>
      </w:pPr>
    </w:p>
    <w:p w14:paraId="2D1816F5" w14:textId="60E11B8E" w:rsidR="00221DAB" w:rsidRPr="00804B47" w:rsidRDefault="00221DAB" w:rsidP="00221DAB">
      <w:pPr>
        <w:widowControl w:val="0"/>
        <w:autoSpaceDE w:val="0"/>
        <w:autoSpaceDN w:val="0"/>
        <w:adjustRightInd w:val="0"/>
        <w:spacing w:after="60"/>
        <w:jc w:val="both"/>
        <w:rPr>
          <w:rFonts w:ascii="Arial" w:hAnsi="Arial" w:cs="Arial"/>
          <w:b/>
        </w:rPr>
      </w:pPr>
      <w:r w:rsidRPr="00804B47">
        <w:rPr>
          <w:rFonts w:ascii="Arial" w:hAnsi="Arial" w:cs="Arial"/>
          <w:b/>
        </w:rPr>
        <w:t xml:space="preserve">BAF Procurement </w:t>
      </w:r>
      <w:r>
        <w:rPr>
          <w:rFonts w:ascii="Arial" w:hAnsi="Arial" w:cs="Arial"/>
          <w:b/>
        </w:rPr>
        <w:t>Guidelines</w:t>
      </w:r>
      <w:r w:rsidR="008331F8">
        <w:rPr>
          <w:rFonts w:ascii="Arial" w:hAnsi="Arial" w:cs="Arial"/>
          <w:b/>
        </w:rPr>
        <w:t xml:space="preserve"> to be applied by Sub-Projects</w:t>
      </w:r>
    </w:p>
    <w:p w14:paraId="103582B5" w14:textId="55401898" w:rsidR="00221DAB" w:rsidRPr="00221DAB" w:rsidRDefault="00221DAB" w:rsidP="00221DAB">
      <w:pPr>
        <w:widowControl w:val="0"/>
        <w:autoSpaceDE w:val="0"/>
        <w:autoSpaceDN w:val="0"/>
        <w:adjustRightInd w:val="0"/>
        <w:spacing w:after="60"/>
        <w:jc w:val="both"/>
        <w:rPr>
          <w:rFonts w:ascii="Arial" w:hAnsi="Arial" w:cs="Arial"/>
          <w:sz w:val="22"/>
          <w:szCs w:val="22"/>
          <w:lang w:val="en-GB"/>
        </w:rPr>
      </w:pPr>
      <w:r w:rsidRPr="00221DAB">
        <w:rPr>
          <w:rFonts w:ascii="Arial" w:hAnsi="Arial" w:cs="Arial"/>
          <w:sz w:val="22"/>
          <w:szCs w:val="22"/>
        </w:rPr>
        <w:t>P</w:t>
      </w:r>
      <w:proofErr w:type="spellStart"/>
      <w:r w:rsidRPr="00221DAB">
        <w:rPr>
          <w:rFonts w:ascii="Arial" w:hAnsi="Arial" w:cs="Arial"/>
          <w:sz w:val="22"/>
          <w:szCs w:val="22"/>
          <w:lang w:val="en-GB"/>
        </w:rPr>
        <w:t>rocurement</w:t>
      </w:r>
      <w:proofErr w:type="spellEnd"/>
      <w:r w:rsidRPr="00221DAB">
        <w:rPr>
          <w:rFonts w:ascii="Arial" w:hAnsi="Arial" w:cs="Arial"/>
          <w:sz w:val="22"/>
          <w:szCs w:val="22"/>
          <w:lang w:val="en-GB"/>
        </w:rPr>
        <w:t xml:space="preserve"> and financial management will be implemented by NGOs according to </w:t>
      </w:r>
      <w:proofErr w:type="spellStart"/>
      <w:r w:rsidRPr="00221DAB">
        <w:rPr>
          <w:rFonts w:ascii="Arial" w:hAnsi="Arial" w:cs="Arial"/>
          <w:sz w:val="22"/>
          <w:szCs w:val="22"/>
          <w:lang w:val="en-GB"/>
        </w:rPr>
        <w:t>BAF’s</w:t>
      </w:r>
      <w:proofErr w:type="spellEnd"/>
      <w:r w:rsidRPr="00221DAB">
        <w:rPr>
          <w:rFonts w:ascii="Arial" w:hAnsi="Arial" w:cs="Arial"/>
          <w:sz w:val="22"/>
          <w:szCs w:val="22"/>
          <w:lang w:val="en-GB"/>
        </w:rPr>
        <w:t xml:space="preserve"> Grant Procedures Manual, which details all guidelines and rules for procurement, disbursement methods, financial accounting and auditing. </w:t>
      </w:r>
      <w:proofErr w:type="spellStart"/>
      <w:r w:rsidR="00AC241D">
        <w:rPr>
          <w:rFonts w:ascii="Arial" w:hAnsi="Arial" w:cs="Arial"/>
          <w:sz w:val="22"/>
          <w:szCs w:val="22"/>
          <w:lang w:val="en-GB"/>
        </w:rPr>
        <w:t>BAF’s</w:t>
      </w:r>
      <w:proofErr w:type="spellEnd"/>
      <w:r w:rsidR="00AC241D">
        <w:rPr>
          <w:rFonts w:ascii="Arial" w:hAnsi="Arial" w:cs="Arial"/>
          <w:sz w:val="22"/>
          <w:szCs w:val="22"/>
          <w:lang w:val="en-GB"/>
        </w:rPr>
        <w:t xml:space="preserve"> procurement rules are in </w:t>
      </w:r>
      <w:r w:rsidR="00AC241D" w:rsidRPr="00221DAB">
        <w:rPr>
          <w:rFonts w:ascii="Arial" w:hAnsi="Arial" w:cs="Arial"/>
          <w:sz w:val="22"/>
          <w:szCs w:val="22"/>
        </w:rPr>
        <w:t xml:space="preserve">line with </w:t>
      </w:r>
      <w:r w:rsidR="00AC241D" w:rsidRPr="00221DAB">
        <w:rPr>
          <w:rFonts w:ascii="Arial" w:eastAsia="MS Mincho" w:hAnsi="Arial" w:cs="Arial"/>
          <w:color w:val="000000"/>
          <w:sz w:val="22"/>
          <w:szCs w:val="22"/>
          <w:lang w:val="en-GB"/>
        </w:rPr>
        <w:t>KFW Procurement Guidelines (“</w:t>
      </w:r>
      <w:r w:rsidR="00AC241D" w:rsidRPr="00221DAB">
        <w:rPr>
          <w:rFonts w:ascii="Arial" w:hAnsi="Arial" w:cs="Arial"/>
          <w:sz w:val="22"/>
          <w:szCs w:val="22"/>
          <w:lang w:val="en-GB"/>
        </w:rPr>
        <w:t xml:space="preserve">Guidelines for the Procurement of Consulting Services, Works, Plant, Goods and Non- Consulting Services in Financial Cooperation with Partner Countries, January 2019”. Link for download: </w:t>
      </w:r>
      <w:hyperlink r:id="rId8" w:history="1">
        <w:r w:rsidR="00AC241D" w:rsidRPr="00221DAB">
          <w:rPr>
            <w:rStyle w:val="Hyperlink"/>
            <w:rFonts w:ascii="Arial" w:hAnsi="Arial" w:cs="Arial"/>
            <w:sz w:val="22"/>
            <w:szCs w:val="22"/>
            <w:lang w:val="en-GB"/>
          </w:rPr>
          <w:t>https://www.kfw-entwicklungsbank.de/PDF/Download-Center/PDF-Dokumente-Richtlinien/Vergaberichtlinien-2019-Englisch-Internet_2.pdf</w:t>
        </w:r>
      </w:hyperlink>
      <w:r w:rsidR="00AC241D" w:rsidRPr="00221DAB">
        <w:rPr>
          <w:rFonts w:ascii="Arial" w:hAnsi="Arial" w:cs="Arial"/>
          <w:sz w:val="22"/>
          <w:szCs w:val="22"/>
          <w:lang w:val="en-GB"/>
        </w:rPr>
        <w:t>.)</w:t>
      </w:r>
    </w:p>
    <w:p w14:paraId="6FE41B17" w14:textId="77777777" w:rsidR="00221DAB" w:rsidRPr="00221DAB" w:rsidRDefault="00221DAB" w:rsidP="00221DAB">
      <w:pPr>
        <w:widowControl w:val="0"/>
        <w:autoSpaceDE w:val="0"/>
        <w:autoSpaceDN w:val="0"/>
        <w:adjustRightInd w:val="0"/>
        <w:spacing w:after="60"/>
        <w:jc w:val="both"/>
        <w:rPr>
          <w:rFonts w:ascii="Arial" w:hAnsi="Arial" w:cs="Arial"/>
          <w:color w:val="000000"/>
          <w:sz w:val="22"/>
          <w:szCs w:val="22"/>
          <w:lang w:val="en-GB"/>
        </w:rPr>
      </w:pPr>
      <w:r w:rsidRPr="00221DAB">
        <w:rPr>
          <w:rFonts w:ascii="Arial" w:hAnsi="Arial" w:cs="Arial"/>
          <w:color w:val="000000"/>
          <w:sz w:val="22"/>
          <w:szCs w:val="22"/>
          <w:lang w:val="en-GB"/>
        </w:rPr>
        <w:t xml:space="preserve">Procurement of goods, works and related services and other consulting services for projects funded by </w:t>
      </w:r>
      <w:proofErr w:type="spellStart"/>
      <w:r w:rsidRPr="00221DAB">
        <w:rPr>
          <w:rFonts w:ascii="Arial" w:hAnsi="Arial" w:cs="Arial"/>
          <w:color w:val="000000"/>
          <w:sz w:val="22"/>
          <w:szCs w:val="22"/>
          <w:lang w:val="en-GB"/>
        </w:rPr>
        <w:t>GCF</w:t>
      </w:r>
      <w:proofErr w:type="spellEnd"/>
      <w:r w:rsidRPr="00221DAB">
        <w:rPr>
          <w:rFonts w:ascii="Arial" w:hAnsi="Arial" w:cs="Arial"/>
          <w:color w:val="000000"/>
          <w:sz w:val="22"/>
          <w:szCs w:val="22"/>
          <w:lang w:val="en-GB"/>
        </w:rPr>
        <w:t xml:space="preserve"> will be based on strict ethical principles and best international procurement practices for NGOs, and will conform to </w:t>
      </w:r>
      <w:proofErr w:type="spellStart"/>
      <w:r w:rsidRPr="00221DAB">
        <w:rPr>
          <w:rFonts w:ascii="Arial" w:hAnsi="Arial" w:cs="Arial"/>
          <w:color w:val="000000"/>
          <w:sz w:val="22"/>
          <w:szCs w:val="22"/>
          <w:lang w:val="en-GB"/>
        </w:rPr>
        <w:t>BAF’s</w:t>
      </w:r>
      <w:proofErr w:type="spellEnd"/>
      <w:r w:rsidRPr="00221DAB">
        <w:rPr>
          <w:rFonts w:ascii="Arial" w:hAnsi="Arial" w:cs="Arial"/>
          <w:color w:val="000000"/>
          <w:sz w:val="22"/>
          <w:szCs w:val="22"/>
          <w:lang w:val="en-GB"/>
        </w:rPr>
        <w:t xml:space="preserve"> procurement policy.</w:t>
      </w:r>
    </w:p>
    <w:p w14:paraId="646198DA" w14:textId="5E78A76F" w:rsidR="007A3AB2" w:rsidRPr="00221DAB" w:rsidRDefault="007A3AB2" w:rsidP="00221DAB">
      <w:pPr>
        <w:jc w:val="both"/>
        <w:rPr>
          <w:rFonts w:ascii="Arial" w:hAnsi="Arial" w:cs="Arial"/>
          <w:b/>
          <w:sz w:val="22"/>
          <w:szCs w:val="22"/>
          <w:lang w:val="en-GB"/>
        </w:rPr>
      </w:pPr>
    </w:p>
    <w:p w14:paraId="4E86F28A" w14:textId="77777777" w:rsidR="00221DAB" w:rsidRPr="00221DAB" w:rsidRDefault="00221DAB" w:rsidP="00221DAB">
      <w:pPr>
        <w:tabs>
          <w:tab w:val="left" w:pos="1180"/>
        </w:tabs>
        <w:rPr>
          <w:rFonts w:ascii="Arial" w:hAnsi="Arial" w:cs="Arial"/>
          <w:color w:val="000000"/>
          <w:sz w:val="22"/>
          <w:szCs w:val="22"/>
          <w:lang w:val="en-GB"/>
        </w:rPr>
      </w:pPr>
      <w:r w:rsidRPr="00221DAB">
        <w:rPr>
          <w:rFonts w:ascii="Arial" w:hAnsi="Arial" w:cs="Arial"/>
          <w:color w:val="000000"/>
          <w:sz w:val="22"/>
          <w:szCs w:val="22"/>
          <w:lang w:val="en-GB"/>
        </w:rPr>
        <w:t xml:space="preserve">The following thresholds apply to all types of procurement for </w:t>
      </w:r>
      <w:r w:rsidRPr="00221DAB">
        <w:rPr>
          <w:rFonts w:ascii="Arial" w:hAnsi="Arial" w:cs="Arial"/>
          <w:i/>
          <w:iCs/>
          <w:color w:val="000000"/>
          <w:sz w:val="22"/>
          <w:szCs w:val="22"/>
          <w:lang w:val="en-GB"/>
        </w:rPr>
        <w:t xml:space="preserve">consulting </w:t>
      </w:r>
      <w:r w:rsidRPr="00221DAB">
        <w:rPr>
          <w:rFonts w:ascii="Arial" w:hAnsi="Arial" w:cs="Arial"/>
          <w:color w:val="000000"/>
          <w:sz w:val="22"/>
          <w:szCs w:val="22"/>
          <w:lang w:val="en-GB"/>
        </w:rPr>
        <w:t>services: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64"/>
        <w:gridCol w:w="3464"/>
      </w:tblGrid>
      <w:tr w:rsidR="00221DAB" w:rsidRPr="00221DAB" w14:paraId="6AD81C0C" w14:textId="77777777" w:rsidTr="007A5A24">
        <w:trPr>
          <w:trHeight w:val="436"/>
        </w:trPr>
        <w:tc>
          <w:tcPr>
            <w:tcW w:w="3464" w:type="dxa"/>
            <w:shd w:val="clear" w:color="auto" w:fill="4472C4"/>
          </w:tcPr>
          <w:p w14:paraId="2A137233" w14:textId="77777777" w:rsidR="00221DAB" w:rsidRPr="00221DAB" w:rsidRDefault="00221DAB" w:rsidP="007A5A24">
            <w:pPr>
              <w:widowControl w:val="0"/>
              <w:autoSpaceDE w:val="0"/>
              <w:autoSpaceDN w:val="0"/>
              <w:adjustRightInd w:val="0"/>
              <w:jc w:val="center"/>
              <w:rPr>
                <w:rFonts w:ascii="Arial" w:eastAsia="MS Mincho" w:hAnsi="Arial" w:cs="Arial"/>
                <w:color w:val="000000"/>
                <w:sz w:val="22"/>
                <w:szCs w:val="22"/>
                <w:lang w:val="en-GB"/>
              </w:rPr>
            </w:pPr>
            <w:r w:rsidRPr="00221DAB">
              <w:rPr>
                <w:rFonts w:ascii="Arial" w:eastAsia="MS Mincho" w:hAnsi="Arial" w:cs="Arial"/>
                <w:b/>
                <w:bCs/>
                <w:color w:val="000000"/>
                <w:sz w:val="22"/>
                <w:szCs w:val="22"/>
                <w:lang w:val="en-GB"/>
              </w:rPr>
              <w:t>Contract value</w:t>
            </w:r>
          </w:p>
        </w:tc>
        <w:tc>
          <w:tcPr>
            <w:tcW w:w="3464" w:type="dxa"/>
            <w:shd w:val="clear" w:color="auto" w:fill="4472C4"/>
          </w:tcPr>
          <w:p w14:paraId="4710CEBE" w14:textId="77777777" w:rsidR="00221DAB" w:rsidRPr="00221DAB" w:rsidRDefault="00221DAB" w:rsidP="007A5A24">
            <w:pPr>
              <w:widowControl w:val="0"/>
              <w:autoSpaceDE w:val="0"/>
              <w:autoSpaceDN w:val="0"/>
              <w:adjustRightInd w:val="0"/>
              <w:jc w:val="center"/>
              <w:rPr>
                <w:rFonts w:ascii="Arial" w:eastAsia="MS Mincho" w:hAnsi="Arial" w:cs="Arial"/>
                <w:color w:val="000000"/>
                <w:sz w:val="22"/>
                <w:szCs w:val="22"/>
                <w:lang w:val="en-GB"/>
              </w:rPr>
            </w:pPr>
            <w:r w:rsidRPr="00221DAB">
              <w:rPr>
                <w:rFonts w:ascii="Arial" w:eastAsia="MS Mincho" w:hAnsi="Arial" w:cs="Arial"/>
                <w:b/>
                <w:bCs/>
                <w:color w:val="000000"/>
                <w:sz w:val="22"/>
                <w:szCs w:val="22"/>
                <w:lang w:val="en-GB"/>
              </w:rPr>
              <w:t>Procurement method</w:t>
            </w:r>
          </w:p>
        </w:tc>
      </w:tr>
      <w:tr w:rsidR="00221DAB" w:rsidRPr="00221DAB" w14:paraId="2282FD31" w14:textId="77777777" w:rsidTr="007A5A24">
        <w:trPr>
          <w:trHeight w:val="297"/>
        </w:trPr>
        <w:tc>
          <w:tcPr>
            <w:tcW w:w="3464" w:type="dxa"/>
            <w:shd w:val="clear" w:color="auto" w:fill="auto"/>
          </w:tcPr>
          <w:p w14:paraId="7FB8EE11"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&lt; EUR 10,000</w:t>
            </w:r>
          </w:p>
        </w:tc>
        <w:tc>
          <w:tcPr>
            <w:tcW w:w="3464" w:type="dxa"/>
            <w:shd w:val="clear" w:color="auto" w:fill="auto"/>
          </w:tcPr>
          <w:p w14:paraId="74921029"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Discretionary award (= direct award)</w:t>
            </w:r>
          </w:p>
        </w:tc>
      </w:tr>
      <w:tr w:rsidR="00221DAB" w:rsidRPr="00221DAB" w14:paraId="544ACCE0" w14:textId="77777777" w:rsidTr="007A5A24">
        <w:trPr>
          <w:trHeight w:val="508"/>
        </w:trPr>
        <w:tc>
          <w:tcPr>
            <w:tcW w:w="3464" w:type="dxa"/>
            <w:shd w:val="clear" w:color="auto" w:fill="auto"/>
          </w:tcPr>
          <w:p w14:paraId="163803DD"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EUR 10,000 to EUR 99,999</w:t>
            </w:r>
          </w:p>
        </w:tc>
        <w:tc>
          <w:tcPr>
            <w:tcW w:w="3464" w:type="dxa"/>
            <w:shd w:val="clear" w:color="auto" w:fill="auto"/>
          </w:tcPr>
          <w:p w14:paraId="7DF8FE90"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Limited competitive bidding/price quotation (at least 3 qualified bidders)</w:t>
            </w:r>
          </w:p>
        </w:tc>
      </w:tr>
      <w:tr w:rsidR="00221DAB" w:rsidRPr="00221DAB" w14:paraId="572C052A" w14:textId="77777777" w:rsidTr="007A5A24">
        <w:trPr>
          <w:trHeight w:val="396"/>
        </w:trPr>
        <w:tc>
          <w:tcPr>
            <w:tcW w:w="3464" w:type="dxa"/>
            <w:shd w:val="clear" w:color="auto" w:fill="auto"/>
          </w:tcPr>
          <w:p w14:paraId="54A2A33C"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 EUR 100,000</w:t>
            </w:r>
          </w:p>
        </w:tc>
        <w:tc>
          <w:tcPr>
            <w:tcW w:w="3464" w:type="dxa"/>
            <w:shd w:val="clear" w:color="auto" w:fill="auto"/>
          </w:tcPr>
          <w:p w14:paraId="7E5D2A48"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Open competitive bidding</w:t>
            </w:r>
          </w:p>
        </w:tc>
      </w:tr>
    </w:tbl>
    <w:p w14:paraId="4ECF0395" w14:textId="77777777" w:rsidR="00221DAB" w:rsidRPr="00221DAB" w:rsidRDefault="00221DAB" w:rsidP="00221DAB">
      <w:pPr>
        <w:widowControl w:val="0"/>
        <w:autoSpaceDE w:val="0"/>
        <w:autoSpaceDN w:val="0"/>
        <w:adjustRightInd w:val="0"/>
        <w:spacing w:after="60"/>
        <w:jc w:val="both"/>
        <w:rPr>
          <w:rFonts w:ascii="Arial" w:hAnsi="Arial" w:cs="Arial"/>
          <w:color w:val="000000"/>
          <w:sz w:val="22"/>
          <w:szCs w:val="22"/>
          <w:lang w:val="en-GB"/>
        </w:rPr>
      </w:pPr>
    </w:p>
    <w:p w14:paraId="76C95779" w14:textId="77777777" w:rsidR="00221DAB" w:rsidRPr="00221DAB" w:rsidRDefault="00221DAB" w:rsidP="00221DAB">
      <w:pPr>
        <w:widowControl w:val="0"/>
        <w:autoSpaceDE w:val="0"/>
        <w:autoSpaceDN w:val="0"/>
        <w:adjustRightInd w:val="0"/>
        <w:spacing w:after="60"/>
        <w:jc w:val="both"/>
        <w:rPr>
          <w:rFonts w:ascii="Arial" w:hAnsi="Arial" w:cs="Arial"/>
          <w:color w:val="000000"/>
          <w:sz w:val="22"/>
          <w:szCs w:val="22"/>
          <w:lang w:val="en-GB"/>
        </w:rPr>
      </w:pPr>
      <w:r w:rsidRPr="00221DAB">
        <w:rPr>
          <w:rFonts w:ascii="Arial" w:hAnsi="Arial" w:cs="Arial"/>
          <w:color w:val="000000"/>
          <w:sz w:val="22"/>
          <w:szCs w:val="22"/>
          <w:lang w:val="en-GB"/>
        </w:rPr>
        <w:t xml:space="preserve">The following thresholds apply to all types of procurement for </w:t>
      </w:r>
      <w:r w:rsidRPr="00221DAB">
        <w:rPr>
          <w:rFonts w:ascii="Arial" w:hAnsi="Arial" w:cs="Arial"/>
          <w:i/>
          <w:color w:val="000000"/>
          <w:sz w:val="22"/>
          <w:szCs w:val="22"/>
          <w:lang w:val="en-GB"/>
        </w:rPr>
        <w:t>goods and services other than consulting</w:t>
      </w:r>
      <w:r w:rsidRPr="00221DAB">
        <w:rPr>
          <w:rFonts w:ascii="Arial" w:hAnsi="Arial" w:cs="Arial"/>
          <w:color w:val="000000"/>
          <w:sz w:val="22"/>
          <w:szCs w:val="22"/>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64"/>
        <w:gridCol w:w="3464"/>
      </w:tblGrid>
      <w:tr w:rsidR="00221DAB" w:rsidRPr="00221DAB" w14:paraId="0D099667" w14:textId="77777777" w:rsidTr="007A5A24">
        <w:trPr>
          <w:trHeight w:val="436"/>
        </w:trPr>
        <w:tc>
          <w:tcPr>
            <w:tcW w:w="3464" w:type="dxa"/>
            <w:shd w:val="clear" w:color="auto" w:fill="4472C4"/>
          </w:tcPr>
          <w:p w14:paraId="252DAFD3" w14:textId="77777777" w:rsidR="00221DAB" w:rsidRPr="00221DAB" w:rsidRDefault="00221DAB" w:rsidP="007A5A24">
            <w:pPr>
              <w:widowControl w:val="0"/>
              <w:autoSpaceDE w:val="0"/>
              <w:autoSpaceDN w:val="0"/>
              <w:adjustRightInd w:val="0"/>
              <w:jc w:val="center"/>
              <w:rPr>
                <w:rFonts w:ascii="Arial" w:eastAsia="MS Mincho" w:hAnsi="Arial" w:cs="Arial"/>
                <w:color w:val="000000"/>
                <w:sz w:val="22"/>
                <w:szCs w:val="22"/>
                <w:lang w:val="en-GB"/>
              </w:rPr>
            </w:pPr>
            <w:r w:rsidRPr="00221DAB">
              <w:rPr>
                <w:rFonts w:ascii="Arial" w:eastAsia="MS Mincho" w:hAnsi="Arial" w:cs="Arial"/>
                <w:b/>
                <w:bCs/>
                <w:color w:val="000000"/>
                <w:sz w:val="22"/>
                <w:szCs w:val="22"/>
                <w:lang w:val="en-GB"/>
              </w:rPr>
              <w:t>Contract value</w:t>
            </w:r>
          </w:p>
        </w:tc>
        <w:tc>
          <w:tcPr>
            <w:tcW w:w="3464" w:type="dxa"/>
            <w:shd w:val="clear" w:color="auto" w:fill="4472C4"/>
          </w:tcPr>
          <w:p w14:paraId="64BEF6A9" w14:textId="77777777" w:rsidR="00221DAB" w:rsidRPr="00221DAB" w:rsidRDefault="00221DAB" w:rsidP="007A5A24">
            <w:pPr>
              <w:widowControl w:val="0"/>
              <w:autoSpaceDE w:val="0"/>
              <w:autoSpaceDN w:val="0"/>
              <w:adjustRightInd w:val="0"/>
              <w:jc w:val="center"/>
              <w:rPr>
                <w:rFonts w:ascii="Arial" w:eastAsia="MS Mincho" w:hAnsi="Arial" w:cs="Arial"/>
                <w:color w:val="000000"/>
                <w:sz w:val="22"/>
                <w:szCs w:val="22"/>
                <w:lang w:val="en-GB"/>
              </w:rPr>
            </w:pPr>
            <w:r w:rsidRPr="00221DAB">
              <w:rPr>
                <w:rFonts w:ascii="Arial" w:eastAsia="MS Mincho" w:hAnsi="Arial" w:cs="Arial"/>
                <w:b/>
                <w:bCs/>
                <w:color w:val="000000"/>
                <w:sz w:val="22"/>
                <w:szCs w:val="22"/>
                <w:lang w:val="en-GB"/>
              </w:rPr>
              <w:t>Procurement method</w:t>
            </w:r>
          </w:p>
        </w:tc>
      </w:tr>
      <w:tr w:rsidR="00221DAB" w:rsidRPr="00221DAB" w14:paraId="0A0281FD" w14:textId="77777777" w:rsidTr="007A5A24">
        <w:trPr>
          <w:trHeight w:val="297"/>
        </w:trPr>
        <w:tc>
          <w:tcPr>
            <w:tcW w:w="3464" w:type="dxa"/>
            <w:shd w:val="clear" w:color="auto" w:fill="auto"/>
          </w:tcPr>
          <w:p w14:paraId="43DB9B33"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&lt; EUR 5,000</w:t>
            </w:r>
          </w:p>
        </w:tc>
        <w:tc>
          <w:tcPr>
            <w:tcW w:w="3464" w:type="dxa"/>
            <w:shd w:val="clear" w:color="auto" w:fill="auto"/>
          </w:tcPr>
          <w:p w14:paraId="5ADDCCB1"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Discretionary award (= direct award)</w:t>
            </w:r>
          </w:p>
        </w:tc>
      </w:tr>
      <w:tr w:rsidR="00221DAB" w:rsidRPr="00221DAB" w14:paraId="7C22381E" w14:textId="77777777" w:rsidTr="007A5A24">
        <w:trPr>
          <w:trHeight w:val="535"/>
        </w:trPr>
        <w:tc>
          <w:tcPr>
            <w:tcW w:w="3464" w:type="dxa"/>
            <w:shd w:val="clear" w:color="auto" w:fill="auto"/>
          </w:tcPr>
          <w:p w14:paraId="1D4178AA"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EUR 5,000 to EUR 99,999</w:t>
            </w:r>
          </w:p>
        </w:tc>
        <w:tc>
          <w:tcPr>
            <w:tcW w:w="3464" w:type="dxa"/>
            <w:shd w:val="clear" w:color="auto" w:fill="auto"/>
          </w:tcPr>
          <w:p w14:paraId="73BEDC9C"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Limited competitive bidding/price quotation (at least 3 qualified bidders)</w:t>
            </w:r>
          </w:p>
        </w:tc>
      </w:tr>
      <w:tr w:rsidR="00221DAB" w:rsidRPr="00221DAB" w14:paraId="3684A776" w14:textId="77777777" w:rsidTr="007A5A24">
        <w:trPr>
          <w:trHeight w:val="396"/>
        </w:trPr>
        <w:tc>
          <w:tcPr>
            <w:tcW w:w="3464" w:type="dxa"/>
            <w:shd w:val="clear" w:color="auto" w:fill="auto"/>
          </w:tcPr>
          <w:p w14:paraId="47CFC305"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 EUR 100,000</w:t>
            </w:r>
          </w:p>
        </w:tc>
        <w:tc>
          <w:tcPr>
            <w:tcW w:w="3464" w:type="dxa"/>
            <w:shd w:val="clear" w:color="auto" w:fill="auto"/>
          </w:tcPr>
          <w:p w14:paraId="087974DB" w14:textId="77777777" w:rsidR="00221DAB" w:rsidRPr="00221DAB" w:rsidRDefault="00221DAB" w:rsidP="007A5A24">
            <w:pPr>
              <w:widowControl w:val="0"/>
              <w:autoSpaceDE w:val="0"/>
              <w:autoSpaceDN w:val="0"/>
              <w:adjustRightInd w:val="0"/>
              <w:rPr>
                <w:rFonts w:ascii="Arial" w:eastAsia="MS Mincho" w:hAnsi="Arial" w:cs="Arial"/>
                <w:color w:val="000000"/>
                <w:sz w:val="22"/>
                <w:szCs w:val="22"/>
                <w:lang w:val="en-GB"/>
              </w:rPr>
            </w:pPr>
            <w:r w:rsidRPr="00221DAB">
              <w:rPr>
                <w:rFonts w:ascii="Arial" w:eastAsia="MS Mincho" w:hAnsi="Arial" w:cs="Arial"/>
                <w:color w:val="000000"/>
                <w:sz w:val="22"/>
                <w:szCs w:val="22"/>
                <w:lang w:val="en-GB"/>
              </w:rPr>
              <w:t>Open competitive bidding</w:t>
            </w:r>
          </w:p>
        </w:tc>
      </w:tr>
    </w:tbl>
    <w:p w14:paraId="1A1932A9" w14:textId="6DCC59BA" w:rsidR="00221DAB" w:rsidRPr="00AC241D" w:rsidRDefault="00221DAB" w:rsidP="00221DAB">
      <w:pPr>
        <w:widowControl w:val="0"/>
        <w:autoSpaceDE w:val="0"/>
        <w:autoSpaceDN w:val="0"/>
        <w:adjustRightInd w:val="0"/>
        <w:spacing w:before="120" w:after="120"/>
        <w:rPr>
          <w:rFonts w:ascii="Arial" w:hAnsi="Arial" w:cs="Arial"/>
          <w:color w:val="000000"/>
          <w:sz w:val="22"/>
          <w:szCs w:val="22"/>
          <w:lang w:val="en-GB"/>
        </w:rPr>
      </w:pPr>
      <w:r w:rsidRPr="00AC241D">
        <w:rPr>
          <w:rFonts w:ascii="Arial" w:hAnsi="Arial" w:cs="Arial"/>
          <w:b/>
          <w:bCs/>
          <w:color w:val="000000"/>
          <w:sz w:val="22"/>
          <w:szCs w:val="22"/>
          <w:lang w:val="en-GB"/>
        </w:rPr>
        <w:t xml:space="preserve">Discretionary award: </w:t>
      </w:r>
      <w:r w:rsidRPr="00AC241D">
        <w:rPr>
          <w:rFonts w:ascii="Arial" w:hAnsi="Arial" w:cs="Arial"/>
          <w:color w:val="000000"/>
          <w:sz w:val="22"/>
          <w:szCs w:val="22"/>
          <w:lang w:val="en-GB"/>
        </w:rPr>
        <w:t xml:space="preserve">Prior to the first direct award, the contracting party will obtain </w:t>
      </w:r>
      <w:proofErr w:type="spellStart"/>
      <w:r w:rsidRPr="00AC241D">
        <w:rPr>
          <w:rFonts w:ascii="Arial" w:hAnsi="Arial" w:cs="Arial"/>
          <w:color w:val="000000"/>
          <w:sz w:val="22"/>
          <w:szCs w:val="22"/>
          <w:lang w:val="en-GB"/>
        </w:rPr>
        <w:t>BAF’s</w:t>
      </w:r>
      <w:proofErr w:type="spellEnd"/>
      <w:r w:rsidRPr="00AC241D">
        <w:rPr>
          <w:rFonts w:ascii="Arial" w:hAnsi="Arial" w:cs="Arial"/>
          <w:color w:val="000000"/>
          <w:sz w:val="22"/>
          <w:szCs w:val="22"/>
          <w:lang w:val="en-GB"/>
        </w:rPr>
        <w:t xml:space="preserve"> no-objection to a standard request for proposal and standard contracts for this type of procurement to be used by the Implementing Partners (NGOs) in the project. </w:t>
      </w:r>
    </w:p>
    <w:p w14:paraId="003ECC6B" w14:textId="77777777" w:rsidR="00AC241D" w:rsidRPr="00AC241D" w:rsidRDefault="00AC241D" w:rsidP="00AC241D">
      <w:pPr>
        <w:widowControl w:val="0"/>
        <w:autoSpaceDE w:val="0"/>
        <w:autoSpaceDN w:val="0"/>
        <w:adjustRightInd w:val="0"/>
        <w:spacing w:after="120"/>
        <w:jc w:val="both"/>
        <w:rPr>
          <w:rFonts w:ascii="Arial" w:hAnsi="Arial" w:cs="Arial"/>
          <w:color w:val="000000"/>
          <w:sz w:val="22"/>
          <w:szCs w:val="22"/>
          <w:lang w:val="en-GB"/>
        </w:rPr>
      </w:pPr>
      <w:proofErr w:type="gramStart"/>
      <w:r w:rsidRPr="00AC241D">
        <w:rPr>
          <w:rFonts w:ascii="Arial" w:hAnsi="Arial" w:cs="Arial"/>
          <w:b/>
          <w:bCs/>
          <w:color w:val="000000"/>
          <w:sz w:val="22"/>
          <w:szCs w:val="22"/>
          <w:lang w:val="en-GB"/>
        </w:rPr>
        <w:t xml:space="preserve">Limited competitive bidding: </w:t>
      </w:r>
      <w:r w:rsidRPr="00AC241D">
        <w:rPr>
          <w:rFonts w:ascii="Arial" w:hAnsi="Arial" w:cs="Arial"/>
          <w:color w:val="000000"/>
          <w:sz w:val="22"/>
          <w:szCs w:val="22"/>
          <w:lang w:val="en-GB"/>
        </w:rPr>
        <w:t xml:space="preserve">Prior to the first tender, the contracting party will obtain </w:t>
      </w:r>
      <w:proofErr w:type="spellStart"/>
      <w:r w:rsidRPr="00AC241D">
        <w:rPr>
          <w:rFonts w:ascii="Arial" w:hAnsi="Arial" w:cs="Arial"/>
          <w:color w:val="000000"/>
          <w:sz w:val="22"/>
          <w:szCs w:val="22"/>
          <w:lang w:val="en-GB"/>
        </w:rPr>
        <w:t>BAF’s</w:t>
      </w:r>
      <w:proofErr w:type="spellEnd"/>
      <w:r w:rsidRPr="00AC241D">
        <w:rPr>
          <w:rFonts w:ascii="Arial" w:hAnsi="Arial" w:cs="Arial"/>
          <w:color w:val="000000"/>
          <w:sz w:val="22"/>
          <w:szCs w:val="22"/>
          <w:lang w:val="en-GB"/>
        </w:rPr>
        <w:t xml:space="preserve"> no-objection to the standard tender documents and standard contracts.</w:t>
      </w:r>
      <w:proofErr w:type="gramEnd"/>
      <w:r w:rsidRPr="00AC241D">
        <w:rPr>
          <w:rFonts w:ascii="Arial" w:hAnsi="Arial" w:cs="Arial"/>
          <w:color w:val="000000"/>
          <w:sz w:val="22"/>
          <w:szCs w:val="22"/>
          <w:lang w:val="en-GB"/>
        </w:rPr>
        <w:t xml:space="preserve"> The suitability of the shortlisted bidders must be documented by the Implementing Partners. </w:t>
      </w:r>
    </w:p>
    <w:p w14:paraId="0434DDAC" w14:textId="77777777" w:rsidR="00AC241D" w:rsidRPr="00AC241D" w:rsidRDefault="00AC241D" w:rsidP="00AC241D">
      <w:pPr>
        <w:pStyle w:val="Default"/>
        <w:spacing w:after="120"/>
        <w:jc w:val="both"/>
        <w:rPr>
          <w:rFonts w:ascii="Arial" w:hAnsi="Arial" w:cs="Arial"/>
          <w:sz w:val="22"/>
          <w:szCs w:val="22"/>
          <w:lang w:val="en-GB"/>
        </w:rPr>
      </w:pPr>
      <w:r w:rsidRPr="00AC241D">
        <w:rPr>
          <w:rFonts w:ascii="Arial" w:hAnsi="Arial" w:cs="Arial"/>
          <w:b/>
          <w:bCs/>
          <w:sz w:val="22"/>
          <w:szCs w:val="22"/>
          <w:lang w:val="en-GB"/>
        </w:rPr>
        <w:t xml:space="preserve">Open competitive bidding: </w:t>
      </w:r>
      <w:r w:rsidRPr="00AC241D">
        <w:rPr>
          <w:rFonts w:ascii="Arial" w:hAnsi="Arial" w:cs="Arial"/>
          <w:sz w:val="22"/>
          <w:szCs w:val="22"/>
          <w:lang w:val="en-GB"/>
        </w:rPr>
        <w:t>Implementing Partners will inform BAF as early as possible about their intention to implement open competitive bidding, and are required to provide BAF with the tender documents prior to invitation to tender and the tender evaluation reports for no-objection. Tenders must be advertised in recognized national, regional and international newspapers as well as on the website of German Trade and Invest (</w:t>
      </w:r>
      <w:proofErr w:type="spellStart"/>
      <w:r w:rsidRPr="00AC241D">
        <w:rPr>
          <w:rFonts w:ascii="Arial" w:hAnsi="Arial" w:cs="Arial"/>
          <w:sz w:val="22"/>
          <w:szCs w:val="22"/>
          <w:lang w:val="en-GB"/>
        </w:rPr>
        <w:t>GTAI</w:t>
      </w:r>
      <w:proofErr w:type="spellEnd"/>
      <w:r w:rsidRPr="00AC241D">
        <w:rPr>
          <w:rFonts w:ascii="Arial" w:hAnsi="Arial" w:cs="Arial"/>
          <w:sz w:val="22"/>
          <w:szCs w:val="22"/>
          <w:lang w:val="en-GB"/>
        </w:rPr>
        <w:t xml:space="preserve">). Prior to the conclusion of contracts, Implementing Partners are required to submit to BAF the negotiated draft contract for no-objection. Exemptions from international bidding (i.e. national bidding) must be agreed by BAF. </w:t>
      </w:r>
    </w:p>
    <w:p w14:paraId="7B28B6D2" w14:textId="77777777" w:rsidR="00AC241D" w:rsidRPr="00AC241D" w:rsidRDefault="00AC241D" w:rsidP="00AC241D">
      <w:pPr>
        <w:widowControl w:val="0"/>
        <w:autoSpaceDE w:val="0"/>
        <w:autoSpaceDN w:val="0"/>
        <w:adjustRightInd w:val="0"/>
        <w:spacing w:after="120"/>
        <w:jc w:val="both"/>
        <w:rPr>
          <w:rFonts w:ascii="Arial" w:eastAsia="MS Mincho" w:hAnsi="Arial" w:cs="Arial"/>
          <w:color w:val="000000"/>
          <w:sz w:val="22"/>
          <w:szCs w:val="22"/>
          <w:lang w:val="en-GB"/>
        </w:rPr>
      </w:pPr>
      <w:r w:rsidRPr="00AC241D">
        <w:rPr>
          <w:rFonts w:ascii="Arial" w:hAnsi="Arial" w:cs="Arial"/>
          <w:color w:val="000000"/>
          <w:sz w:val="22"/>
          <w:szCs w:val="22"/>
          <w:lang w:val="en-GB"/>
        </w:rPr>
        <w:lastRenderedPageBreak/>
        <w:t xml:space="preserve">All contracts include an agreed declaration of undertaking, following KfW guidelines regarding rules for conflict of interest, corruption and fraud, </w:t>
      </w:r>
      <w:proofErr w:type="spellStart"/>
      <w:r w:rsidRPr="00AC241D">
        <w:rPr>
          <w:rFonts w:ascii="Arial" w:hAnsi="Arial" w:cs="Arial"/>
          <w:color w:val="000000"/>
          <w:sz w:val="22"/>
          <w:szCs w:val="22"/>
          <w:lang w:val="en-GB"/>
        </w:rPr>
        <w:t>sanctionable</w:t>
      </w:r>
      <w:proofErr w:type="spellEnd"/>
      <w:r w:rsidRPr="00AC241D">
        <w:rPr>
          <w:rFonts w:ascii="Arial" w:hAnsi="Arial" w:cs="Arial"/>
          <w:color w:val="000000"/>
          <w:sz w:val="22"/>
          <w:szCs w:val="22"/>
          <w:lang w:val="en-GB"/>
        </w:rPr>
        <w:t xml:space="preserve"> practices, and social and environmental </w:t>
      </w:r>
      <w:r w:rsidRPr="00AC241D">
        <w:rPr>
          <w:rFonts w:ascii="Arial" w:eastAsia="MS Mincho" w:hAnsi="Arial" w:cs="Arial"/>
          <w:color w:val="000000"/>
          <w:sz w:val="22"/>
          <w:szCs w:val="22"/>
          <w:lang w:val="en-GB"/>
        </w:rPr>
        <w:t>responsibility, as well as safeguards regarding health and working safety.</w:t>
      </w:r>
    </w:p>
    <w:p w14:paraId="63FA8C5C" w14:textId="77777777" w:rsidR="00AC241D" w:rsidRPr="00AC241D" w:rsidRDefault="00AC241D" w:rsidP="00AC241D">
      <w:pPr>
        <w:widowControl w:val="0"/>
        <w:autoSpaceDE w:val="0"/>
        <w:autoSpaceDN w:val="0"/>
        <w:adjustRightInd w:val="0"/>
        <w:spacing w:after="120"/>
        <w:jc w:val="both"/>
        <w:rPr>
          <w:rFonts w:ascii="Arial" w:hAnsi="Arial" w:cs="Arial"/>
          <w:color w:val="000000"/>
          <w:sz w:val="22"/>
          <w:szCs w:val="22"/>
          <w:lang w:val="en-GB"/>
        </w:rPr>
      </w:pPr>
      <w:r w:rsidRPr="00AC241D">
        <w:rPr>
          <w:rFonts w:ascii="Arial" w:eastAsia="MS Mincho" w:hAnsi="Arial" w:cs="Arial"/>
          <w:color w:val="000000"/>
          <w:sz w:val="22"/>
          <w:szCs w:val="22"/>
          <w:lang w:val="en-GB"/>
        </w:rPr>
        <w:t>For all procurement methods relevant documentation to demonstrate compliance must be stored, complying with the relevant legislation of the country. All selection processes must be confidential. While the tender procedure is ongoing neither the Implementing Partner nor Blue Action Fund will release any information on the assessment of the bids or the recommendations on the award of contracts to bidders or to any other persons who are not officially involved in the selection procedure.</w:t>
      </w:r>
    </w:p>
    <w:p w14:paraId="70453C9F" w14:textId="77777777" w:rsidR="000C6DBC" w:rsidRDefault="000C6DBC" w:rsidP="00221DAB">
      <w:pPr>
        <w:jc w:val="both"/>
        <w:rPr>
          <w:rFonts w:ascii="Arial" w:hAnsi="Arial" w:cs="Arial"/>
          <w:sz w:val="22"/>
          <w:szCs w:val="22"/>
        </w:rPr>
      </w:pPr>
    </w:p>
    <w:p w14:paraId="3FAFABAD" w14:textId="1B2E9A3A" w:rsidR="00B0594D" w:rsidRPr="0027680C" w:rsidRDefault="00B0594D" w:rsidP="0027680C">
      <w:pPr>
        <w:widowControl w:val="0"/>
        <w:autoSpaceDE w:val="0"/>
        <w:autoSpaceDN w:val="0"/>
        <w:adjustRightInd w:val="0"/>
        <w:spacing w:after="60"/>
        <w:jc w:val="both"/>
        <w:rPr>
          <w:rFonts w:ascii="Arial" w:hAnsi="Arial" w:cs="Arial"/>
          <w:b/>
        </w:rPr>
      </w:pPr>
      <w:r w:rsidRPr="00804B47">
        <w:rPr>
          <w:rFonts w:ascii="Arial" w:hAnsi="Arial" w:cs="Arial"/>
          <w:b/>
        </w:rPr>
        <w:t xml:space="preserve">Procurement </w:t>
      </w:r>
      <w:r>
        <w:rPr>
          <w:rFonts w:ascii="Arial" w:hAnsi="Arial" w:cs="Arial"/>
          <w:b/>
        </w:rPr>
        <w:t xml:space="preserve">Guidelines to be applied by BAF for own Purchases </w:t>
      </w:r>
    </w:p>
    <w:p w14:paraId="2E77A427" w14:textId="00FD3E65" w:rsidR="0027680C" w:rsidRPr="0027680C" w:rsidRDefault="00B0594D" w:rsidP="0027680C">
      <w:pPr>
        <w:autoSpaceDE w:val="0"/>
        <w:autoSpaceDN w:val="0"/>
        <w:adjustRightInd w:val="0"/>
        <w:jc w:val="both"/>
        <w:rPr>
          <w:rFonts w:ascii="Arial" w:hAnsi="Arial" w:cs="Arial"/>
          <w:color w:val="000000"/>
          <w:sz w:val="22"/>
          <w:szCs w:val="22"/>
          <w:lang w:eastAsia="en-GB"/>
        </w:rPr>
      </w:pPr>
      <w:r w:rsidRPr="00B0594D">
        <w:rPr>
          <w:rFonts w:ascii="Arial" w:hAnsi="Arial" w:cs="Arial"/>
          <w:color w:val="000000"/>
          <w:sz w:val="22"/>
          <w:szCs w:val="22"/>
          <w:lang w:eastAsia="en-GB"/>
        </w:rPr>
        <w:t xml:space="preserve">Procurement of goods, works and related </w:t>
      </w:r>
      <w:proofErr w:type="gramStart"/>
      <w:r w:rsidRPr="00B0594D">
        <w:rPr>
          <w:rFonts w:ascii="Arial" w:hAnsi="Arial" w:cs="Arial"/>
          <w:color w:val="000000"/>
          <w:sz w:val="22"/>
          <w:szCs w:val="22"/>
          <w:lang w:eastAsia="en-GB"/>
        </w:rPr>
        <w:t>services,</w:t>
      </w:r>
      <w:proofErr w:type="gramEnd"/>
      <w:r w:rsidRPr="00B0594D">
        <w:rPr>
          <w:rFonts w:ascii="Arial" w:hAnsi="Arial" w:cs="Arial"/>
          <w:color w:val="000000"/>
          <w:sz w:val="22"/>
          <w:szCs w:val="22"/>
          <w:lang w:eastAsia="en-GB"/>
        </w:rPr>
        <w:t xml:space="preserve"> and other consulting services shall be based on strict ethical principles and shall conform to Blue Action’s internal procurement policy as described in this section. The procurement of goods, works, and related services as well as other consulting services shall also take account international best practices including </w:t>
      </w:r>
      <w:proofErr w:type="spellStart"/>
      <w:r w:rsidRPr="00B0594D">
        <w:rPr>
          <w:rFonts w:ascii="Arial" w:hAnsi="Arial" w:cs="Arial"/>
          <w:color w:val="000000"/>
          <w:sz w:val="22"/>
          <w:szCs w:val="22"/>
          <w:lang w:eastAsia="en-GB"/>
        </w:rPr>
        <w:t>KfW’s</w:t>
      </w:r>
      <w:proofErr w:type="spellEnd"/>
      <w:r w:rsidRPr="00B0594D">
        <w:rPr>
          <w:rFonts w:ascii="Arial" w:hAnsi="Arial" w:cs="Arial"/>
          <w:color w:val="000000"/>
          <w:sz w:val="22"/>
          <w:szCs w:val="22"/>
          <w:lang w:eastAsia="en-GB"/>
        </w:rPr>
        <w:t xml:space="preserve"> “Guidelines </w:t>
      </w:r>
      <w:r w:rsidR="0027680C" w:rsidRPr="0027680C">
        <w:rPr>
          <w:rFonts w:ascii="Arial" w:hAnsi="Arial" w:cs="Arial"/>
          <w:color w:val="000000"/>
          <w:sz w:val="22"/>
          <w:szCs w:val="22"/>
          <w:lang w:eastAsia="en-GB"/>
        </w:rPr>
        <w:t xml:space="preserve">(see above). </w:t>
      </w:r>
    </w:p>
    <w:p w14:paraId="492E959E" w14:textId="77777777" w:rsidR="0027680C" w:rsidRPr="00B0594D" w:rsidRDefault="0027680C" w:rsidP="0027680C">
      <w:pPr>
        <w:autoSpaceDE w:val="0"/>
        <w:autoSpaceDN w:val="0"/>
        <w:adjustRightInd w:val="0"/>
        <w:jc w:val="both"/>
        <w:rPr>
          <w:rFonts w:ascii="Arial" w:hAnsi="Arial" w:cs="Arial"/>
          <w:color w:val="000000"/>
          <w:sz w:val="22"/>
          <w:szCs w:val="22"/>
          <w:lang w:eastAsia="en-GB"/>
        </w:rPr>
      </w:pPr>
    </w:p>
    <w:p w14:paraId="5F110698" w14:textId="53B73F31" w:rsidR="00B0594D" w:rsidRPr="0027680C" w:rsidRDefault="0027680C" w:rsidP="0027680C">
      <w:pPr>
        <w:autoSpaceDE w:val="0"/>
        <w:autoSpaceDN w:val="0"/>
        <w:adjustRightInd w:val="0"/>
        <w:jc w:val="both"/>
        <w:rPr>
          <w:rFonts w:ascii="Arial" w:hAnsi="Arial" w:cs="Arial"/>
          <w:sz w:val="22"/>
          <w:szCs w:val="22"/>
        </w:rPr>
      </w:pPr>
      <w:r w:rsidRPr="0027680C">
        <w:rPr>
          <w:rFonts w:ascii="Arial" w:hAnsi="Arial" w:cs="Arial"/>
          <w:sz w:val="22"/>
          <w:szCs w:val="22"/>
        </w:rPr>
        <w:t xml:space="preserve">The following thresholds apply to procurement with Public Funds, i.e. funds directly contributed to Blue Action by a government or governmental agency, such as </w:t>
      </w:r>
      <w:proofErr w:type="spellStart"/>
      <w:r w:rsidRPr="0027680C">
        <w:rPr>
          <w:rFonts w:ascii="Arial" w:hAnsi="Arial" w:cs="Arial"/>
          <w:sz w:val="22"/>
          <w:szCs w:val="22"/>
        </w:rPr>
        <w:t>BMZ</w:t>
      </w:r>
      <w:proofErr w:type="spellEnd"/>
      <w:r w:rsidRPr="0027680C">
        <w:rPr>
          <w:rFonts w:ascii="Arial" w:hAnsi="Arial" w:cs="Arial"/>
          <w:sz w:val="22"/>
          <w:szCs w:val="22"/>
        </w:rPr>
        <w:t xml:space="preserve">, KfW, Swedish International Development Cooperation Agency, </w:t>
      </w:r>
      <w:proofErr w:type="spellStart"/>
      <w:r w:rsidRPr="0027680C">
        <w:rPr>
          <w:rFonts w:ascii="Arial" w:hAnsi="Arial" w:cs="Arial"/>
          <w:sz w:val="22"/>
          <w:szCs w:val="22"/>
        </w:rPr>
        <w:t>Agence</w:t>
      </w:r>
      <w:proofErr w:type="spellEnd"/>
      <w:r w:rsidRPr="0027680C">
        <w:rPr>
          <w:rFonts w:ascii="Arial" w:hAnsi="Arial" w:cs="Arial"/>
          <w:sz w:val="22"/>
          <w:szCs w:val="22"/>
        </w:rPr>
        <w:t xml:space="preserve"> </w:t>
      </w:r>
      <w:proofErr w:type="spellStart"/>
      <w:r w:rsidRPr="0027680C">
        <w:rPr>
          <w:rFonts w:ascii="Arial" w:hAnsi="Arial" w:cs="Arial"/>
          <w:sz w:val="22"/>
          <w:szCs w:val="22"/>
        </w:rPr>
        <w:t>Française</w:t>
      </w:r>
      <w:proofErr w:type="spellEnd"/>
      <w:r w:rsidRPr="0027680C">
        <w:rPr>
          <w:rFonts w:ascii="Arial" w:hAnsi="Arial" w:cs="Arial"/>
          <w:sz w:val="22"/>
          <w:szCs w:val="22"/>
        </w:rPr>
        <w:t xml:space="preserve"> de </w:t>
      </w:r>
      <w:proofErr w:type="spellStart"/>
      <w:r w:rsidRPr="0027680C">
        <w:rPr>
          <w:rFonts w:ascii="Arial" w:hAnsi="Arial" w:cs="Arial"/>
          <w:sz w:val="22"/>
          <w:szCs w:val="22"/>
        </w:rPr>
        <w:t>Développement</w:t>
      </w:r>
      <w:proofErr w:type="spellEnd"/>
      <w:r w:rsidRPr="0027680C">
        <w:rPr>
          <w:rFonts w:ascii="Arial" w:hAnsi="Arial" w:cs="Arial"/>
          <w:sz w:val="22"/>
          <w:szCs w:val="22"/>
        </w:rPr>
        <w:t xml:space="preserve"> etc.</w:t>
      </w:r>
      <w:r w:rsidR="00E97FC8">
        <w:rPr>
          <w:rFonts w:ascii="Arial" w:hAnsi="Arial" w:cs="Arial"/>
          <w:sz w:val="22"/>
          <w:szCs w:val="22"/>
        </w:rPr>
        <w:t xml:space="preserve"> and would also be applied for procurement with </w:t>
      </w:r>
      <w:proofErr w:type="spellStart"/>
      <w:r w:rsidR="00E97FC8">
        <w:rPr>
          <w:rFonts w:ascii="Arial" w:hAnsi="Arial" w:cs="Arial"/>
          <w:sz w:val="22"/>
          <w:szCs w:val="22"/>
        </w:rPr>
        <w:t>GCF</w:t>
      </w:r>
      <w:proofErr w:type="spellEnd"/>
      <w:r w:rsidR="00E97FC8">
        <w:rPr>
          <w:rFonts w:ascii="Arial" w:hAnsi="Arial" w:cs="Arial"/>
          <w:sz w:val="22"/>
          <w:szCs w:val="22"/>
        </w:rPr>
        <w:t xml:space="preserve"> funds</w:t>
      </w:r>
      <w:r w:rsidRPr="0027680C">
        <w:rPr>
          <w:rFonts w:ascii="Arial" w:hAnsi="Arial" w:cs="Arial"/>
          <w:sz w:val="22"/>
          <w:szCs w:val="22"/>
        </w:rPr>
        <w:t>:</w:t>
      </w:r>
    </w:p>
    <w:p w14:paraId="15E9AC9A" w14:textId="77777777" w:rsidR="0027680C" w:rsidRPr="00B0594D" w:rsidRDefault="0027680C" w:rsidP="00B0594D">
      <w:pPr>
        <w:autoSpaceDE w:val="0"/>
        <w:autoSpaceDN w:val="0"/>
        <w:adjustRightInd w:val="0"/>
        <w:rPr>
          <w:rFonts w:ascii="Arial" w:hAnsi="Arial" w:cs="Arial"/>
          <w:color w:val="000000"/>
          <w:sz w:val="20"/>
          <w:lang w:eastAsia="en-GB"/>
        </w:rPr>
      </w:pPr>
    </w:p>
    <w:p w14:paraId="75E03183" w14:textId="0AC3D10C" w:rsidR="00B0594D" w:rsidRDefault="0027680C" w:rsidP="00221DAB">
      <w:pPr>
        <w:jc w:val="both"/>
        <w:rPr>
          <w:rFonts w:ascii="Arial" w:hAnsi="Arial" w:cs="Arial"/>
          <w:sz w:val="22"/>
          <w:szCs w:val="22"/>
        </w:rPr>
      </w:pPr>
      <w:r w:rsidRPr="0027680C">
        <w:rPr>
          <w:rFonts w:ascii="Arial" w:hAnsi="Arial" w:cs="Arial"/>
          <w:noProof/>
          <w:sz w:val="22"/>
          <w:szCs w:val="22"/>
          <w:lang w:val="de-DE" w:eastAsia="de-DE"/>
        </w:rPr>
        <w:drawing>
          <wp:inline distT="0" distB="0" distL="0" distR="0" wp14:anchorId="15376EB6" wp14:editId="170967C9">
            <wp:extent cx="5727700" cy="226123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7700" cy="2261235"/>
                    </a:xfrm>
                    <a:prstGeom prst="rect">
                      <a:avLst/>
                    </a:prstGeom>
                  </pic:spPr>
                </pic:pic>
              </a:graphicData>
            </a:graphic>
          </wp:inline>
        </w:drawing>
      </w:r>
    </w:p>
    <w:p w14:paraId="6C75C6A1" w14:textId="77777777" w:rsidR="0027680C" w:rsidRDefault="0027680C" w:rsidP="00221DAB">
      <w:pPr>
        <w:jc w:val="both"/>
        <w:rPr>
          <w:rFonts w:ascii="Arial" w:hAnsi="Arial" w:cs="Arial"/>
          <w:sz w:val="22"/>
          <w:szCs w:val="22"/>
        </w:rPr>
      </w:pPr>
    </w:p>
    <w:p w14:paraId="506F0998" w14:textId="77777777" w:rsidR="0027680C" w:rsidRPr="0027680C" w:rsidRDefault="0027680C" w:rsidP="0027680C">
      <w:pPr>
        <w:jc w:val="both"/>
        <w:rPr>
          <w:rFonts w:ascii="Arial" w:hAnsi="Arial" w:cs="Arial"/>
          <w:sz w:val="22"/>
          <w:szCs w:val="22"/>
        </w:rPr>
      </w:pPr>
    </w:p>
    <w:p w14:paraId="6A42D141" w14:textId="1976E9D5" w:rsidR="0027680C" w:rsidRPr="00E97FC8" w:rsidRDefault="0027680C" w:rsidP="0027680C">
      <w:pPr>
        <w:autoSpaceDE w:val="0"/>
        <w:autoSpaceDN w:val="0"/>
        <w:adjustRightInd w:val="0"/>
        <w:jc w:val="both"/>
        <w:rPr>
          <w:rFonts w:ascii="Arial" w:hAnsi="Arial" w:cs="Arial"/>
          <w:color w:val="000000"/>
          <w:sz w:val="22"/>
          <w:szCs w:val="22"/>
          <w:lang w:eastAsia="en-GB"/>
        </w:rPr>
      </w:pPr>
      <w:r w:rsidRPr="0027680C">
        <w:rPr>
          <w:rFonts w:ascii="Arial" w:hAnsi="Arial" w:cs="Arial"/>
          <w:color w:val="000000"/>
          <w:sz w:val="22"/>
          <w:szCs w:val="22"/>
          <w:lang w:eastAsia="en-GB"/>
        </w:rPr>
        <w:t xml:space="preserve">For </w:t>
      </w:r>
      <w:r w:rsidRPr="0027680C">
        <w:rPr>
          <w:rFonts w:ascii="Arial" w:hAnsi="Arial" w:cs="Arial"/>
          <w:color w:val="000000"/>
          <w:sz w:val="22"/>
          <w:szCs w:val="22"/>
          <w:u w:val="single"/>
          <w:lang w:eastAsia="en-GB"/>
        </w:rPr>
        <w:t>Discretionary Awards</w:t>
      </w:r>
      <w:r w:rsidRPr="0027680C">
        <w:rPr>
          <w:rFonts w:ascii="Arial" w:hAnsi="Arial" w:cs="Arial"/>
          <w:color w:val="000000"/>
          <w:sz w:val="22"/>
          <w:szCs w:val="22"/>
          <w:lang w:eastAsia="en-GB"/>
        </w:rPr>
        <w:t xml:space="preserve">, Blue Action documents suitability of the contractor for supplying the required goods and other services as well as the technical and financial appropriateness of the bid. </w:t>
      </w:r>
    </w:p>
    <w:p w14:paraId="01F55AC9" w14:textId="77777777" w:rsidR="0027680C" w:rsidRPr="0027680C" w:rsidRDefault="0027680C" w:rsidP="0027680C">
      <w:pPr>
        <w:autoSpaceDE w:val="0"/>
        <w:autoSpaceDN w:val="0"/>
        <w:adjustRightInd w:val="0"/>
        <w:jc w:val="both"/>
        <w:rPr>
          <w:rFonts w:ascii="Arial" w:hAnsi="Arial" w:cs="Arial"/>
          <w:color w:val="000000"/>
          <w:sz w:val="22"/>
          <w:szCs w:val="22"/>
          <w:lang w:eastAsia="en-GB"/>
        </w:rPr>
      </w:pPr>
    </w:p>
    <w:p w14:paraId="20629922" w14:textId="3CA892A8" w:rsidR="0027680C" w:rsidRPr="00E97FC8" w:rsidRDefault="0027680C" w:rsidP="0027680C">
      <w:pPr>
        <w:autoSpaceDE w:val="0"/>
        <w:autoSpaceDN w:val="0"/>
        <w:adjustRightInd w:val="0"/>
        <w:jc w:val="both"/>
        <w:rPr>
          <w:rFonts w:ascii="Arial" w:hAnsi="Arial" w:cs="Arial"/>
          <w:color w:val="000000"/>
          <w:sz w:val="22"/>
          <w:szCs w:val="22"/>
          <w:lang w:eastAsia="en-GB"/>
        </w:rPr>
      </w:pPr>
      <w:r w:rsidRPr="0027680C">
        <w:rPr>
          <w:rFonts w:ascii="Arial" w:hAnsi="Arial" w:cs="Arial"/>
          <w:color w:val="000000"/>
          <w:sz w:val="22"/>
          <w:szCs w:val="22"/>
          <w:lang w:eastAsia="en-GB"/>
        </w:rPr>
        <w:t xml:space="preserve">For </w:t>
      </w:r>
      <w:r w:rsidRPr="0027680C">
        <w:rPr>
          <w:rFonts w:ascii="Arial" w:hAnsi="Arial" w:cs="Arial"/>
          <w:color w:val="000000"/>
          <w:sz w:val="22"/>
          <w:szCs w:val="22"/>
          <w:u w:val="single"/>
          <w:lang w:eastAsia="en-GB"/>
        </w:rPr>
        <w:t>Limited Competitive Bidding</w:t>
      </w:r>
      <w:r w:rsidRPr="0027680C">
        <w:rPr>
          <w:rFonts w:ascii="Arial" w:hAnsi="Arial" w:cs="Arial"/>
          <w:color w:val="000000"/>
          <w:sz w:val="22"/>
          <w:szCs w:val="22"/>
          <w:lang w:eastAsia="en-GB"/>
        </w:rPr>
        <w:t xml:space="preserve">, Blue Action has developed standard tender procedures and standard contracts. The suitability of the short-listed bidders must be documented by Blue Action. </w:t>
      </w:r>
    </w:p>
    <w:p w14:paraId="2A0F155F" w14:textId="77777777" w:rsidR="0027680C" w:rsidRPr="0027680C" w:rsidRDefault="0027680C" w:rsidP="0027680C">
      <w:pPr>
        <w:autoSpaceDE w:val="0"/>
        <w:autoSpaceDN w:val="0"/>
        <w:adjustRightInd w:val="0"/>
        <w:jc w:val="both"/>
        <w:rPr>
          <w:rFonts w:ascii="Arial" w:hAnsi="Arial" w:cs="Arial"/>
          <w:color w:val="000000"/>
          <w:sz w:val="22"/>
          <w:szCs w:val="22"/>
          <w:lang w:eastAsia="en-GB"/>
        </w:rPr>
      </w:pPr>
    </w:p>
    <w:p w14:paraId="1C2377CF" w14:textId="1FB39BEE" w:rsidR="0027680C" w:rsidRPr="00E97FC8" w:rsidRDefault="0027680C" w:rsidP="0027680C">
      <w:pPr>
        <w:jc w:val="both"/>
        <w:rPr>
          <w:rFonts w:ascii="Arial" w:hAnsi="Arial" w:cs="Arial"/>
          <w:color w:val="000000"/>
          <w:sz w:val="22"/>
          <w:szCs w:val="22"/>
          <w:lang w:eastAsia="en-GB"/>
        </w:rPr>
      </w:pPr>
      <w:r w:rsidRPr="00E97FC8">
        <w:rPr>
          <w:rFonts w:ascii="Arial" w:hAnsi="Arial" w:cs="Arial"/>
          <w:color w:val="000000"/>
          <w:sz w:val="22"/>
          <w:szCs w:val="22"/>
          <w:lang w:eastAsia="en-GB"/>
        </w:rPr>
        <w:t xml:space="preserve">For any </w:t>
      </w:r>
      <w:r w:rsidRPr="00E97FC8">
        <w:rPr>
          <w:rFonts w:ascii="Arial" w:hAnsi="Arial" w:cs="Arial"/>
          <w:color w:val="000000"/>
          <w:sz w:val="22"/>
          <w:szCs w:val="22"/>
          <w:u w:val="single"/>
          <w:lang w:eastAsia="en-GB"/>
        </w:rPr>
        <w:t>Open Competitive Bidding</w:t>
      </w:r>
      <w:r w:rsidRPr="00E97FC8">
        <w:rPr>
          <w:rFonts w:ascii="Arial" w:hAnsi="Arial" w:cs="Arial"/>
          <w:color w:val="000000"/>
          <w:sz w:val="22"/>
          <w:szCs w:val="22"/>
          <w:lang w:eastAsia="en-GB"/>
        </w:rPr>
        <w:t>, Blue Action maintains updated documentation or obtains outside advice on specific rules that apply to it.</w:t>
      </w:r>
    </w:p>
    <w:p w14:paraId="4871B8B3" w14:textId="77777777" w:rsidR="0027680C" w:rsidRPr="0027680C" w:rsidRDefault="0027680C" w:rsidP="0027680C">
      <w:pPr>
        <w:jc w:val="both"/>
        <w:rPr>
          <w:rFonts w:ascii="Arial" w:hAnsi="Arial" w:cs="Arial"/>
          <w:sz w:val="22"/>
          <w:szCs w:val="22"/>
        </w:rPr>
      </w:pPr>
    </w:p>
    <w:p w14:paraId="08F4AF8A" w14:textId="77777777" w:rsidR="0027680C" w:rsidRDefault="0027680C" w:rsidP="00221DAB">
      <w:pPr>
        <w:jc w:val="both"/>
        <w:rPr>
          <w:rFonts w:ascii="Arial" w:hAnsi="Arial" w:cs="Arial"/>
          <w:sz w:val="22"/>
          <w:szCs w:val="22"/>
        </w:rPr>
      </w:pPr>
    </w:p>
    <w:p w14:paraId="1D6647BB" w14:textId="17B8006A" w:rsidR="0027680C" w:rsidRDefault="0027680C" w:rsidP="00221DAB">
      <w:pPr>
        <w:jc w:val="both"/>
        <w:rPr>
          <w:rFonts w:ascii="Arial" w:hAnsi="Arial" w:cs="Arial"/>
          <w:sz w:val="22"/>
          <w:szCs w:val="22"/>
        </w:rPr>
        <w:sectPr w:rsidR="0027680C" w:rsidSect="00221DAB">
          <w:headerReference w:type="default" r:id="rId10"/>
          <w:footerReference w:type="default" r:id="rId11"/>
          <w:pgSz w:w="11900" w:h="16820"/>
          <w:pgMar w:top="1152" w:right="1440" w:bottom="1440" w:left="1440" w:header="720" w:footer="720" w:gutter="0"/>
          <w:cols w:space="720"/>
          <w:docGrid w:linePitch="326"/>
        </w:sectPr>
      </w:pPr>
    </w:p>
    <w:p w14:paraId="5FDAEDB4" w14:textId="451DA596" w:rsidR="006D3DB3" w:rsidRPr="00221DAB" w:rsidRDefault="006D3DB3" w:rsidP="00221DAB">
      <w:pPr>
        <w:jc w:val="both"/>
        <w:rPr>
          <w:rFonts w:ascii="Arial" w:hAnsi="Arial" w:cs="Arial"/>
          <w:sz w:val="22"/>
          <w:szCs w:val="22"/>
        </w:rPr>
      </w:pPr>
    </w:p>
    <w:p w14:paraId="2B4ACC56" w14:textId="2B23F16C" w:rsidR="0089562A" w:rsidRPr="00221DAB" w:rsidRDefault="007A3AB2" w:rsidP="00221DAB">
      <w:pPr>
        <w:pStyle w:val="berschrift2"/>
        <w:ind w:left="1080"/>
        <w:jc w:val="both"/>
        <w:rPr>
          <w:rFonts w:ascii="Arial" w:hAnsi="Arial" w:cs="Arial"/>
          <w:sz w:val="22"/>
          <w:szCs w:val="22"/>
          <w:u w:val="single"/>
        </w:rPr>
      </w:pPr>
      <w:r w:rsidRPr="00221DAB">
        <w:rPr>
          <w:rFonts w:ascii="Arial" w:hAnsi="Arial" w:cs="Arial"/>
          <w:sz w:val="22"/>
          <w:szCs w:val="22"/>
          <w:u w:val="single"/>
        </w:rPr>
        <w:t>Procurement Plan</w:t>
      </w:r>
    </w:p>
    <w:p w14:paraId="6F8DD70E" w14:textId="77777777" w:rsidR="0089562A" w:rsidRPr="00221DAB" w:rsidRDefault="0089562A" w:rsidP="00221DAB">
      <w:pPr>
        <w:jc w:val="both"/>
        <w:rPr>
          <w:rFonts w:ascii="Arial" w:hAnsi="Arial" w:cs="Arial"/>
          <w:sz w:val="22"/>
          <w:szCs w:val="22"/>
        </w:rPr>
      </w:pPr>
    </w:p>
    <w:p w14:paraId="2B551596" w14:textId="20295599" w:rsidR="00A9324C" w:rsidRPr="00221DAB" w:rsidRDefault="007A3AB2" w:rsidP="00221DAB">
      <w:pPr>
        <w:jc w:val="both"/>
        <w:rPr>
          <w:rFonts w:ascii="Arial" w:hAnsi="Arial" w:cs="Arial"/>
          <w:b/>
          <w:bCs/>
          <w:sz w:val="22"/>
          <w:szCs w:val="22"/>
        </w:rPr>
      </w:pPr>
      <w:r w:rsidRPr="00221DAB">
        <w:rPr>
          <w:rFonts w:ascii="Arial" w:hAnsi="Arial" w:cs="Arial"/>
          <w:b/>
          <w:bCs/>
          <w:sz w:val="22"/>
          <w:szCs w:val="22"/>
        </w:rPr>
        <w:t>Not applicable at this stage of the Program preparation</w:t>
      </w:r>
      <w:r w:rsidR="00221DAB" w:rsidRPr="00221DAB">
        <w:rPr>
          <w:rFonts w:ascii="Arial" w:hAnsi="Arial" w:cs="Arial"/>
          <w:b/>
          <w:bCs/>
          <w:sz w:val="22"/>
          <w:szCs w:val="22"/>
        </w:rPr>
        <w:t>.</w:t>
      </w:r>
    </w:p>
    <w:p w14:paraId="376D8FB8" w14:textId="77777777" w:rsidR="00221DAB" w:rsidRPr="00221DAB" w:rsidRDefault="00221DAB" w:rsidP="00221DAB">
      <w:pPr>
        <w:jc w:val="both"/>
        <w:rPr>
          <w:rFonts w:ascii="Arial" w:hAnsi="Arial" w:cs="Arial"/>
          <w:b/>
          <w:sz w:val="22"/>
          <w:szCs w:val="22"/>
        </w:rPr>
      </w:pPr>
    </w:p>
    <w:p w14:paraId="268A45DB" w14:textId="019EB623" w:rsidR="00221DAB" w:rsidRDefault="00221DAB" w:rsidP="000C6DBC">
      <w:pPr>
        <w:widowControl w:val="0"/>
        <w:autoSpaceDE w:val="0"/>
        <w:autoSpaceDN w:val="0"/>
        <w:adjustRightInd w:val="0"/>
        <w:spacing w:after="120"/>
        <w:jc w:val="both"/>
        <w:rPr>
          <w:rFonts w:ascii="Arial" w:hAnsi="Arial" w:cs="Arial"/>
          <w:sz w:val="22"/>
          <w:szCs w:val="22"/>
          <w:lang w:val="en-GB"/>
        </w:rPr>
      </w:pPr>
      <w:r w:rsidRPr="00221DAB">
        <w:rPr>
          <w:rFonts w:ascii="Arial" w:hAnsi="Arial" w:cs="Arial"/>
          <w:sz w:val="22"/>
          <w:szCs w:val="22"/>
        </w:rPr>
        <w:t xml:space="preserve">The funds will be provided to carefully selected sub-projects on the basis on a </w:t>
      </w:r>
      <w:proofErr w:type="spellStart"/>
      <w:r w:rsidRPr="00221DAB">
        <w:rPr>
          <w:rFonts w:ascii="Arial" w:hAnsi="Arial" w:cs="Arial"/>
          <w:sz w:val="22"/>
          <w:szCs w:val="22"/>
        </w:rPr>
        <w:t>GCF</w:t>
      </w:r>
      <w:proofErr w:type="spellEnd"/>
      <w:r w:rsidRPr="00221DAB">
        <w:rPr>
          <w:rFonts w:ascii="Arial" w:hAnsi="Arial" w:cs="Arial"/>
          <w:sz w:val="22"/>
          <w:szCs w:val="22"/>
        </w:rPr>
        <w:t>-specific call for proposals</w:t>
      </w:r>
      <w:r w:rsidR="000C6DBC">
        <w:rPr>
          <w:rFonts w:ascii="Arial" w:hAnsi="Arial" w:cs="Arial"/>
          <w:sz w:val="22"/>
          <w:szCs w:val="22"/>
        </w:rPr>
        <w:t xml:space="preserve"> (see below)</w:t>
      </w:r>
      <w:r w:rsidRPr="00221DAB">
        <w:rPr>
          <w:rFonts w:ascii="Arial" w:hAnsi="Arial" w:cs="Arial"/>
          <w:sz w:val="22"/>
          <w:szCs w:val="22"/>
        </w:rPr>
        <w:t xml:space="preserve">. Activities and their procurement methods are not </w:t>
      </w:r>
      <w:r w:rsidR="000C6DBC">
        <w:rPr>
          <w:rFonts w:ascii="Arial" w:hAnsi="Arial" w:cs="Arial"/>
          <w:sz w:val="22"/>
          <w:szCs w:val="22"/>
        </w:rPr>
        <w:t>yet de</w:t>
      </w:r>
      <w:r w:rsidRPr="00221DAB">
        <w:rPr>
          <w:rFonts w:ascii="Arial" w:hAnsi="Arial" w:cs="Arial"/>
          <w:sz w:val="22"/>
          <w:szCs w:val="22"/>
        </w:rPr>
        <w:t xml:space="preserve">fined. Therefore, a procurement plan cannot be elaborated at this stage. </w:t>
      </w:r>
      <w:r w:rsidR="000C6DBC">
        <w:rPr>
          <w:rFonts w:ascii="Arial" w:hAnsi="Arial" w:cs="Arial"/>
          <w:sz w:val="22"/>
          <w:szCs w:val="22"/>
        </w:rPr>
        <w:t>P</w:t>
      </w:r>
      <w:r w:rsidRPr="00221DAB">
        <w:rPr>
          <w:rFonts w:ascii="Arial" w:hAnsi="Arial" w:cs="Arial"/>
          <w:sz w:val="22"/>
          <w:szCs w:val="22"/>
        </w:rPr>
        <w:t xml:space="preserve">rocurement methods are in line with the above mentioned procurement rules, which are in line with </w:t>
      </w:r>
      <w:r w:rsidRPr="00221DAB">
        <w:rPr>
          <w:rFonts w:ascii="Arial" w:eastAsia="MS Mincho" w:hAnsi="Arial" w:cs="Arial"/>
          <w:color w:val="000000"/>
          <w:sz w:val="22"/>
          <w:szCs w:val="22"/>
          <w:lang w:val="en-GB"/>
        </w:rPr>
        <w:t>KFW Procurement Guidelines (“</w:t>
      </w:r>
      <w:r w:rsidRPr="00221DAB">
        <w:rPr>
          <w:rFonts w:ascii="Arial" w:hAnsi="Arial" w:cs="Arial"/>
          <w:sz w:val="22"/>
          <w:szCs w:val="22"/>
          <w:lang w:val="en-GB"/>
        </w:rPr>
        <w:t xml:space="preserve">Guidelines for the Procurement of Consulting Services, Works, Plant, Goods and Non- Consulting Services in Financial Cooperation with Partner Countries, January 2019”. Link for download: </w:t>
      </w:r>
      <w:hyperlink r:id="rId12" w:history="1">
        <w:r w:rsidRPr="00221DAB">
          <w:rPr>
            <w:rStyle w:val="Hyperlink"/>
            <w:rFonts w:ascii="Arial" w:hAnsi="Arial" w:cs="Arial"/>
            <w:sz w:val="22"/>
            <w:szCs w:val="22"/>
            <w:lang w:val="en-GB"/>
          </w:rPr>
          <w:t>https://www.kfw-entwicklungsbank.de/PDF/Download-Center/PDF-Dokumente-Richtlinien/Vergaberichtlinien-2019-Englisch-Internet_2.pdf</w:t>
        </w:r>
      </w:hyperlink>
      <w:r w:rsidRPr="00221DAB">
        <w:rPr>
          <w:rFonts w:ascii="Arial" w:hAnsi="Arial" w:cs="Arial"/>
          <w:sz w:val="22"/>
          <w:szCs w:val="22"/>
          <w:lang w:val="en-GB"/>
        </w:rPr>
        <w:t>.)</w:t>
      </w:r>
    </w:p>
    <w:p w14:paraId="18796785" w14:textId="04850EE5" w:rsidR="000C6DBC" w:rsidRDefault="000C6DBC" w:rsidP="00221DAB">
      <w:pPr>
        <w:widowControl w:val="0"/>
        <w:autoSpaceDE w:val="0"/>
        <w:autoSpaceDN w:val="0"/>
        <w:adjustRightInd w:val="0"/>
        <w:spacing w:after="120"/>
        <w:rPr>
          <w:rFonts w:ascii="Arial" w:hAnsi="Arial" w:cs="Arial"/>
          <w:sz w:val="22"/>
          <w:szCs w:val="22"/>
          <w:lang w:val="en-GB"/>
        </w:rPr>
      </w:pPr>
    </w:p>
    <w:p w14:paraId="49828128" w14:textId="77777777" w:rsidR="000C6DBC" w:rsidRDefault="000C6DBC" w:rsidP="000C6DBC">
      <w:pPr>
        <w:widowControl w:val="0"/>
        <w:autoSpaceDE w:val="0"/>
        <w:autoSpaceDN w:val="0"/>
        <w:adjustRightInd w:val="0"/>
        <w:spacing w:after="60"/>
        <w:rPr>
          <w:rFonts w:ascii="Arial" w:hAnsi="Arial" w:cs="Arial"/>
          <w:b/>
        </w:rPr>
      </w:pPr>
      <w:r>
        <w:rPr>
          <w:rFonts w:ascii="Arial" w:hAnsi="Arial" w:cs="Arial"/>
          <w:b/>
        </w:rPr>
        <w:t xml:space="preserve">Project Selection Cycle </w:t>
      </w:r>
    </w:p>
    <w:p w14:paraId="31E3D168" w14:textId="40663C35" w:rsidR="000C6DBC" w:rsidRDefault="000C6DBC" w:rsidP="000C6DBC">
      <w:pPr>
        <w:pStyle w:val="Default"/>
        <w:spacing w:after="120"/>
        <w:jc w:val="both"/>
        <w:rPr>
          <w:rFonts w:ascii="Arial" w:hAnsi="Arial" w:cs="Arial"/>
          <w:sz w:val="22"/>
          <w:szCs w:val="22"/>
          <w:lang w:val="en-US" w:eastAsia="ja-JP"/>
        </w:rPr>
      </w:pPr>
      <w:r>
        <w:rPr>
          <w:rFonts w:ascii="Arial" w:hAnsi="Arial" w:cs="Arial"/>
          <w:sz w:val="22"/>
          <w:szCs w:val="22"/>
          <w:lang w:val="en-US" w:eastAsia="ja-JP"/>
        </w:rPr>
        <w:t xml:space="preserve">Subject to approval of </w:t>
      </w:r>
      <w:proofErr w:type="spellStart"/>
      <w:r>
        <w:rPr>
          <w:rFonts w:ascii="Arial" w:hAnsi="Arial" w:cs="Arial"/>
          <w:sz w:val="22"/>
          <w:szCs w:val="22"/>
          <w:lang w:val="en-US" w:eastAsia="ja-JP"/>
        </w:rPr>
        <w:t>GCF</w:t>
      </w:r>
      <w:proofErr w:type="spellEnd"/>
      <w:r>
        <w:rPr>
          <w:rFonts w:ascii="Arial" w:hAnsi="Arial" w:cs="Arial"/>
          <w:sz w:val="22"/>
          <w:szCs w:val="22"/>
          <w:lang w:val="en-US" w:eastAsia="ja-JP"/>
        </w:rPr>
        <w:t xml:space="preserve"> funds, the BAF will launch a call for proposals, based on the </w:t>
      </w:r>
      <w:proofErr w:type="spellStart"/>
      <w:r>
        <w:rPr>
          <w:rFonts w:ascii="Arial" w:hAnsi="Arial" w:cs="Arial"/>
          <w:sz w:val="22"/>
          <w:szCs w:val="22"/>
          <w:lang w:val="en-US" w:eastAsia="ja-JP"/>
        </w:rPr>
        <w:t>GCF</w:t>
      </w:r>
      <w:proofErr w:type="spellEnd"/>
      <w:r>
        <w:rPr>
          <w:rFonts w:ascii="Arial" w:hAnsi="Arial" w:cs="Arial"/>
          <w:sz w:val="22"/>
          <w:szCs w:val="22"/>
          <w:lang w:val="en-US" w:eastAsia="ja-JP"/>
        </w:rPr>
        <w:t xml:space="preserve"> investment criteria and policies and on the specific eligibility criteria for this </w:t>
      </w:r>
      <w:proofErr w:type="spellStart"/>
      <w:r>
        <w:rPr>
          <w:rFonts w:ascii="Arial" w:hAnsi="Arial" w:cs="Arial"/>
          <w:sz w:val="22"/>
          <w:szCs w:val="22"/>
          <w:lang w:val="en-US" w:eastAsia="ja-JP"/>
        </w:rPr>
        <w:t>EbA-Programme</w:t>
      </w:r>
      <w:proofErr w:type="spellEnd"/>
      <w:r>
        <w:rPr>
          <w:rFonts w:ascii="Arial" w:hAnsi="Arial" w:cs="Arial"/>
          <w:sz w:val="22"/>
          <w:szCs w:val="22"/>
          <w:lang w:val="en-US" w:eastAsia="ja-JP"/>
        </w:rPr>
        <w:t xml:space="preserve">. </w:t>
      </w:r>
    </w:p>
    <w:p w14:paraId="2EA1BCA4" w14:textId="43D3DD76" w:rsidR="000C6DBC" w:rsidRPr="008331F8" w:rsidRDefault="000C6DBC" w:rsidP="000C6DBC">
      <w:pPr>
        <w:pStyle w:val="Default"/>
        <w:spacing w:after="120"/>
        <w:jc w:val="both"/>
        <w:rPr>
          <w:rFonts w:ascii="Arial" w:hAnsi="Arial" w:cs="Arial"/>
          <w:sz w:val="22"/>
          <w:szCs w:val="22"/>
          <w:lang w:val="en-US" w:eastAsia="ja-JP"/>
        </w:rPr>
      </w:pPr>
      <w:r w:rsidRPr="008331F8">
        <w:rPr>
          <w:rFonts w:ascii="Arial" w:hAnsi="Arial" w:cs="Arial"/>
          <w:sz w:val="22"/>
          <w:szCs w:val="22"/>
          <w:lang w:val="en-US" w:eastAsia="ja-JP"/>
        </w:rPr>
        <w:t xml:space="preserve">Eligible project proponents will be international and national NGOs with a proven track record regarding ecosystems and ecosystem services in coastal and marine areas and with regional long-term experience of working with countries in the </w:t>
      </w:r>
      <w:proofErr w:type="spellStart"/>
      <w:r w:rsidRPr="008331F8">
        <w:rPr>
          <w:rFonts w:ascii="Arial" w:hAnsi="Arial" w:cs="Arial"/>
          <w:sz w:val="22"/>
          <w:szCs w:val="22"/>
          <w:lang w:val="en-US" w:eastAsia="ja-JP"/>
        </w:rPr>
        <w:t>WIO</w:t>
      </w:r>
      <w:proofErr w:type="spellEnd"/>
      <w:r w:rsidRPr="008331F8">
        <w:rPr>
          <w:rFonts w:ascii="Arial" w:hAnsi="Arial" w:cs="Arial"/>
          <w:sz w:val="22"/>
          <w:szCs w:val="22"/>
          <w:lang w:val="en-US" w:eastAsia="ja-JP"/>
        </w:rPr>
        <w:t xml:space="preserve"> region. NGOs also have to demonstrate sufficient implementing capacity, implementing experience in projects with local communities and authorities, as well as with necessary safeguards, especially with regard to Environmental and Social Safeguard Requirements. They have to demonstrate a sufficient financial strength and fund at least 25% of the total project costs (“match funding”). In addition, NGOs have to demonstrate experience with tender procedures of international donors. </w:t>
      </w:r>
    </w:p>
    <w:p w14:paraId="0DCEA2A4" w14:textId="1B493923" w:rsidR="000C6DBC" w:rsidRPr="008331F8" w:rsidRDefault="000C6DBC" w:rsidP="000C6DBC">
      <w:pPr>
        <w:pStyle w:val="Default"/>
        <w:spacing w:after="120"/>
        <w:jc w:val="both"/>
        <w:rPr>
          <w:rFonts w:ascii="Arial" w:hAnsi="Arial" w:cs="Arial"/>
          <w:sz w:val="22"/>
          <w:szCs w:val="22"/>
          <w:lang w:val="en-US" w:eastAsia="ja-JP"/>
        </w:rPr>
      </w:pPr>
      <w:r w:rsidRPr="008331F8">
        <w:rPr>
          <w:rFonts w:ascii="Arial" w:hAnsi="Arial" w:cs="Arial"/>
          <w:sz w:val="22"/>
          <w:szCs w:val="22"/>
          <w:lang w:val="en-US" w:eastAsia="ja-JP"/>
        </w:rPr>
        <w:t xml:space="preserve">The </w:t>
      </w:r>
      <w:r>
        <w:rPr>
          <w:rFonts w:ascii="Arial" w:hAnsi="Arial" w:cs="Arial"/>
          <w:sz w:val="22"/>
          <w:szCs w:val="22"/>
          <w:lang w:val="en-US" w:eastAsia="ja-JP"/>
        </w:rPr>
        <w:t xml:space="preserve">entire </w:t>
      </w:r>
      <w:r w:rsidRPr="008331F8">
        <w:rPr>
          <w:rFonts w:ascii="Arial" w:hAnsi="Arial" w:cs="Arial"/>
          <w:sz w:val="22"/>
          <w:szCs w:val="22"/>
          <w:lang w:val="en-US" w:eastAsia="ja-JP"/>
        </w:rPr>
        <w:t xml:space="preserve">BAF funding mechanism is demonstrated in the following graphic (see also section </w:t>
      </w:r>
      <w:proofErr w:type="spellStart"/>
      <w:r w:rsidRPr="008331F8">
        <w:rPr>
          <w:rFonts w:ascii="Arial" w:hAnsi="Arial" w:cs="Arial"/>
          <w:sz w:val="22"/>
          <w:szCs w:val="22"/>
          <w:lang w:val="en-US" w:eastAsia="ja-JP"/>
        </w:rPr>
        <w:t>B.4</w:t>
      </w:r>
      <w:proofErr w:type="spellEnd"/>
      <w:r w:rsidRPr="008331F8">
        <w:rPr>
          <w:rFonts w:ascii="Arial" w:hAnsi="Arial" w:cs="Arial"/>
          <w:sz w:val="22"/>
          <w:szCs w:val="22"/>
          <w:lang w:val="en-US" w:eastAsia="ja-JP"/>
        </w:rPr>
        <w:t xml:space="preserve">. </w:t>
      </w:r>
      <w:proofErr w:type="gramStart"/>
      <w:r w:rsidRPr="008331F8">
        <w:rPr>
          <w:rFonts w:ascii="Arial" w:hAnsi="Arial" w:cs="Arial"/>
          <w:sz w:val="22"/>
          <w:szCs w:val="22"/>
          <w:lang w:val="en-US" w:eastAsia="ja-JP"/>
        </w:rPr>
        <w:t>– Implementation Arrangements).</w:t>
      </w:r>
      <w:proofErr w:type="gramEnd"/>
      <w:r w:rsidRPr="008331F8">
        <w:rPr>
          <w:rFonts w:ascii="Arial" w:hAnsi="Arial" w:cs="Arial"/>
          <w:sz w:val="22"/>
          <w:szCs w:val="22"/>
          <w:lang w:val="en-US" w:eastAsia="ja-JP"/>
        </w:rPr>
        <w:t xml:space="preserve">  </w:t>
      </w:r>
    </w:p>
    <w:p w14:paraId="4B4236DC" w14:textId="77777777" w:rsidR="000C6DBC" w:rsidRDefault="000C6DBC" w:rsidP="000C6DBC">
      <w:pPr>
        <w:widowControl w:val="0"/>
        <w:autoSpaceDE w:val="0"/>
        <w:autoSpaceDN w:val="0"/>
        <w:adjustRightInd w:val="0"/>
        <w:spacing w:after="60"/>
        <w:rPr>
          <w:rFonts w:ascii="Arial" w:hAnsi="Arial" w:cs="Arial"/>
          <w:b/>
        </w:rPr>
      </w:pPr>
    </w:p>
    <w:p w14:paraId="463F6220" w14:textId="77777777" w:rsidR="000C6DBC" w:rsidRDefault="000C6DBC" w:rsidP="000C6DBC">
      <w:pPr>
        <w:widowControl w:val="0"/>
        <w:autoSpaceDE w:val="0"/>
        <w:autoSpaceDN w:val="0"/>
        <w:adjustRightInd w:val="0"/>
        <w:spacing w:after="60"/>
        <w:rPr>
          <w:rFonts w:ascii="Arial" w:hAnsi="Arial" w:cs="Arial"/>
          <w:b/>
        </w:rPr>
      </w:pPr>
      <w:r w:rsidRPr="00733552">
        <w:rPr>
          <w:rFonts w:ascii="Arial" w:hAnsi="Arial" w:cs="Arial"/>
          <w:noProof/>
          <w:sz w:val="20"/>
          <w:lang w:val="de-DE" w:eastAsia="de-DE"/>
        </w:rPr>
        <w:drawing>
          <wp:inline distT="0" distB="0" distL="0" distR="0" wp14:anchorId="6B9CE4BD" wp14:editId="7D000F8E">
            <wp:extent cx="5194570" cy="3384713"/>
            <wp:effectExtent l="0" t="0" r="0" b="0"/>
            <wp:docPr id="57" name="Bild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email">
                      <a:extLst>
                        <a:ext uri="{28A0092B-C50C-407E-A947-70E740481C1C}">
                          <a14:useLocalDpi xmlns:a14="http://schemas.microsoft.com/office/drawing/2010/main"/>
                        </a:ext>
                      </a:extLst>
                    </a:blip>
                    <a:stretch>
                      <a:fillRect/>
                    </a:stretch>
                  </pic:blipFill>
                  <pic:spPr>
                    <a:xfrm>
                      <a:off x="0" y="0"/>
                      <a:ext cx="5214905" cy="3397963"/>
                    </a:xfrm>
                    <a:prstGeom prst="rect">
                      <a:avLst/>
                    </a:prstGeom>
                  </pic:spPr>
                </pic:pic>
              </a:graphicData>
            </a:graphic>
          </wp:inline>
        </w:drawing>
      </w:r>
    </w:p>
    <w:p w14:paraId="4A764CCF" w14:textId="77777777" w:rsidR="00221DAB" w:rsidRPr="00221DAB" w:rsidRDefault="00221DAB" w:rsidP="004C3237">
      <w:pPr>
        <w:rPr>
          <w:sz w:val="22"/>
          <w:szCs w:val="22"/>
        </w:rPr>
      </w:pPr>
    </w:p>
    <w:sectPr w:rsidR="00221DAB" w:rsidRPr="00221DAB" w:rsidSect="00221DAB">
      <w:pgSz w:w="11900" w:h="16820"/>
      <w:pgMar w:top="1152" w:right="1440" w:bottom="1440" w:left="1440"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C4D3D7" w14:textId="77777777" w:rsidR="009A4E44" w:rsidRDefault="009A4E44">
      <w:r>
        <w:separator/>
      </w:r>
    </w:p>
  </w:endnote>
  <w:endnote w:type="continuationSeparator" w:id="0">
    <w:p w14:paraId="0E7BBAB9" w14:textId="77777777" w:rsidR="009A4E44" w:rsidRDefault="009A4E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24343D" w14:textId="77777777" w:rsidR="00D238E3" w:rsidRDefault="00D238E3">
    <w:pPr>
      <w:pStyle w:val="Fuzeile"/>
      <w:pBdr>
        <w:top w:val="single" w:sz="4" w:space="1" w:color="D9D9D9"/>
      </w:pBdr>
      <w:rPr>
        <w:b/>
      </w:rPr>
    </w:pPr>
    <w:r>
      <w:fldChar w:fldCharType="begin"/>
    </w:r>
    <w:r>
      <w:instrText xml:space="preserve"> PAGE   \* MERGEFORMAT </w:instrText>
    </w:r>
    <w:r>
      <w:fldChar w:fldCharType="separate"/>
    </w:r>
    <w:r w:rsidR="00215786" w:rsidRPr="00215786">
      <w:rPr>
        <w:b/>
        <w:noProof/>
      </w:rPr>
      <w:t>1</w:t>
    </w:r>
    <w:r>
      <w:rPr>
        <w:b/>
        <w:noProof/>
      </w:rPr>
      <w:fldChar w:fldCharType="end"/>
    </w:r>
    <w:r>
      <w:rPr>
        <w:b/>
      </w:rPr>
      <w:t xml:space="preserve"> | </w:t>
    </w:r>
    <w:r>
      <w:rPr>
        <w:color w:val="7F7F7F"/>
        <w:spacing w:val="60"/>
      </w:rPr>
      <w:t>Page</w:t>
    </w:r>
  </w:p>
  <w:p w14:paraId="3DF4C5AE" w14:textId="77777777" w:rsidR="00D238E3" w:rsidRDefault="00D238E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D4AEFF" w14:textId="77777777" w:rsidR="009A4E44" w:rsidRDefault="009A4E44">
      <w:r>
        <w:separator/>
      </w:r>
    </w:p>
  </w:footnote>
  <w:footnote w:type="continuationSeparator" w:id="0">
    <w:p w14:paraId="74781A35" w14:textId="77777777" w:rsidR="009A4E44" w:rsidRDefault="009A4E4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A99CF6" w14:textId="7D0C2504" w:rsidR="00D238E3" w:rsidRPr="004B2355" w:rsidRDefault="004B2355" w:rsidP="00A523C7">
    <w:pPr>
      <w:pStyle w:val="Kopfzeile"/>
      <w:rPr>
        <w:sz w:val="24"/>
        <w:u w:val="single"/>
        <w:lang w:val="de-DE"/>
      </w:rPr>
    </w:pPr>
    <w:r w:rsidRPr="004B2355">
      <w:rPr>
        <w:sz w:val="24"/>
        <w:u w:val="single"/>
        <w:lang w:val="de-DE"/>
      </w:rPr>
      <w:t>Annex 10</w:t>
    </w:r>
    <w:r w:rsidR="00A523C7">
      <w:rPr>
        <w:sz w:val="24"/>
        <w:u w:val="single"/>
        <w:lang w:val="de-DE"/>
      </w:rPr>
      <w:t xml:space="preserve"> </w:t>
    </w:r>
    <w:proofErr w:type="spellStart"/>
    <w:r w:rsidR="00A523C7">
      <w:rPr>
        <w:sz w:val="24"/>
        <w:u w:val="single"/>
        <w:lang w:val="de-DE"/>
      </w:rPr>
      <w:t>Procurement</w:t>
    </w:r>
    <w:proofErr w:type="spellEnd"/>
    <w:r w:rsidR="00A523C7">
      <w:rPr>
        <w:sz w:val="24"/>
        <w:u w:val="single"/>
        <w:lang w:val="de-DE"/>
      </w:rPr>
      <w:t xml:space="preserve"> Plan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40231"/>
    <w:multiLevelType w:val="hybridMultilevel"/>
    <w:tmpl w:val="7E8E85E2"/>
    <w:lvl w:ilvl="0" w:tplc="F28EB1E4">
      <w:start w:val="4"/>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7822DD6"/>
    <w:multiLevelType w:val="hybridMultilevel"/>
    <w:tmpl w:val="75ACBFCE"/>
    <w:lvl w:ilvl="0" w:tplc="A6AA6668">
      <w:start w:val="2"/>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EAA5056"/>
    <w:multiLevelType w:val="hybridMultilevel"/>
    <w:tmpl w:val="060E8438"/>
    <w:lvl w:ilvl="0" w:tplc="1A3266B8">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D697562"/>
    <w:multiLevelType w:val="hybridMultilevel"/>
    <w:tmpl w:val="6ADCE0E0"/>
    <w:lvl w:ilvl="0" w:tplc="6CB60104">
      <w:start w:val="1"/>
      <w:numFmt w:val="decimal"/>
      <w:lvlText w:val="%1."/>
      <w:lvlJc w:val="left"/>
      <w:pPr>
        <w:ind w:left="930" w:hanging="57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3BE76C2"/>
    <w:multiLevelType w:val="hybridMultilevel"/>
    <w:tmpl w:val="8F10EADA"/>
    <w:lvl w:ilvl="0" w:tplc="E4169CF2">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97938CD"/>
    <w:multiLevelType w:val="hybridMultilevel"/>
    <w:tmpl w:val="E2BCDF68"/>
    <w:lvl w:ilvl="0" w:tplc="C652EC10">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2B0C3639"/>
    <w:multiLevelType w:val="hybridMultilevel"/>
    <w:tmpl w:val="2D323B64"/>
    <w:lvl w:ilvl="0" w:tplc="82C89978">
      <w:start w:val="1"/>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32C913A6"/>
    <w:multiLevelType w:val="hybridMultilevel"/>
    <w:tmpl w:val="220A5726"/>
    <w:lvl w:ilvl="0" w:tplc="E390AC1C">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1DD70BF"/>
    <w:multiLevelType w:val="multilevel"/>
    <w:tmpl w:val="D16479FA"/>
    <w:lvl w:ilvl="0">
      <w:start w:val="1"/>
      <w:numFmt w:val="upperRoman"/>
      <w:pStyle w:val="Outline1"/>
      <w:lvlText w:val="%1."/>
      <w:lvlJc w:val="right"/>
      <w:pPr>
        <w:tabs>
          <w:tab w:val="num" w:pos="432"/>
        </w:tabs>
        <w:ind w:left="432" w:hanging="432"/>
      </w:pPr>
    </w:lvl>
    <w:lvl w:ilvl="1">
      <w:start w:val="1"/>
      <w:numFmt w:val="upperLetter"/>
      <w:pStyle w:val="Outline2"/>
      <w:lvlText w:val="%2."/>
      <w:lvlJc w:val="left"/>
      <w:pPr>
        <w:tabs>
          <w:tab w:val="num" w:pos="1152"/>
        </w:tabs>
        <w:ind w:left="1152" w:hanging="576"/>
      </w:pPr>
    </w:lvl>
    <w:lvl w:ilvl="2">
      <w:start w:val="1"/>
      <w:numFmt w:val="decimal"/>
      <w:pStyle w:val="Outline3"/>
      <w:lvlText w:val="%3."/>
      <w:lvlJc w:val="left"/>
      <w:pPr>
        <w:tabs>
          <w:tab w:val="num" w:pos="1728"/>
        </w:tabs>
        <w:ind w:left="1728" w:hanging="432"/>
      </w:pPr>
    </w:lvl>
    <w:lvl w:ilvl="3">
      <w:start w:val="1"/>
      <w:numFmt w:val="lowerLetter"/>
      <w:pStyle w:val="Outline4"/>
      <w:lvlText w:val="%4)"/>
      <w:lvlJc w:val="left"/>
      <w:pPr>
        <w:tabs>
          <w:tab w:val="num" w:pos="2304"/>
        </w:tabs>
        <w:ind w:left="2304" w:hanging="576"/>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9">
    <w:nsid w:val="76108878"/>
    <w:multiLevelType w:val="hybridMultilevel"/>
    <w:tmpl w:val="6D1C931A"/>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77CE7200"/>
    <w:multiLevelType w:val="hybridMultilevel"/>
    <w:tmpl w:val="6ABC13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97E1710"/>
    <w:multiLevelType w:val="singleLevel"/>
    <w:tmpl w:val="B030C604"/>
    <w:lvl w:ilvl="0">
      <w:start w:val="1"/>
      <w:numFmt w:val="bullet"/>
      <w:pStyle w:val="outlinebullet"/>
      <w:lvlText w:val=""/>
      <w:lvlJc w:val="left"/>
      <w:pPr>
        <w:tabs>
          <w:tab w:val="num" w:pos="360"/>
        </w:tabs>
        <w:ind w:left="360" w:hanging="360"/>
      </w:pPr>
      <w:rPr>
        <w:rFonts w:ascii="Symbol" w:hAnsi="Symbol" w:hint="default"/>
      </w:rPr>
    </w:lvl>
  </w:abstractNum>
  <w:num w:numId="1">
    <w:abstractNumId w:val="8"/>
  </w:num>
  <w:num w:numId="2">
    <w:abstractNumId w:val="8"/>
  </w:num>
  <w:num w:numId="3">
    <w:abstractNumId w:val="8"/>
  </w:num>
  <w:num w:numId="4">
    <w:abstractNumId w:val="8"/>
  </w:num>
  <w:num w:numId="5">
    <w:abstractNumId w:val="11"/>
  </w:num>
  <w:num w:numId="6">
    <w:abstractNumId w:val="5"/>
  </w:num>
  <w:num w:numId="7">
    <w:abstractNumId w:val="4"/>
  </w:num>
  <w:num w:numId="8">
    <w:abstractNumId w:val="6"/>
  </w:num>
  <w:num w:numId="9">
    <w:abstractNumId w:val="0"/>
  </w:num>
  <w:num w:numId="10">
    <w:abstractNumId w:val="1"/>
  </w:num>
  <w:num w:numId="11">
    <w:abstractNumId w:val="3"/>
  </w:num>
  <w:num w:numId="12">
    <w:abstractNumId w:val="10"/>
  </w:num>
  <w:num w:numId="13">
    <w:abstractNumId w:val="7"/>
  </w:num>
  <w:num w:numId="14">
    <w:abstractNumId w:val="2"/>
  </w:num>
  <w:num w:numId="15">
    <w:abstractNumId w:val="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activeWritingStyle w:appName="MSWord" w:lang="en-US" w:vendorID="64" w:dllVersion="5" w:nlCheck="1" w:checkStyle="1"/>
  <w:activeWritingStyle w:appName="MSWord" w:lang="en-US" w:vendorID="64" w:dllVersion="6" w:nlCheck="1" w:checkStyle="0"/>
  <w:activeWritingStyle w:appName="MSWord" w:lang="fr-FR" w:vendorID="64" w:dllVersion="6" w:nlCheck="1" w:checkStyle="0"/>
  <w:activeWritingStyle w:appName="MSWord" w:lang="en-ZW" w:vendorID="64" w:dllVersion="6" w:nlCheck="1" w:checkStyle="0"/>
  <w:activeWritingStyle w:appName="MSWord" w:lang="de-DE" w:vendorID="64" w:dllVersion="131078" w:nlCheck="1" w:checkStyle="1"/>
  <w:activeWritingStyle w:appName="MSWord" w:lang="en-US" w:vendorID="64" w:dllVersion="131078" w:nlCheck="1" w:checkStyle="1"/>
  <w:activeWritingStyle w:appName="MSWord" w:lang="en-GB" w:vendorID="64" w:dllVersion="131078" w:nlCheck="1" w:checkStyle="1"/>
  <w:activeWritingStyle w:appName="MSWord" w:lang="en-US" w:vendorID="8" w:dllVersion="513" w:checkStyle="1"/>
  <w:activeWritingStyle w:appName="MSWord" w:lang="fr-FR" w:vendorID="9"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76"/>
  <w:hyphenationZone w:val="425"/>
  <w:drawingGridHorizontalSpacing w:val="12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562A"/>
    <w:rsid w:val="00022740"/>
    <w:rsid w:val="00025B9A"/>
    <w:rsid w:val="00030233"/>
    <w:rsid w:val="00060775"/>
    <w:rsid w:val="00062541"/>
    <w:rsid w:val="0007171C"/>
    <w:rsid w:val="00085556"/>
    <w:rsid w:val="00085D89"/>
    <w:rsid w:val="00086A8D"/>
    <w:rsid w:val="00097742"/>
    <w:rsid w:val="000A003D"/>
    <w:rsid w:val="000A1767"/>
    <w:rsid w:val="000B05F0"/>
    <w:rsid w:val="000B5BCA"/>
    <w:rsid w:val="000C22AA"/>
    <w:rsid w:val="000C24E8"/>
    <w:rsid w:val="000C6DBC"/>
    <w:rsid w:val="000D42F7"/>
    <w:rsid w:val="000E3BFF"/>
    <w:rsid w:val="00102E2F"/>
    <w:rsid w:val="001059CA"/>
    <w:rsid w:val="00140B9A"/>
    <w:rsid w:val="00140C0F"/>
    <w:rsid w:val="0015342E"/>
    <w:rsid w:val="00166705"/>
    <w:rsid w:val="001676C2"/>
    <w:rsid w:val="001907BD"/>
    <w:rsid w:val="001A6936"/>
    <w:rsid w:val="001D27F2"/>
    <w:rsid w:val="001F4794"/>
    <w:rsid w:val="00215786"/>
    <w:rsid w:val="0021652D"/>
    <w:rsid w:val="00221DAB"/>
    <w:rsid w:val="0024164E"/>
    <w:rsid w:val="00241CDC"/>
    <w:rsid w:val="002424A2"/>
    <w:rsid w:val="002540BB"/>
    <w:rsid w:val="002621A6"/>
    <w:rsid w:val="0027680C"/>
    <w:rsid w:val="00287854"/>
    <w:rsid w:val="00293871"/>
    <w:rsid w:val="002C133A"/>
    <w:rsid w:val="002D04B9"/>
    <w:rsid w:val="002D4C3C"/>
    <w:rsid w:val="00323B43"/>
    <w:rsid w:val="003242CB"/>
    <w:rsid w:val="00331567"/>
    <w:rsid w:val="00341033"/>
    <w:rsid w:val="00347387"/>
    <w:rsid w:val="00375E08"/>
    <w:rsid w:val="003774FD"/>
    <w:rsid w:val="0039542C"/>
    <w:rsid w:val="003A1EE1"/>
    <w:rsid w:val="003B05FE"/>
    <w:rsid w:val="003B371A"/>
    <w:rsid w:val="003B7214"/>
    <w:rsid w:val="003B7CAD"/>
    <w:rsid w:val="003C11E1"/>
    <w:rsid w:val="003C5CB8"/>
    <w:rsid w:val="003D1DB9"/>
    <w:rsid w:val="003D4DE7"/>
    <w:rsid w:val="00417CB3"/>
    <w:rsid w:val="004652C7"/>
    <w:rsid w:val="00492A22"/>
    <w:rsid w:val="004B2355"/>
    <w:rsid w:val="004C16DD"/>
    <w:rsid w:val="004C2A3E"/>
    <w:rsid w:val="004C2FBA"/>
    <w:rsid w:val="004C3237"/>
    <w:rsid w:val="004F0E44"/>
    <w:rsid w:val="004F33B7"/>
    <w:rsid w:val="004F53C9"/>
    <w:rsid w:val="004F778B"/>
    <w:rsid w:val="005079C3"/>
    <w:rsid w:val="00513FDE"/>
    <w:rsid w:val="00520EF6"/>
    <w:rsid w:val="005277F3"/>
    <w:rsid w:val="0053511C"/>
    <w:rsid w:val="00543E3D"/>
    <w:rsid w:val="00560DEE"/>
    <w:rsid w:val="00582226"/>
    <w:rsid w:val="005837A9"/>
    <w:rsid w:val="00591B7A"/>
    <w:rsid w:val="00591C4D"/>
    <w:rsid w:val="005A754C"/>
    <w:rsid w:val="005C0DBA"/>
    <w:rsid w:val="005F6FC8"/>
    <w:rsid w:val="00613AF1"/>
    <w:rsid w:val="00614A52"/>
    <w:rsid w:val="006206B7"/>
    <w:rsid w:val="006219A1"/>
    <w:rsid w:val="00623CBA"/>
    <w:rsid w:val="00626A8B"/>
    <w:rsid w:val="00632B8F"/>
    <w:rsid w:val="00647FF3"/>
    <w:rsid w:val="00675568"/>
    <w:rsid w:val="0068358E"/>
    <w:rsid w:val="006875A4"/>
    <w:rsid w:val="006B7762"/>
    <w:rsid w:val="006C367B"/>
    <w:rsid w:val="006C6E30"/>
    <w:rsid w:val="006C72A2"/>
    <w:rsid w:val="006D0F62"/>
    <w:rsid w:val="006D3DB3"/>
    <w:rsid w:val="006E5D2D"/>
    <w:rsid w:val="006F2611"/>
    <w:rsid w:val="00701870"/>
    <w:rsid w:val="007037E6"/>
    <w:rsid w:val="00711CFC"/>
    <w:rsid w:val="007258A5"/>
    <w:rsid w:val="00745657"/>
    <w:rsid w:val="007627C7"/>
    <w:rsid w:val="0077515E"/>
    <w:rsid w:val="00785131"/>
    <w:rsid w:val="007979CA"/>
    <w:rsid w:val="007A0E4C"/>
    <w:rsid w:val="007A3AB2"/>
    <w:rsid w:val="007B58EF"/>
    <w:rsid w:val="007B5FD7"/>
    <w:rsid w:val="007C672B"/>
    <w:rsid w:val="007D6208"/>
    <w:rsid w:val="008200FA"/>
    <w:rsid w:val="0082068E"/>
    <w:rsid w:val="008331F8"/>
    <w:rsid w:val="00833BD4"/>
    <w:rsid w:val="00846F88"/>
    <w:rsid w:val="00860EF7"/>
    <w:rsid w:val="008644DD"/>
    <w:rsid w:val="0086698A"/>
    <w:rsid w:val="00873BA8"/>
    <w:rsid w:val="00875E68"/>
    <w:rsid w:val="00882A25"/>
    <w:rsid w:val="0089232A"/>
    <w:rsid w:val="00892537"/>
    <w:rsid w:val="0089562A"/>
    <w:rsid w:val="008A0D81"/>
    <w:rsid w:val="008B35EA"/>
    <w:rsid w:val="008B57C7"/>
    <w:rsid w:val="008B64A3"/>
    <w:rsid w:val="008B68F7"/>
    <w:rsid w:val="008E36A3"/>
    <w:rsid w:val="009328DE"/>
    <w:rsid w:val="00936183"/>
    <w:rsid w:val="00941B58"/>
    <w:rsid w:val="009548F0"/>
    <w:rsid w:val="0099061A"/>
    <w:rsid w:val="00992653"/>
    <w:rsid w:val="0099621B"/>
    <w:rsid w:val="009A4E44"/>
    <w:rsid w:val="009A7E7C"/>
    <w:rsid w:val="009B372F"/>
    <w:rsid w:val="009B6C16"/>
    <w:rsid w:val="009B787D"/>
    <w:rsid w:val="009C4144"/>
    <w:rsid w:val="009C6786"/>
    <w:rsid w:val="009C790F"/>
    <w:rsid w:val="009C79F1"/>
    <w:rsid w:val="009D6F3C"/>
    <w:rsid w:val="009E7314"/>
    <w:rsid w:val="00A16E35"/>
    <w:rsid w:val="00A207F7"/>
    <w:rsid w:val="00A212B7"/>
    <w:rsid w:val="00A218FD"/>
    <w:rsid w:val="00A2336E"/>
    <w:rsid w:val="00A244E3"/>
    <w:rsid w:val="00A34309"/>
    <w:rsid w:val="00A504E7"/>
    <w:rsid w:val="00A523C7"/>
    <w:rsid w:val="00A773EE"/>
    <w:rsid w:val="00A9324C"/>
    <w:rsid w:val="00AB3D17"/>
    <w:rsid w:val="00AC1EAC"/>
    <w:rsid w:val="00AC241D"/>
    <w:rsid w:val="00AC50B0"/>
    <w:rsid w:val="00AD7DB0"/>
    <w:rsid w:val="00AE7290"/>
    <w:rsid w:val="00AF5C7B"/>
    <w:rsid w:val="00B0156D"/>
    <w:rsid w:val="00B0594D"/>
    <w:rsid w:val="00B1552A"/>
    <w:rsid w:val="00B4422F"/>
    <w:rsid w:val="00B45024"/>
    <w:rsid w:val="00B65EE5"/>
    <w:rsid w:val="00B740C5"/>
    <w:rsid w:val="00B77752"/>
    <w:rsid w:val="00B94CC2"/>
    <w:rsid w:val="00B966D8"/>
    <w:rsid w:val="00BA58FC"/>
    <w:rsid w:val="00BA6CE8"/>
    <w:rsid w:val="00BB7631"/>
    <w:rsid w:val="00BB7D2A"/>
    <w:rsid w:val="00BD600F"/>
    <w:rsid w:val="00BE19F6"/>
    <w:rsid w:val="00C221E0"/>
    <w:rsid w:val="00C46327"/>
    <w:rsid w:val="00C46896"/>
    <w:rsid w:val="00C50A9D"/>
    <w:rsid w:val="00C579D1"/>
    <w:rsid w:val="00C6129C"/>
    <w:rsid w:val="00C64CFD"/>
    <w:rsid w:val="00C81A45"/>
    <w:rsid w:val="00CF4DD0"/>
    <w:rsid w:val="00D117B7"/>
    <w:rsid w:val="00D1370F"/>
    <w:rsid w:val="00D238E3"/>
    <w:rsid w:val="00D30F6F"/>
    <w:rsid w:val="00D34144"/>
    <w:rsid w:val="00D36E67"/>
    <w:rsid w:val="00D5017E"/>
    <w:rsid w:val="00D51530"/>
    <w:rsid w:val="00D752CD"/>
    <w:rsid w:val="00D86B79"/>
    <w:rsid w:val="00DD09C7"/>
    <w:rsid w:val="00DD21C9"/>
    <w:rsid w:val="00DD242D"/>
    <w:rsid w:val="00E03D94"/>
    <w:rsid w:val="00E225AA"/>
    <w:rsid w:val="00E30FBF"/>
    <w:rsid w:val="00E35B4A"/>
    <w:rsid w:val="00E365EF"/>
    <w:rsid w:val="00E47327"/>
    <w:rsid w:val="00E7668A"/>
    <w:rsid w:val="00E80A38"/>
    <w:rsid w:val="00E97FC8"/>
    <w:rsid w:val="00EC4F2E"/>
    <w:rsid w:val="00ED171E"/>
    <w:rsid w:val="00ED1F1E"/>
    <w:rsid w:val="00ED4A7C"/>
    <w:rsid w:val="00EF3477"/>
    <w:rsid w:val="00F037E7"/>
    <w:rsid w:val="00F12CEE"/>
    <w:rsid w:val="00F178CC"/>
    <w:rsid w:val="00F21674"/>
    <w:rsid w:val="00F273F9"/>
    <w:rsid w:val="00F32617"/>
    <w:rsid w:val="00F52A4D"/>
    <w:rsid w:val="00F53385"/>
    <w:rsid w:val="00F5534C"/>
    <w:rsid w:val="00F7730B"/>
    <w:rsid w:val="00F84288"/>
    <w:rsid w:val="00F848F8"/>
    <w:rsid w:val="00F8642D"/>
    <w:rsid w:val="00F90AA8"/>
    <w:rsid w:val="00FB715A"/>
    <w:rsid w:val="00FD6D19"/>
    <w:rsid w:val="00FD7A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6553FF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iPriority="3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45657"/>
    <w:rPr>
      <w:sz w:val="24"/>
      <w:lang w:val="en-US" w:eastAsia="en-US"/>
    </w:rPr>
  </w:style>
  <w:style w:type="paragraph" w:styleId="berschrift1">
    <w:name w:val="heading 1"/>
    <w:basedOn w:val="Standard"/>
    <w:next w:val="Standard"/>
    <w:qFormat/>
    <w:rsid w:val="00745657"/>
    <w:pPr>
      <w:keepNext/>
      <w:widowControl w:val="0"/>
      <w:jc w:val="center"/>
      <w:outlineLvl w:val="0"/>
    </w:pPr>
    <w:rPr>
      <w:b/>
      <w:sz w:val="22"/>
    </w:rPr>
  </w:style>
  <w:style w:type="paragraph" w:styleId="berschrift2">
    <w:name w:val="heading 2"/>
    <w:basedOn w:val="Standard"/>
    <w:next w:val="Standard"/>
    <w:qFormat/>
    <w:rsid w:val="00745657"/>
    <w:pPr>
      <w:keepNext/>
      <w:widowControl w:val="0"/>
      <w:jc w:val="center"/>
      <w:outlineLvl w:val="1"/>
    </w:pPr>
    <w:rPr>
      <w:b/>
      <w:sz w:val="27"/>
    </w:rPr>
  </w:style>
  <w:style w:type="paragraph" w:styleId="berschrift3">
    <w:name w:val="heading 3"/>
    <w:basedOn w:val="Standard"/>
    <w:next w:val="Standard"/>
    <w:qFormat/>
    <w:rsid w:val="00745657"/>
    <w:pPr>
      <w:keepNext/>
      <w:widowControl w:val="0"/>
      <w:outlineLvl w:val="2"/>
    </w:pPr>
    <w:rPr>
      <w:b/>
      <w:sz w:val="20"/>
    </w:rPr>
  </w:style>
  <w:style w:type="paragraph" w:styleId="berschrift4">
    <w:name w:val="heading 4"/>
    <w:basedOn w:val="Standard"/>
    <w:next w:val="Standard"/>
    <w:qFormat/>
    <w:rsid w:val="00745657"/>
    <w:pPr>
      <w:keepNext/>
      <w:ind w:left="720"/>
      <w:outlineLvl w:val="3"/>
    </w:pPr>
    <w:rPr>
      <w:u w:val="single"/>
    </w:rPr>
  </w:style>
  <w:style w:type="paragraph" w:styleId="berschrift5">
    <w:name w:val="heading 5"/>
    <w:basedOn w:val="Standard"/>
    <w:next w:val="Standard"/>
    <w:qFormat/>
    <w:rsid w:val="00745657"/>
    <w:pPr>
      <w:keepNext/>
      <w:widowControl w:val="0"/>
      <w:ind w:left="720"/>
      <w:outlineLvl w:val="4"/>
    </w:pPr>
    <w:rPr>
      <w:rFonts w:ascii="Arial" w:hAnsi="Arial"/>
      <w:b/>
      <w:sz w:val="22"/>
      <w:u w:val="single"/>
    </w:rPr>
  </w:style>
  <w:style w:type="paragraph" w:styleId="berschrift6">
    <w:name w:val="heading 6"/>
    <w:basedOn w:val="Standard"/>
    <w:next w:val="Standard"/>
    <w:qFormat/>
    <w:rsid w:val="00745657"/>
    <w:pPr>
      <w:keepNext/>
      <w:widowControl w:val="0"/>
      <w:jc w:val="center"/>
      <w:outlineLvl w:val="5"/>
    </w:pPr>
    <w:rPr>
      <w:rFonts w:ascii="Arial" w:hAnsi="Arial"/>
      <w:b/>
      <w:sz w:val="20"/>
    </w:rPr>
  </w:style>
  <w:style w:type="paragraph" w:styleId="berschrift7">
    <w:name w:val="heading 7"/>
    <w:basedOn w:val="Standard"/>
    <w:next w:val="Standard"/>
    <w:qFormat/>
    <w:rsid w:val="00745657"/>
    <w:pPr>
      <w:keepNext/>
      <w:widowControl w:val="0"/>
      <w:jc w:val="right"/>
      <w:outlineLvl w:val="6"/>
    </w:pPr>
    <w:rPr>
      <w:rFonts w:ascii="Arial" w:hAnsi="Arial"/>
      <w:b/>
      <w:sz w:val="20"/>
    </w:rPr>
  </w:style>
  <w:style w:type="paragraph" w:styleId="berschrift8">
    <w:name w:val="heading 8"/>
    <w:basedOn w:val="Standard"/>
    <w:next w:val="Standard"/>
    <w:qFormat/>
    <w:rsid w:val="00745657"/>
    <w:pPr>
      <w:keepNext/>
      <w:ind w:firstLine="720"/>
      <w:outlineLvl w:val="7"/>
    </w:pPr>
    <w:rPr>
      <w:rFonts w:ascii="Arial" w:hAnsi="Arial"/>
      <w:b/>
      <w:u w:val="single"/>
    </w:rPr>
  </w:style>
  <w:style w:type="paragraph" w:styleId="berschrift9">
    <w:name w:val="heading 9"/>
    <w:basedOn w:val="Standard"/>
    <w:next w:val="Standard"/>
    <w:qFormat/>
    <w:rsid w:val="00745657"/>
    <w:pPr>
      <w:keepNext/>
      <w:ind w:left="720"/>
      <w:outlineLvl w:val="8"/>
    </w:pPr>
    <w:rPr>
      <w:rFonts w:ascii="Arial" w:hAnsi="Arial"/>
      <w:b/>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Outline">
    <w:name w:val="Outline"/>
    <w:basedOn w:val="Standard"/>
    <w:rsid w:val="00745657"/>
    <w:pPr>
      <w:spacing w:before="240"/>
    </w:pPr>
    <w:rPr>
      <w:kern w:val="28"/>
    </w:rPr>
  </w:style>
  <w:style w:type="paragraph" w:customStyle="1" w:styleId="Outline1">
    <w:name w:val="Outline1"/>
    <w:basedOn w:val="Outline"/>
    <w:next w:val="Outline2"/>
    <w:rsid w:val="00745657"/>
    <w:pPr>
      <w:keepNext/>
      <w:numPr>
        <w:numId w:val="1"/>
      </w:numPr>
      <w:tabs>
        <w:tab w:val="clear" w:pos="432"/>
        <w:tab w:val="num" w:pos="360"/>
      </w:tabs>
      <w:ind w:left="360" w:hanging="360"/>
    </w:pPr>
  </w:style>
  <w:style w:type="paragraph" w:customStyle="1" w:styleId="Outline2">
    <w:name w:val="Outline2"/>
    <w:basedOn w:val="Standard"/>
    <w:rsid w:val="00745657"/>
    <w:pPr>
      <w:numPr>
        <w:ilvl w:val="1"/>
        <w:numId w:val="2"/>
      </w:numPr>
      <w:tabs>
        <w:tab w:val="clear" w:pos="1152"/>
        <w:tab w:val="num" w:pos="864"/>
      </w:tabs>
      <w:spacing w:before="240"/>
      <w:ind w:left="864" w:hanging="504"/>
    </w:pPr>
    <w:rPr>
      <w:kern w:val="28"/>
    </w:rPr>
  </w:style>
  <w:style w:type="paragraph" w:customStyle="1" w:styleId="Outline3">
    <w:name w:val="Outline3"/>
    <w:basedOn w:val="Standard"/>
    <w:rsid w:val="00745657"/>
    <w:pPr>
      <w:numPr>
        <w:ilvl w:val="2"/>
        <w:numId w:val="3"/>
      </w:numPr>
      <w:tabs>
        <w:tab w:val="clear" w:pos="1728"/>
        <w:tab w:val="num" w:pos="1368"/>
      </w:tabs>
      <w:spacing w:before="240"/>
      <w:ind w:left="1368" w:hanging="504"/>
    </w:pPr>
    <w:rPr>
      <w:kern w:val="28"/>
    </w:rPr>
  </w:style>
  <w:style w:type="paragraph" w:customStyle="1" w:styleId="Outline4">
    <w:name w:val="Outline4"/>
    <w:basedOn w:val="Standard"/>
    <w:rsid w:val="00745657"/>
    <w:pPr>
      <w:numPr>
        <w:ilvl w:val="3"/>
        <w:numId w:val="4"/>
      </w:numPr>
      <w:tabs>
        <w:tab w:val="clear" w:pos="2304"/>
        <w:tab w:val="num" w:pos="1872"/>
      </w:tabs>
      <w:spacing w:before="240"/>
      <w:ind w:left="1872" w:hanging="504"/>
    </w:pPr>
    <w:rPr>
      <w:kern w:val="28"/>
    </w:rPr>
  </w:style>
  <w:style w:type="paragraph" w:customStyle="1" w:styleId="outlinebullet">
    <w:name w:val="outlinebullet"/>
    <w:basedOn w:val="Standard"/>
    <w:rsid w:val="00745657"/>
    <w:pPr>
      <w:numPr>
        <w:numId w:val="5"/>
      </w:numPr>
      <w:tabs>
        <w:tab w:val="clear" w:pos="360"/>
        <w:tab w:val="left" w:pos="1440"/>
      </w:tabs>
      <w:spacing w:before="120"/>
      <w:ind w:left="1440" w:hanging="450"/>
    </w:pPr>
  </w:style>
  <w:style w:type="paragraph" w:styleId="Verzeichnis2">
    <w:name w:val="toc 2"/>
    <w:basedOn w:val="Standard"/>
    <w:next w:val="Standard"/>
    <w:autoRedefine/>
    <w:semiHidden/>
    <w:rsid w:val="00745657"/>
    <w:pPr>
      <w:tabs>
        <w:tab w:val="right" w:pos="8640"/>
      </w:tabs>
    </w:pPr>
  </w:style>
  <w:style w:type="paragraph" w:customStyle="1" w:styleId="Headinga">
    <w:name w:val="Heading a"/>
    <w:basedOn w:val="Standard"/>
    <w:rsid w:val="00745657"/>
    <w:pPr>
      <w:widowControl w:val="0"/>
      <w:spacing w:after="120"/>
    </w:pPr>
    <w:rPr>
      <w:sz w:val="22"/>
    </w:rPr>
  </w:style>
  <w:style w:type="paragraph" w:styleId="Textkrper-Zeileneinzug">
    <w:name w:val="Body Text Indent"/>
    <w:basedOn w:val="Standard"/>
    <w:rsid w:val="00745657"/>
    <w:pPr>
      <w:widowControl w:val="0"/>
      <w:ind w:left="2160" w:hanging="720"/>
    </w:pPr>
    <w:rPr>
      <w:rFonts w:ascii="Arial" w:hAnsi="Arial"/>
      <w:sz w:val="20"/>
    </w:rPr>
  </w:style>
  <w:style w:type="character" w:styleId="Funotenzeichen">
    <w:name w:val="footnote reference"/>
    <w:basedOn w:val="Absatz-Standardschriftart"/>
    <w:semiHidden/>
    <w:rsid w:val="00745657"/>
    <w:rPr>
      <w:sz w:val="20"/>
      <w:vertAlign w:val="superscript"/>
    </w:rPr>
  </w:style>
  <w:style w:type="paragraph" w:styleId="Funotentext">
    <w:name w:val="footnote text"/>
    <w:basedOn w:val="Standard"/>
    <w:semiHidden/>
    <w:rsid w:val="00745657"/>
    <w:pPr>
      <w:widowControl w:val="0"/>
    </w:pPr>
    <w:rPr>
      <w:sz w:val="20"/>
    </w:rPr>
  </w:style>
  <w:style w:type="paragraph" w:customStyle="1" w:styleId="Heading">
    <w:name w:val="Heading"/>
    <w:basedOn w:val="Standard"/>
    <w:rsid w:val="00745657"/>
    <w:pPr>
      <w:keepNext/>
      <w:widowControl w:val="0"/>
      <w:spacing w:before="120" w:after="120"/>
    </w:pPr>
    <w:rPr>
      <w:i/>
      <w:sz w:val="22"/>
    </w:rPr>
  </w:style>
  <w:style w:type="paragraph" w:customStyle="1" w:styleId="Block">
    <w:name w:val="Block"/>
    <w:basedOn w:val="Standard"/>
    <w:rsid w:val="00745657"/>
    <w:pPr>
      <w:widowControl w:val="0"/>
    </w:pPr>
    <w:rPr>
      <w:b/>
      <w:sz w:val="22"/>
    </w:rPr>
  </w:style>
  <w:style w:type="paragraph" w:styleId="Verzeichnis1">
    <w:name w:val="toc 1"/>
    <w:basedOn w:val="Standard"/>
    <w:next w:val="Standard"/>
    <w:autoRedefine/>
    <w:semiHidden/>
    <w:rsid w:val="00745657"/>
    <w:pPr>
      <w:tabs>
        <w:tab w:val="decimal" w:pos="-108"/>
      </w:tabs>
      <w:jc w:val="center"/>
    </w:pPr>
    <w:rPr>
      <w:sz w:val="22"/>
    </w:rPr>
  </w:style>
  <w:style w:type="paragraph" w:styleId="Textkrper-Einzug3">
    <w:name w:val="Body Text Indent 3"/>
    <w:basedOn w:val="Standard"/>
    <w:rsid w:val="00745657"/>
    <w:pPr>
      <w:ind w:left="720"/>
      <w:jc w:val="both"/>
    </w:pPr>
  </w:style>
  <w:style w:type="paragraph" w:styleId="Kopfzeile">
    <w:name w:val="header"/>
    <w:basedOn w:val="Standard"/>
    <w:rsid w:val="00745657"/>
    <w:pPr>
      <w:widowControl w:val="0"/>
      <w:tabs>
        <w:tab w:val="center" w:pos="4320"/>
        <w:tab w:val="right" w:pos="8640"/>
      </w:tabs>
    </w:pPr>
    <w:rPr>
      <w:sz w:val="20"/>
    </w:rPr>
  </w:style>
  <w:style w:type="paragraph" w:styleId="Textkrper-Einzug2">
    <w:name w:val="Body Text Indent 2"/>
    <w:basedOn w:val="Standard"/>
    <w:rsid w:val="00745657"/>
    <w:pPr>
      <w:ind w:left="720"/>
    </w:pPr>
    <w:rPr>
      <w:sz w:val="22"/>
    </w:rPr>
  </w:style>
  <w:style w:type="paragraph" w:styleId="Blocktext">
    <w:name w:val="Block Text"/>
    <w:basedOn w:val="Standard"/>
    <w:rsid w:val="00745657"/>
    <w:pPr>
      <w:ind w:left="540" w:right="-1422"/>
    </w:pPr>
  </w:style>
  <w:style w:type="paragraph" w:styleId="Endnotentext">
    <w:name w:val="endnote text"/>
    <w:basedOn w:val="Standard"/>
    <w:semiHidden/>
    <w:rsid w:val="00745657"/>
    <w:rPr>
      <w:spacing w:val="-2"/>
    </w:rPr>
  </w:style>
  <w:style w:type="paragraph" w:customStyle="1" w:styleId="ModelNrmlDouble">
    <w:name w:val="ModelNrmlDouble"/>
    <w:basedOn w:val="Standard"/>
    <w:rsid w:val="00745657"/>
    <w:pPr>
      <w:spacing w:after="360" w:line="480" w:lineRule="auto"/>
      <w:ind w:firstLine="720"/>
      <w:jc w:val="both"/>
    </w:pPr>
    <w:rPr>
      <w:sz w:val="22"/>
    </w:rPr>
  </w:style>
  <w:style w:type="paragraph" w:styleId="Fuzeile">
    <w:name w:val="footer"/>
    <w:basedOn w:val="Standard"/>
    <w:link w:val="FuzeileZchn"/>
    <w:uiPriority w:val="99"/>
    <w:rsid w:val="00331567"/>
    <w:pPr>
      <w:tabs>
        <w:tab w:val="center" w:pos="4513"/>
        <w:tab w:val="right" w:pos="9026"/>
      </w:tabs>
    </w:pPr>
  </w:style>
  <w:style w:type="character" w:customStyle="1" w:styleId="FuzeileZchn">
    <w:name w:val="Fußzeile Zchn"/>
    <w:basedOn w:val="Absatz-Standardschriftart"/>
    <w:link w:val="Fuzeile"/>
    <w:uiPriority w:val="99"/>
    <w:rsid w:val="00331567"/>
    <w:rPr>
      <w:sz w:val="24"/>
      <w:lang w:val="en-US" w:eastAsia="en-US"/>
    </w:rPr>
  </w:style>
  <w:style w:type="paragraph" w:styleId="Sprechblasentext">
    <w:name w:val="Balloon Text"/>
    <w:basedOn w:val="Standard"/>
    <w:link w:val="SprechblasentextZchn"/>
    <w:rsid w:val="00C64CFD"/>
    <w:rPr>
      <w:rFonts w:ascii="Tahoma" w:hAnsi="Tahoma" w:cs="Tahoma"/>
      <w:sz w:val="16"/>
      <w:szCs w:val="16"/>
    </w:rPr>
  </w:style>
  <w:style w:type="character" w:customStyle="1" w:styleId="SprechblasentextZchn">
    <w:name w:val="Sprechblasentext Zchn"/>
    <w:basedOn w:val="Absatz-Standardschriftart"/>
    <w:link w:val="Sprechblasentext"/>
    <w:rsid w:val="00C64CFD"/>
    <w:rPr>
      <w:rFonts w:ascii="Tahoma" w:hAnsi="Tahoma" w:cs="Tahoma"/>
      <w:sz w:val="16"/>
      <w:szCs w:val="16"/>
    </w:rPr>
  </w:style>
  <w:style w:type="paragraph" w:styleId="KeinLeerraum">
    <w:name w:val="No Spacing"/>
    <w:qFormat/>
    <w:rsid w:val="00086A8D"/>
    <w:rPr>
      <w:rFonts w:ascii="Calibri" w:eastAsia="Calibri" w:hAnsi="Calibri"/>
      <w:sz w:val="22"/>
      <w:szCs w:val="22"/>
      <w:lang w:val="en-US" w:eastAsia="en-US"/>
    </w:rPr>
  </w:style>
  <w:style w:type="table" w:styleId="Tabellenraster">
    <w:name w:val="Table Grid"/>
    <w:basedOn w:val="NormaleTabelle"/>
    <w:uiPriority w:val="39"/>
    <w:rsid w:val="00D30F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206B7"/>
    <w:pPr>
      <w:ind w:left="720"/>
    </w:pPr>
  </w:style>
  <w:style w:type="character" w:styleId="IntensiverVerweis">
    <w:name w:val="Intense Reference"/>
    <w:basedOn w:val="Absatz-Standardschriftart"/>
    <w:uiPriority w:val="32"/>
    <w:qFormat/>
    <w:rsid w:val="006E5D2D"/>
    <w:rPr>
      <w:b/>
      <w:bCs/>
      <w:smallCaps/>
      <w:color w:val="4F81BD" w:themeColor="accent1"/>
      <w:spacing w:val="5"/>
    </w:rPr>
  </w:style>
  <w:style w:type="paragraph" w:customStyle="1" w:styleId="Default">
    <w:name w:val="Default"/>
    <w:rsid w:val="006E5D2D"/>
    <w:pPr>
      <w:widowControl w:val="0"/>
      <w:autoSpaceDE w:val="0"/>
      <w:autoSpaceDN w:val="0"/>
      <w:adjustRightInd w:val="0"/>
    </w:pPr>
    <w:rPr>
      <w:rFonts w:ascii="Calibri Light" w:eastAsiaTheme="minorEastAsia" w:hAnsi="Calibri Light" w:cs="Calibri Light"/>
      <w:color w:val="000000"/>
      <w:sz w:val="24"/>
      <w:szCs w:val="24"/>
      <w:lang w:val="de-DE" w:eastAsia="en-US"/>
    </w:rPr>
  </w:style>
  <w:style w:type="character" w:styleId="Hyperlink">
    <w:name w:val="Hyperlink"/>
    <w:uiPriority w:val="99"/>
    <w:unhideWhenUsed/>
    <w:rsid w:val="00221DAB"/>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iPriority="3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45657"/>
    <w:rPr>
      <w:sz w:val="24"/>
      <w:lang w:val="en-US" w:eastAsia="en-US"/>
    </w:rPr>
  </w:style>
  <w:style w:type="paragraph" w:styleId="berschrift1">
    <w:name w:val="heading 1"/>
    <w:basedOn w:val="Standard"/>
    <w:next w:val="Standard"/>
    <w:qFormat/>
    <w:rsid w:val="00745657"/>
    <w:pPr>
      <w:keepNext/>
      <w:widowControl w:val="0"/>
      <w:jc w:val="center"/>
      <w:outlineLvl w:val="0"/>
    </w:pPr>
    <w:rPr>
      <w:b/>
      <w:sz w:val="22"/>
    </w:rPr>
  </w:style>
  <w:style w:type="paragraph" w:styleId="berschrift2">
    <w:name w:val="heading 2"/>
    <w:basedOn w:val="Standard"/>
    <w:next w:val="Standard"/>
    <w:qFormat/>
    <w:rsid w:val="00745657"/>
    <w:pPr>
      <w:keepNext/>
      <w:widowControl w:val="0"/>
      <w:jc w:val="center"/>
      <w:outlineLvl w:val="1"/>
    </w:pPr>
    <w:rPr>
      <w:b/>
      <w:sz w:val="27"/>
    </w:rPr>
  </w:style>
  <w:style w:type="paragraph" w:styleId="berschrift3">
    <w:name w:val="heading 3"/>
    <w:basedOn w:val="Standard"/>
    <w:next w:val="Standard"/>
    <w:qFormat/>
    <w:rsid w:val="00745657"/>
    <w:pPr>
      <w:keepNext/>
      <w:widowControl w:val="0"/>
      <w:outlineLvl w:val="2"/>
    </w:pPr>
    <w:rPr>
      <w:b/>
      <w:sz w:val="20"/>
    </w:rPr>
  </w:style>
  <w:style w:type="paragraph" w:styleId="berschrift4">
    <w:name w:val="heading 4"/>
    <w:basedOn w:val="Standard"/>
    <w:next w:val="Standard"/>
    <w:qFormat/>
    <w:rsid w:val="00745657"/>
    <w:pPr>
      <w:keepNext/>
      <w:ind w:left="720"/>
      <w:outlineLvl w:val="3"/>
    </w:pPr>
    <w:rPr>
      <w:u w:val="single"/>
    </w:rPr>
  </w:style>
  <w:style w:type="paragraph" w:styleId="berschrift5">
    <w:name w:val="heading 5"/>
    <w:basedOn w:val="Standard"/>
    <w:next w:val="Standard"/>
    <w:qFormat/>
    <w:rsid w:val="00745657"/>
    <w:pPr>
      <w:keepNext/>
      <w:widowControl w:val="0"/>
      <w:ind w:left="720"/>
      <w:outlineLvl w:val="4"/>
    </w:pPr>
    <w:rPr>
      <w:rFonts w:ascii="Arial" w:hAnsi="Arial"/>
      <w:b/>
      <w:sz w:val="22"/>
      <w:u w:val="single"/>
    </w:rPr>
  </w:style>
  <w:style w:type="paragraph" w:styleId="berschrift6">
    <w:name w:val="heading 6"/>
    <w:basedOn w:val="Standard"/>
    <w:next w:val="Standard"/>
    <w:qFormat/>
    <w:rsid w:val="00745657"/>
    <w:pPr>
      <w:keepNext/>
      <w:widowControl w:val="0"/>
      <w:jc w:val="center"/>
      <w:outlineLvl w:val="5"/>
    </w:pPr>
    <w:rPr>
      <w:rFonts w:ascii="Arial" w:hAnsi="Arial"/>
      <w:b/>
      <w:sz w:val="20"/>
    </w:rPr>
  </w:style>
  <w:style w:type="paragraph" w:styleId="berschrift7">
    <w:name w:val="heading 7"/>
    <w:basedOn w:val="Standard"/>
    <w:next w:val="Standard"/>
    <w:qFormat/>
    <w:rsid w:val="00745657"/>
    <w:pPr>
      <w:keepNext/>
      <w:widowControl w:val="0"/>
      <w:jc w:val="right"/>
      <w:outlineLvl w:val="6"/>
    </w:pPr>
    <w:rPr>
      <w:rFonts w:ascii="Arial" w:hAnsi="Arial"/>
      <w:b/>
      <w:sz w:val="20"/>
    </w:rPr>
  </w:style>
  <w:style w:type="paragraph" w:styleId="berschrift8">
    <w:name w:val="heading 8"/>
    <w:basedOn w:val="Standard"/>
    <w:next w:val="Standard"/>
    <w:qFormat/>
    <w:rsid w:val="00745657"/>
    <w:pPr>
      <w:keepNext/>
      <w:ind w:firstLine="720"/>
      <w:outlineLvl w:val="7"/>
    </w:pPr>
    <w:rPr>
      <w:rFonts w:ascii="Arial" w:hAnsi="Arial"/>
      <w:b/>
      <w:u w:val="single"/>
    </w:rPr>
  </w:style>
  <w:style w:type="paragraph" w:styleId="berschrift9">
    <w:name w:val="heading 9"/>
    <w:basedOn w:val="Standard"/>
    <w:next w:val="Standard"/>
    <w:qFormat/>
    <w:rsid w:val="00745657"/>
    <w:pPr>
      <w:keepNext/>
      <w:ind w:left="720"/>
      <w:outlineLvl w:val="8"/>
    </w:pPr>
    <w:rPr>
      <w:rFonts w:ascii="Arial" w:hAnsi="Arial"/>
      <w:b/>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Outline">
    <w:name w:val="Outline"/>
    <w:basedOn w:val="Standard"/>
    <w:rsid w:val="00745657"/>
    <w:pPr>
      <w:spacing w:before="240"/>
    </w:pPr>
    <w:rPr>
      <w:kern w:val="28"/>
    </w:rPr>
  </w:style>
  <w:style w:type="paragraph" w:customStyle="1" w:styleId="Outline1">
    <w:name w:val="Outline1"/>
    <w:basedOn w:val="Outline"/>
    <w:next w:val="Outline2"/>
    <w:rsid w:val="00745657"/>
    <w:pPr>
      <w:keepNext/>
      <w:numPr>
        <w:numId w:val="1"/>
      </w:numPr>
      <w:tabs>
        <w:tab w:val="clear" w:pos="432"/>
        <w:tab w:val="num" w:pos="360"/>
      </w:tabs>
      <w:ind w:left="360" w:hanging="360"/>
    </w:pPr>
  </w:style>
  <w:style w:type="paragraph" w:customStyle="1" w:styleId="Outline2">
    <w:name w:val="Outline2"/>
    <w:basedOn w:val="Standard"/>
    <w:rsid w:val="00745657"/>
    <w:pPr>
      <w:numPr>
        <w:ilvl w:val="1"/>
        <w:numId w:val="2"/>
      </w:numPr>
      <w:tabs>
        <w:tab w:val="clear" w:pos="1152"/>
        <w:tab w:val="num" w:pos="864"/>
      </w:tabs>
      <w:spacing w:before="240"/>
      <w:ind w:left="864" w:hanging="504"/>
    </w:pPr>
    <w:rPr>
      <w:kern w:val="28"/>
    </w:rPr>
  </w:style>
  <w:style w:type="paragraph" w:customStyle="1" w:styleId="Outline3">
    <w:name w:val="Outline3"/>
    <w:basedOn w:val="Standard"/>
    <w:rsid w:val="00745657"/>
    <w:pPr>
      <w:numPr>
        <w:ilvl w:val="2"/>
        <w:numId w:val="3"/>
      </w:numPr>
      <w:tabs>
        <w:tab w:val="clear" w:pos="1728"/>
        <w:tab w:val="num" w:pos="1368"/>
      </w:tabs>
      <w:spacing w:before="240"/>
      <w:ind w:left="1368" w:hanging="504"/>
    </w:pPr>
    <w:rPr>
      <w:kern w:val="28"/>
    </w:rPr>
  </w:style>
  <w:style w:type="paragraph" w:customStyle="1" w:styleId="Outline4">
    <w:name w:val="Outline4"/>
    <w:basedOn w:val="Standard"/>
    <w:rsid w:val="00745657"/>
    <w:pPr>
      <w:numPr>
        <w:ilvl w:val="3"/>
        <w:numId w:val="4"/>
      </w:numPr>
      <w:tabs>
        <w:tab w:val="clear" w:pos="2304"/>
        <w:tab w:val="num" w:pos="1872"/>
      </w:tabs>
      <w:spacing w:before="240"/>
      <w:ind w:left="1872" w:hanging="504"/>
    </w:pPr>
    <w:rPr>
      <w:kern w:val="28"/>
    </w:rPr>
  </w:style>
  <w:style w:type="paragraph" w:customStyle="1" w:styleId="outlinebullet">
    <w:name w:val="outlinebullet"/>
    <w:basedOn w:val="Standard"/>
    <w:rsid w:val="00745657"/>
    <w:pPr>
      <w:numPr>
        <w:numId w:val="5"/>
      </w:numPr>
      <w:tabs>
        <w:tab w:val="clear" w:pos="360"/>
        <w:tab w:val="left" w:pos="1440"/>
      </w:tabs>
      <w:spacing w:before="120"/>
      <w:ind w:left="1440" w:hanging="450"/>
    </w:pPr>
  </w:style>
  <w:style w:type="paragraph" w:styleId="Verzeichnis2">
    <w:name w:val="toc 2"/>
    <w:basedOn w:val="Standard"/>
    <w:next w:val="Standard"/>
    <w:autoRedefine/>
    <w:semiHidden/>
    <w:rsid w:val="00745657"/>
    <w:pPr>
      <w:tabs>
        <w:tab w:val="right" w:pos="8640"/>
      </w:tabs>
    </w:pPr>
  </w:style>
  <w:style w:type="paragraph" w:customStyle="1" w:styleId="Headinga">
    <w:name w:val="Heading a"/>
    <w:basedOn w:val="Standard"/>
    <w:rsid w:val="00745657"/>
    <w:pPr>
      <w:widowControl w:val="0"/>
      <w:spacing w:after="120"/>
    </w:pPr>
    <w:rPr>
      <w:sz w:val="22"/>
    </w:rPr>
  </w:style>
  <w:style w:type="paragraph" w:styleId="Textkrper-Zeileneinzug">
    <w:name w:val="Body Text Indent"/>
    <w:basedOn w:val="Standard"/>
    <w:rsid w:val="00745657"/>
    <w:pPr>
      <w:widowControl w:val="0"/>
      <w:ind w:left="2160" w:hanging="720"/>
    </w:pPr>
    <w:rPr>
      <w:rFonts w:ascii="Arial" w:hAnsi="Arial"/>
      <w:sz w:val="20"/>
    </w:rPr>
  </w:style>
  <w:style w:type="character" w:styleId="Funotenzeichen">
    <w:name w:val="footnote reference"/>
    <w:basedOn w:val="Absatz-Standardschriftart"/>
    <w:semiHidden/>
    <w:rsid w:val="00745657"/>
    <w:rPr>
      <w:sz w:val="20"/>
      <w:vertAlign w:val="superscript"/>
    </w:rPr>
  </w:style>
  <w:style w:type="paragraph" w:styleId="Funotentext">
    <w:name w:val="footnote text"/>
    <w:basedOn w:val="Standard"/>
    <w:semiHidden/>
    <w:rsid w:val="00745657"/>
    <w:pPr>
      <w:widowControl w:val="0"/>
    </w:pPr>
    <w:rPr>
      <w:sz w:val="20"/>
    </w:rPr>
  </w:style>
  <w:style w:type="paragraph" w:customStyle="1" w:styleId="Heading">
    <w:name w:val="Heading"/>
    <w:basedOn w:val="Standard"/>
    <w:rsid w:val="00745657"/>
    <w:pPr>
      <w:keepNext/>
      <w:widowControl w:val="0"/>
      <w:spacing w:before="120" w:after="120"/>
    </w:pPr>
    <w:rPr>
      <w:i/>
      <w:sz w:val="22"/>
    </w:rPr>
  </w:style>
  <w:style w:type="paragraph" w:customStyle="1" w:styleId="Block">
    <w:name w:val="Block"/>
    <w:basedOn w:val="Standard"/>
    <w:rsid w:val="00745657"/>
    <w:pPr>
      <w:widowControl w:val="0"/>
    </w:pPr>
    <w:rPr>
      <w:b/>
      <w:sz w:val="22"/>
    </w:rPr>
  </w:style>
  <w:style w:type="paragraph" w:styleId="Verzeichnis1">
    <w:name w:val="toc 1"/>
    <w:basedOn w:val="Standard"/>
    <w:next w:val="Standard"/>
    <w:autoRedefine/>
    <w:semiHidden/>
    <w:rsid w:val="00745657"/>
    <w:pPr>
      <w:tabs>
        <w:tab w:val="decimal" w:pos="-108"/>
      </w:tabs>
      <w:jc w:val="center"/>
    </w:pPr>
    <w:rPr>
      <w:sz w:val="22"/>
    </w:rPr>
  </w:style>
  <w:style w:type="paragraph" w:styleId="Textkrper-Einzug3">
    <w:name w:val="Body Text Indent 3"/>
    <w:basedOn w:val="Standard"/>
    <w:rsid w:val="00745657"/>
    <w:pPr>
      <w:ind w:left="720"/>
      <w:jc w:val="both"/>
    </w:pPr>
  </w:style>
  <w:style w:type="paragraph" w:styleId="Kopfzeile">
    <w:name w:val="header"/>
    <w:basedOn w:val="Standard"/>
    <w:rsid w:val="00745657"/>
    <w:pPr>
      <w:widowControl w:val="0"/>
      <w:tabs>
        <w:tab w:val="center" w:pos="4320"/>
        <w:tab w:val="right" w:pos="8640"/>
      </w:tabs>
    </w:pPr>
    <w:rPr>
      <w:sz w:val="20"/>
    </w:rPr>
  </w:style>
  <w:style w:type="paragraph" w:styleId="Textkrper-Einzug2">
    <w:name w:val="Body Text Indent 2"/>
    <w:basedOn w:val="Standard"/>
    <w:rsid w:val="00745657"/>
    <w:pPr>
      <w:ind w:left="720"/>
    </w:pPr>
    <w:rPr>
      <w:sz w:val="22"/>
    </w:rPr>
  </w:style>
  <w:style w:type="paragraph" w:styleId="Blocktext">
    <w:name w:val="Block Text"/>
    <w:basedOn w:val="Standard"/>
    <w:rsid w:val="00745657"/>
    <w:pPr>
      <w:ind w:left="540" w:right="-1422"/>
    </w:pPr>
  </w:style>
  <w:style w:type="paragraph" w:styleId="Endnotentext">
    <w:name w:val="endnote text"/>
    <w:basedOn w:val="Standard"/>
    <w:semiHidden/>
    <w:rsid w:val="00745657"/>
    <w:rPr>
      <w:spacing w:val="-2"/>
    </w:rPr>
  </w:style>
  <w:style w:type="paragraph" w:customStyle="1" w:styleId="ModelNrmlDouble">
    <w:name w:val="ModelNrmlDouble"/>
    <w:basedOn w:val="Standard"/>
    <w:rsid w:val="00745657"/>
    <w:pPr>
      <w:spacing w:after="360" w:line="480" w:lineRule="auto"/>
      <w:ind w:firstLine="720"/>
      <w:jc w:val="both"/>
    </w:pPr>
    <w:rPr>
      <w:sz w:val="22"/>
    </w:rPr>
  </w:style>
  <w:style w:type="paragraph" w:styleId="Fuzeile">
    <w:name w:val="footer"/>
    <w:basedOn w:val="Standard"/>
    <w:link w:val="FuzeileZchn"/>
    <w:uiPriority w:val="99"/>
    <w:rsid w:val="00331567"/>
    <w:pPr>
      <w:tabs>
        <w:tab w:val="center" w:pos="4513"/>
        <w:tab w:val="right" w:pos="9026"/>
      </w:tabs>
    </w:pPr>
  </w:style>
  <w:style w:type="character" w:customStyle="1" w:styleId="FuzeileZchn">
    <w:name w:val="Fußzeile Zchn"/>
    <w:basedOn w:val="Absatz-Standardschriftart"/>
    <w:link w:val="Fuzeile"/>
    <w:uiPriority w:val="99"/>
    <w:rsid w:val="00331567"/>
    <w:rPr>
      <w:sz w:val="24"/>
      <w:lang w:val="en-US" w:eastAsia="en-US"/>
    </w:rPr>
  </w:style>
  <w:style w:type="paragraph" w:styleId="Sprechblasentext">
    <w:name w:val="Balloon Text"/>
    <w:basedOn w:val="Standard"/>
    <w:link w:val="SprechblasentextZchn"/>
    <w:rsid w:val="00C64CFD"/>
    <w:rPr>
      <w:rFonts w:ascii="Tahoma" w:hAnsi="Tahoma" w:cs="Tahoma"/>
      <w:sz w:val="16"/>
      <w:szCs w:val="16"/>
    </w:rPr>
  </w:style>
  <w:style w:type="character" w:customStyle="1" w:styleId="SprechblasentextZchn">
    <w:name w:val="Sprechblasentext Zchn"/>
    <w:basedOn w:val="Absatz-Standardschriftart"/>
    <w:link w:val="Sprechblasentext"/>
    <w:rsid w:val="00C64CFD"/>
    <w:rPr>
      <w:rFonts w:ascii="Tahoma" w:hAnsi="Tahoma" w:cs="Tahoma"/>
      <w:sz w:val="16"/>
      <w:szCs w:val="16"/>
    </w:rPr>
  </w:style>
  <w:style w:type="paragraph" w:styleId="KeinLeerraum">
    <w:name w:val="No Spacing"/>
    <w:qFormat/>
    <w:rsid w:val="00086A8D"/>
    <w:rPr>
      <w:rFonts w:ascii="Calibri" w:eastAsia="Calibri" w:hAnsi="Calibri"/>
      <w:sz w:val="22"/>
      <w:szCs w:val="22"/>
      <w:lang w:val="en-US" w:eastAsia="en-US"/>
    </w:rPr>
  </w:style>
  <w:style w:type="table" w:styleId="Tabellenraster">
    <w:name w:val="Table Grid"/>
    <w:basedOn w:val="NormaleTabelle"/>
    <w:uiPriority w:val="39"/>
    <w:rsid w:val="00D30F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206B7"/>
    <w:pPr>
      <w:ind w:left="720"/>
    </w:pPr>
  </w:style>
  <w:style w:type="character" w:styleId="IntensiverVerweis">
    <w:name w:val="Intense Reference"/>
    <w:basedOn w:val="Absatz-Standardschriftart"/>
    <w:uiPriority w:val="32"/>
    <w:qFormat/>
    <w:rsid w:val="006E5D2D"/>
    <w:rPr>
      <w:b/>
      <w:bCs/>
      <w:smallCaps/>
      <w:color w:val="4F81BD" w:themeColor="accent1"/>
      <w:spacing w:val="5"/>
    </w:rPr>
  </w:style>
  <w:style w:type="paragraph" w:customStyle="1" w:styleId="Default">
    <w:name w:val="Default"/>
    <w:rsid w:val="006E5D2D"/>
    <w:pPr>
      <w:widowControl w:val="0"/>
      <w:autoSpaceDE w:val="0"/>
      <w:autoSpaceDN w:val="0"/>
      <w:adjustRightInd w:val="0"/>
    </w:pPr>
    <w:rPr>
      <w:rFonts w:ascii="Calibri Light" w:eastAsiaTheme="minorEastAsia" w:hAnsi="Calibri Light" w:cs="Calibri Light"/>
      <w:color w:val="000000"/>
      <w:sz w:val="24"/>
      <w:szCs w:val="24"/>
      <w:lang w:val="de-DE" w:eastAsia="en-US"/>
    </w:rPr>
  </w:style>
  <w:style w:type="character" w:styleId="Hyperlink">
    <w:name w:val="Hyperlink"/>
    <w:uiPriority w:val="99"/>
    <w:unhideWhenUsed/>
    <w:rsid w:val="00221DA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2635642">
      <w:bodyDiv w:val="1"/>
      <w:marLeft w:val="0"/>
      <w:marRight w:val="0"/>
      <w:marTop w:val="0"/>
      <w:marBottom w:val="0"/>
      <w:divBdr>
        <w:top w:val="none" w:sz="0" w:space="0" w:color="auto"/>
        <w:left w:val="none" w:sz="0" w:space="0" w:color="auto"/>
        <w:bottom w:val="none" w:sz="0" w:space="0" w:color="auto"/>
        <w:right w:val="none" w:sz="0" w:space="0" w:color="auto"/>
      </w:divBdr>
    </w:div>
    <w:div w:id="637879735">
      <w:bodyDiv w:val="1"/>
      <w:marLeft w:val="0"/>
      <w:marRight w:val="0"/>
      <w:marTop w:val="0"/>
      <w:marBottom w:val="0"/>
      <w:divBdr>
        <w:top w:val="none" w:sz="0" w:space="0" w:color="auto"/>
        <w:left w:val="none" w:sz="0" w:space="0" w:color="auto"/>
        <w:bottom w:val="none" w:sz="0" w:space="0" w:color="auto"/>
        <w:right w:val="none" w:sz="0" w:space="0" w:color="auto"/>
      </w:divBdr>
    </w:div>
    <w:div w:id="1127695980">
      <w:bodyDiv w:val="1"/>
      <w:marLeft w:val="0"/>
      <w:marRight w:val="0"/>
      <w:marTop w:val="0"/>
      <w:marBottom w:val="0"/>
      <w:divBdr>
        <w:top w:val="none" w:sz="0" w:space="0" w:color="auto"/>
        <w:left w:val="none" w:sz="0" w:space="0" w:color="auto"/>
        <w:bottom w:val="none" w:sz="0" w:space="0" w:color="auto"/>
        <w:right w:val="none" w:sz="0" w:space="0" w:color="auto"/>
      </w:divBdr>
    </w:div>
    <w:div w:id="1130979533">
      <w:bodyDiv w:val="1"/>
      <w:marLeft w:val="0"/>
      <w:marRight w:val="0"/>
      <w:marTop w:val="0"/>
      <w:marBottom w:val="0"/>
      <w:divBdr>
        <w:top w:val="none" w:sz="0" w:space="0" w:color="auto"/>
        <w:left w:val="none" w:sz="0" w:space="0" w:color="auto"/>
        <w:bottom w:val="none" w:sz="0" w:space="0" w:color="auto"/>
        <w:right w:val="none" w:sz="0" w:space="0" w:color="auto"/>
      </w:divBdr>
    </w:div>
    <w:div w:id="1156722525">
      <w:bodyDiv w:val="1"/>
      <w:marLeft w:val="0"/>
      <w:marRight w:val="0"/>
      <w:marTop w:val="0"/>
      <w:marBottom w:val="0"/>
      <w:divBdr>
        <w:top w:val="none" w:sz="0" w:space="0" w:color="auto"/>
        <w:left w:val="none" w:sz="0" w:space="0" w:color="auto"/>
        <w:bottom w:val="none" w:sz="0" w:space="0" w:color="auto"/>
        <w:right w:val="none" w:sz="0" w:space="0" w:color="auto"/>
      </w:divBdr>
    </w:div>
    <w:div w:id="1767575770">
      <w:bodyDiv w:val="1"/>
      <w:marLeft w:val="0"/>
      <w:marRight w:val="0"/>
      <w:marTop w:val="0"/>
      <w:marBottom w:val="0"/>
      <w:divBdr>
        <w:top w:val="none" w:sz="0" w:space="0" w:color="auto"/>
        <w:left w:val="none" w:sz="0" w:space="0" w:color="auto"/>
        <w:bottom w:val="none" w:sz="0" w:space="0" w:color="auto"/>
        <w:right w:val="none" w:sz="0" w:space="0" w:color="auto"/>
      </w:divBdr>
    </w:div>
    <w:div w:id="1789008699">
      <w:bodyDiv w:val="1"/>
      <w:marLeft w:val="0"/>
      <w:marRight w:val="0"/>
      <w:marTop w:val="0"/>
      <w:marBottom w:val="0"/>
      <w:divBdr>
        <w:top w:val="none" w:sz="0" w:space="0" w:color="auto"/>
        <w:left w:val="none" w:sz="0" w:space="0" w:color="auto"/>
        <w:bottom w:val="none" w:sz="0" w:space="0" w:color="auto"/>
        <w:right w:val="none" w:sz="0" w:space="0" w:color="auto"/>
      </w:divBdr>
    </w:div>
    <w:div w:id="1797291334">
      <w:bodyDiv w:val="1"/>
      <w:marLeft w:val="0"/>
      <w:marRight w:val="0"/>
      <w:marTop w:val="0"/>
      <w:marBottom w:val="0"/>
      <w:divBdr>
        <w:top w:val="none" w:sz="0" w:space="0" w:color="auto"/>
        <w:left w:val="none" w:sz="0" w:space="0" w:color="auto"/>
        <w:bottom w:val="none" w:sz="0" w:space="0" w:color="auto"/>
        <w:right w:val="none" w:sz="0" w:space="0" w:color="auto"/>
      </w:divBdr>
    </w:div>
    <w:div w:id="1856651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kfw-entwicklungsbank.de/PDF/Download-Center/PDF-Dokumente-Richtlinien/Vergaberichtlinien-2019-Englisch-Internet_2.pdf" TargetMode="External"/><Relationship Id="rId13" Type="http://schemas.openxmlformats.org/officeDocument/2006/relationships/image" Target="media/image2.tiff"/><Relationship Id="rId18" Type="http://schemas.openxmlformats.org/officeDocument/2006/relationships/customXml" Target="../customXml/item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s://www.kfw-entwicklungsbank.de/PDF/Download-Center/PDF-Dokumente-Richtlinien/Vergaberichtlinien-2019-Englisch-Internet_2.pdf" TargetMode="External"/><Relationship Id="rId17"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0979F12F22C9E4F9273E32F354CEDB7" ma:contentTypeVersion="12" ma:contentTypeDescription="Create a new document." ma:contentTypeScope="" ma:versionID="269d2fed81ffc115f7c3d57f86669936">
  <xsd:schema xmlns:xsd="http://www.w3.org/2001/XMLSchema" xmlns:xs="http://www.w3.org/2001/XMLSchema" xmlns:p="http://schemas.microsoft.com/office/2006/metadata/properties" xmlns:ns2="366ae72f-6d51-4737-8f6b-a9169c366b64" xmlns:ns3="a3cd7b71-671d-4139-9a97-5d1a7380fae4" targetNamespace="http://schemas.microsoft.com/office/2006/metadata/properties" ma:root="true" ma:fieldsID="dc2c45890cfec18f8c711e369341847d" ns2:_="" ns3:_="">
    <xsd:import namespace="366ae72f-6d51-4737-8f6b-a9169c366b64"/>
    <xsd:import namespace="a3cd7b71-671d-4139-9a97-5d1a7380fae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file_x0020_" minOccurs="0"/>
                <xsd:element ref="ns2:remark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6ae72f-6d51-4737-8f6b-a9169c366b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file_x0020_" ma:index="16" nillable="true" ma:displayName="file " ma:format="Dropdown" ma:internalName="file_x0020_" ma:percentage="FALSE">
      <xsd:simpleType>
        <xsd:restriction base="dms:Number"/>
      </xsd:simpleType>
    </xsd:element>
    <xsd:element name="remarks" ma:index="17" nillable="true" ma:displayName="remarks" ma:format="Dropdown" ma:internalName="remarks">
      <xsd:simpleType>
        <xsd:restriction base="dms:Text">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3cd7b71-671d-4139-9a97-5d1a7380fae4"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marks xmlns="366ae72f-6d51-4737-8f6b-a9169c366b64" xsi:nil="true"/>
    <file_x0020_ xmlns="366ae72f-6d51-4737-8f6b-a9169c366b64" xsi:nil="true"/>
  </documentManagement>
</p:properties>
</file>

<file path=customXml/itemProps1.xml><?xml version="1.0" encoding="utf-8"?>
<ds:datastoreItem xmlns:ds="http://schemas.openxmlformats.org/officeDocument/2006/customXml" ds:itemID="{747F0AC5-FF9B-4F43-8B42-D5E253D48261}"/>
</file>

<file path=customXml/itemProps2.xml><?xml version="1.0" encoding="utf-8"?>
<ds:datastoreItem xmlns:ds="http://schemas.openxmlformats.org/officeDocument/2006/customXml" ds:itemID="{C37BD6D8-12B7-4898-BB14-695D0049181B}"/>
</file>

<file path=customXml/itemProps3.xml><?xml version="1.0" encoding="utf-8"?>
<ds:datastoreItem xmlns:ds="http://schemas.openxmlformats.org/officeDocument/2006/customXml" ds:itemID="{77F13EC1-49F3-4711-AD56-9284A7531C77}"/>
</file>

<file path=docProps/app.xml><?xml version="1.0" encoding="utf-8"?>
<Properties xmlns="http://schemas.openxmlformats.org/officeDocument/2006/extended-properties" xmlns:vt="http://schemas.openxmlformats.org/officeDocument/2006/docPropsVTypes">
  <Template>DE3C2135.dotm</Template>
  <TotalTime>0</TotalTime>
  <Pages>3</Pages>
  <Words>934</Words>
  <Characters>6144</Characters>
  <Application>Microsoft Office Word</Application>
  <DocSecurity>4</DocSecurity>
  <Lines>51</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Annex 6: Procurement and Disbursement Arrangements</vt:lpstr>
      <vt:lpstr>Annex 6: Procurement and Disbursement Arrangements</vt:lpstr>
    </vt:vector>
  </TitlesOfParts>
  <Company>The World Bank Group</Company>
  <LinksUpToDate>false</LinksUpToDate>
  <CharactersWithSpaces>7064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Annex 6: Procurement and Disbursement Arrangements</dc:title>
  <dc:creator>World Bank User</dc:creator>
  <cp:lastModifiedBy>Dr.  Marcus Stewen</cp:lastModifiedBy>
  <cp:revision>2</cp:revision>
  <cp:lastPrinted>2011-03-14T13:21:00Z</cp:lastPrinted>
  <dcterms:created xsi:type="dcterms:W3CDTF">2019-09-25T16:09:00Z</dcterms:created>
  <dcterms:modified xsi:type="dcterms:W3CDTF">2019-09-25T16:09:00Z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0x01010000979F12F22C9E4F9273E32F354CEDB7</vt:lpwstr>
  </property>
</Properties>
</file>