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E1233" w14:textId="77777777" w:rsidR="001D04FE" w:rsidRDefault="001D04FE">
      <w:r>
        <w:rPr>
          <w:noProof/>
        </w:rPr>
        <w:drawing>
          <wp:anchor distT="0" distB="0" distL="114300" distR="114300" simplePos="0" relativeHeight="251658240" behindDoc="1" locked="0" layoutInCell="1" allowOverlap="1" wp14:anchorId="57D69DBC" wp14:editId="5F6E18E0">
            <wp:simplePos x="0" y="0"/>
            <wp:positionH relativeFrom="page">
              <wp:align>left</wp:align>
            </wp:positionH>
            <wp:positionV relativeFrom="paragraph">
              <wp:posOffset>-913638</wp:posOffset>
            </wp:positionV>
            <wp:extent cx="7752080" cy="10136653"/>
            <wp:effectExtent l="0" t="0" r="1270" b="0"/>
            <wp:wrapNone/>
            <wp:docPr id="1" name="Picture 1" descr="A close up of a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P CN pic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080" cy="10136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4D0AFE" w14:textId="77777777" w:rsidR="001D04FE" w:rsidRDefault="001D04FE"/>
    <w:p w14:paraId="30AB6B4C" w14:textId="77777777" w:rsidR="001D04FE" w:rsidRDefault="001D04F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BD3294" wp14:editId="7E4A0C23">
                <wp:simplePos x="0" y="0"/>
                <wp:positionH relativeFrom="margin">
                  <wp:posOffset>-173421</wp:posOffset>
                </wp:positionH>
                <wp:positionV relativeFrom="paragraph">
                  <wp:posOffset>137948</wp:posOffset>
                </wp:positionV>
                <wp:extent cx="6227380" cy="1550504"/>
                <wp:effectExtent l="0" t="0" r="21590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7380" cy="1550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099A4" w14:textId="77777777" w:rsidR="00EA6726" w:rsidRDefault="00EA6726" w:rsidP="001D04F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1D04FE">
                              <w:rPr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 xml:space="preserve">Annex 10: </w:t>
                            </w:r>
                          </w:p>
                          <w:p w14:paraId="6CD31D64" w14:textId="77777777" w:rsidR="00EA6726" w:rsidRPr="001D04FE" w:rsidRDefault="00EA6726" w:rsidP="001D04FE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1D04FE">
                              <w:rPr>
                                <w:b/>
                                <w:color w:val="0D0D0D" w:themeColor="text1" w:themeTint="F2"/>
                                <w:sz w:val="40"/>
                                <w:szCs w:val="40"/>
                              </w:rPr>
                              <w:t>Legal Due Diligence and Internal Approvals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BD3294" id="Rectangle 2" o:spid="_x0000_s1026" style="position:absolute;margin-left:-13.65pt;margin-top:10.85pt;width:490.35pt;height:122.1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" fillcolor="white [3212]" strokecolor="white [3212]" strokeweight="1pt">
                <v:textbox>
                  <w:txbxContent>
                    <w:p w14:paraId="79C099A4" w14:textId="77777777" w:rsidR="00EA6726" w:rsidRDefault="00EA6726" w:rsidP="001D04FE">
                      <w:pPr>
                        <w:jc w:val="center"/>
                        <w:rPr>
                          <w:b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1D04FE">
                        <w:rPr>
                          <w:b/>
                          <w:color w:val="0D0D0D" w:themeColor="text1" w:themeTint="F2"/>
                          <w:sz w:val="40"/>
                          <w:szCs w:val="40"/>
                        </w:rPr>
                        <w:t xml:space="preserve">Annex 10: </w:t>
                      </w:r>
                    </w:p>
                    <w:p w14:paraId="6CD31D64" w14:textId="77777777" w:rsidR="00EA6726" w:rsidRPr="001D04FE" w:rsidRDefault="00EA6726" w:rsidP="001D04FE">
                      <w:pPr>
                        <w:jc w:val="center"/>
                        <w:rPr>
                          <w:b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1D04FE">
                        <w:rPr>
                          <w:b/>
                          <w:color w:val="0D0D0D" w:themeColor="text1" w:themeTint="F2"/>
                          <w:sz w:val="40"/>
                          <w:szCs w:val="40"/>
                        </w:rPr>
                        <w:t>Legal Due Diligence and Internal Approvals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3FFEDA" w14:textId="77777777" w:rsidR="001D04FE" w:rsidRDefault="001D04FE"/>
    <w:p w14:paraId="2120CC89" w14:textId="77777777" w:rsidR="001D04FE" w:rsidRDefault="001D04FE"/>
    <w:p w14:paraId="0253675C" w14:textId="77777777" w:rsidR="001D04FE" w:rsidRDefault="001D04FE"/>
    <w:p w14:paraId="54B0E1C1" w14:textId="77777777" w:rsidR="001D04FE" w:rsidRDefault="001D04FE"/>
    <w:p w14:paraId="20D17ED6" w14:textId="77777777" w:rsidR="001D04FE" w:rsidRDefault="001D04FE"/>
    <w:p w14:paraId="1FFB9A6E" w14:textId="77777777" w:rsidR="001D04FE" w:rsidRDefault="001D04FE"/>
    <w:p w14:paraId="12603AC4" w14:textId="77777777" w:rsidR="001D04FE" w:rsidRDefault="001D04FE"/>
    <w:p w14:paraId="10BB2BA7" w14:textId="77777777" w:rsidR="001D04FE" w:rsidRDefault="001D04FE"/>
    <w:p w14:paraId="77864CDA" w14:textId="77777777" w:rsidR="001D04FE" w:rsidRDefault="001D04FE"/>
    <w:p w14:paraId="763F4752" w14:textId="77777777" w:rsidR="001D04FE" w:rsidRDefault="001D04FE"/>
    <w:p w14:paraId="74A00601" w14:textId="77777777" w:rsidR="001D04FE" w:rsidRDefault="001D04FE"/>
    <w:p w14:paraId="3A133FE3" w14:textId="77777777" w:rsidR="001D04FE" w:rsidRDefault="001D04FE"/>
    <w:p w14:paraId="0F86B41F" w14:textId="77777777" w:rsidR="001D04FE" w:rsidRDefault="001D04FE"/>
    <w:p w14:paraId="3DB8B5C5" w14:textId="77777777" w:rsidR="001D04FE" w:rsidRDefault="001D04FE"/>
    <w:p w14:paraId="72221C5B" w14:textId="77777777" w:rsidR="001D04FE" w:rsidRDefault="001D04FE"/>
    <w:p w14:paraId="21A6CE70" w14:textId="77777777" w:rsidR="001D04FE" w:rsidRDefault="001D04FE"/>
    <w:p w14:paraId="174A7070" w14:textId="77777777" w:rsidR="001D04FE" w:rsidRDefault="001D04FE"/>
    <w:p w14:paraId="1DC832AF" w14:textId="77777777" w:rsidR="001D04FE" w:rsidRDefault="001D04FE"/>
    <w:p w14:paraId="244D2DAE" w14:textId="77777777" w:rsidR="001D04FE" w:rsidRDefault="001D04FE"/>
    <w:p w14:paraId="3FDE3857" w14:textId="77777777" w:rsidR="001D04FE" w:rsidRDefault="001D04FE"/>
    <w:p w14:paraId="4B242A10" w14:textId="77777777" w:rsidR="001D04FE" w:rsidRDefault="001D04FE"/>
    <w:p w14:paraId="456E7417" w14:textId="77777777" w:rsidR="001D04FE" w:rsidRDefault="001D04FE"/>
    <w:p w14:paraId="39686CC0" w14:textId="77777777" w:rsidR="001D04FE" w:rsidRDefault="001D04FE"/>
    <w:p w14:paraId="7620C5C8" w14:textId="77777777" w:rsidR="001D04FE" w:rsidRDefault="001D04FE"/>
    <w:p w14:paraId="62508729" w14:textId="77777777" w:rsidR="001D04FE" w:rsidRDefault="001D04FE"/>
    <w:p w14:paraId="465E1353" w14:textId="77777777" w:rsidR="001D04FE" w:rsidRDefault="001D04FE"/>
    <w:tbl>
      <w:tblPr>
        <w:tblStyle w:val="TableGrid"/>
        <w:tblW w:w="10024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0024"/>
      </w:tblGrid>
      <w:tr w:rsidR="001D04FE" w:rsidRPr="001D04FE" w14:paraId="1552EF7E" w14:textId="77777777" w:rsidTr="17350A0B">
        <w:trPr>
          <w:trHeight w:val="422"/>
        </w:trPr>
        <w:tc>
          <w:tcPr>
            <w:tcW w:w="10024" w:type="dxa"/>
            <w:shd w:val="clear" w:color="auto" w:fill="F2F2F2" w:themeFill="background1" w:themeFillShade="F2"/>
            <w:vAlign w:val="center"/>
          </w:tcPr>
          <w:p w14:paraId="2218326B" w14:textId="4C47BBDD" w:rsidR="001D04FE" w:rsidRPr="001D04FE" w:rsidRDefault="001D04FE" w:rsidP="001D04FE">
            <w:pP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24634F"/>
                <w:sz w:val="20"/>
                <w:szCs w:val="20"/>
                <w:lang w:eastAsia="ja-JP"/>
              </w:rPr>
              <w:lastRenderedPageBreak/>
              <w:t xml:space="preserve">10.A Legal Due Diligence   </w:t>
            </w:r>
          </w:p>
        </w:tc>
      </w:tr>
      <w:tr w:rsidR="001D04FE" w:rsidRPr="001D04FE" w14:paraId="13A7EFCF" w14:textId="77777777" w:rsidTr="17350A0B">
        <w:trPr>
          <w:trHeight w:val="858"/>
        </w:trPr>
        <w:tc>
          <w:tcPr>
            <w:tcW w:w="10024" w:type="dxa"/>
            <w:shd w:val="clear" w:color="auto" w:fill="FFFFFF" w:themeFill="background1"/>
          </w:tcPr>
          <w:p w14:paraId="1E7A7C14" w14:textId="77777777" w:rsidR="001D04FE" w:rsidRPr="00041CF3" w:rsidRDefault="001D04FE" w:rsidP="00041CF3">
            <w:pPr>
              <w:spacing w:before="40" w:after="4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  <w:p w14:paraId="2C513D6C" w14:textId="5C9401E8" w:rsidR="00A10D38" w:rsidRDefault="00803026" w:rsidP="17350A0B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ja-JP"/>
              </w:rPr>
            </w:pP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WFP operates in Zimbabwe in accordance with the Basic Agreement signed between the Parties on the 24th of November 1982 and completed by the Letter of Understanding (</w:t>
            </w:r>
            <w:proofErr w:type="spellStart"/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LoU</w:t>
            </w:r>
            <w:proofErr w:type="spellEnd"/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) signed by WFP and the Government of Zimbabwe on the 13th of May 2018. </w:t>
            </w:r>
            <w:r w:rsidR="00824DA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No other specific</w:t>
            </w:r>
            <w:r w:rsidR="001657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 agreement is required to implement the proposed project</w:t>
            </w:r>
            <w:r w:rsidR="00443D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 besides the Subsidiary Agreement in accordance with the AMA</w:t>
            </w:r>
            <w:r w:rsidR="001657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. </w:t>
            </w:r>
          </w:p>
          <w:p w14:paraId="0A14D37D" w14:textId="77777777" w:rsidR="00A10D38" w:rsidRDefault="00A10D38" w:rsidP="17350A0B">
            <w:pPr>
              <w:spacing w:before="40" w:after="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ja-JP"/>
              </w:rPr>
            </w:pPr>
          </w:p>
          <w:p w14:paraId="2FC95914" w14:textId="43AE202A" w:rsidR="00DA57A1" w:rsidRPr="009E3049" w:rsidRDefault="17350A0B" w:rsidP="17350A0B">
            <w:pPr>
              <w:spacing w:before="40" w:after="4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ja-JP"/>
              </w:rPr>
            </w:pPr>
            <w:r w:rsidRPr="17350A0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ja-JP"/>
              </w:rPr>
              <w:t xml:space="preserve">As stated in the ESS, asset creation activities will undergo a national law required environmental and social risks screening to ensure activities are and remain “low risk”. No other special license or permit is required to implement the proposed project. </w:t>
            </w:r>
          </w:p>
          <w:p w14:paraId="4CFB8CC0" w14:textId="77777777" w:rsidR="002D74A8" w:rsidRPr="009E3049" w:rsidRDefault="002D74A8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</w:p>
          <w:p w14:paraId="230BC928" w14:textId="4A8E83D5" w:rsidR="002D74A8" w:rsidRDefault="00803026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For the procurement of goods</w:t>
            </w:r>
            <w:r w:rsidR="007F2F1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, works</w:t>
            </w: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 and services, Section 7 of UN Privileges and </w:t>
            </w:r>
            <w:r w:rsidR="00A80AB8"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I</w:t>
            </w: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mmunities </w:t>
            </w:r>
            <w:r w:rsidR="001B1FDA"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is in effect</w:t>
            </w: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.  </w:t>
            </w:r>
            <w:r w:rsidR="00207A45" w:rsidRPr="009E3049">
              <w:rPr>
                <w:rFonts w:ascii="Arial" w:hAnsi="Arial" w:cs="Arial"/>
                <w:sz w:val="20"/>
                <w:szCs w:val="20"/>
              </w:rPr>
              <w:t xml:space="preserve">Section 7 of the Convention on the Privileges and Immunities of the United Nations provide, </w:t>
            </w:r>
            <w:r w:rsidR="00207A45" w:rsidRPr="009E30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inter alia </w:t>
            </w:r>
            <w:r w:rsidR="00207A45" w:rsidRPr="009E3049">
              <w:rPr>
                <w:rFonts w:ascii="Arial" w:hAnsi="Arial" w:cs="Arial"/>
                <w:sz w:val="20"/>
                <w:szCs w:val="20"/>
              </w:rPr>
              <w:t>that the United Nations and its subsidiary organs are exempt from all direct taxes, except for utilities services, and is exempt from customs duties and charges of a similar nature in respect of items imported or exported for its official use.</w:t>
            </w:r>
            <w:r w:rsidR="008C53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3FB" w:rsidRPr="008C53FB">
              <w:rPr>
                <w:rFonts w:ascii="Arial" w:hAnsi="Arial" w:cs="Arial"/>
                <w:sz w:val="20"/>
                <w:szCs w:val="20"/>
              </w:rPr>
              <w:t>GCF Proceeds will not be used to finance any Taxes in relation to the Goods</w:t>
            </w:r>
            <w:r w:rsidR="007F2F19">
              <w:rPr>
                <w:rFonts w:ascii="Arial" w:hAnsi="Arial" w:cs="Arial"/>
                <w:sz w:val="20"/>
                <w:szCs w:val="20"/>
              </w:rPr>
              <w:t>, Works</w:t>
            </w:r>
            <w:r w:rsidR="008C53FB" w:rsidRPr="008C53FB">
              <w:rPr>
                <w:rFonts w:ascii="Arial" w:hAnsi="Arial" w:cs="Arial"/>
                <w:sz w:val="20"/>
                <w:szCs w:val="20"/>
              </w:rPr>
              <w:t xml:space="preserve"> and Services to be procured under the Project</w:t>
            </w:r>
            <w:r w:rsidR="00E4070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3C9EA0" w14:textId="77777777" w:rsidR="002D74A8" w:rsidRPr="009E3049" w:rsidRDefault="002D74A8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</w:p>
          <w:p w14:paraId="717C9DF1" w14:textId="2A3F4E84" w:rsidR="001D04FE" w:rsidRPr="009E3049" w:rsidRDefault="00CC5653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T</w:t>
            </w:r>
            <w:r w:rsidR="0001036A" w:rsidRPr="009E3049">
              <w:rPr>
                <w:rFonts w:ascii="Arial" w:hAnsi="Arial" w:cs="Arial"/>
                <w:sz w:val="20"/>
                <w:szCs w:val="20"/>
              </w:rPr>
              <w:t xml:space="preserve">ax </w:t>
            </w:r>
            <w:r w:rsidR="008733BF" w:rsidRPr="009E3049">
              <w:rPr>
                <w:rFonts w:ascii="Arial" w:hAnsi="Arial" w:cs="Arial"/>
                <w:sz w:val="20"/>
                <w:szCs w:val="20"/>
              </w:rPr>
              <w:t>exemptions</w:t>
            </w:r>
            <w:r w:rsidR="0001036A" w:rsidRPr="009E3049">
              <w:rPr>
                <w:rFonts w:ascii="Arial" w:hAnsi="Arial" w:cs="Arial"/>
                <w:sz w:val="20"/>
                <w:szCs w:val="20"/>
              </w:rPr>
              <w:t xml:space="preserve"> apply to Goods and Services procured by WFP. WFP’s contractors/</w:t>
            </w:r>
            <w:r w:rsidR="00A10D38">
              <w:rPr>
                <w:rFonts w:ascii="Arial" w:hAnsi="Arial" w:cs="Arial"/>
                <w:sz w:val="20"/>
                <w:szCs w:val="20"/>
              </w:rPr>
              <w:t>procured parties</w:t>
            </w:r>
            <w:r w:rsidR="0001036A" w:rsidRPr="009E3049">
              <w:rPr>
                <w:rFonts w:ascii="Arial" w:hAnsi="Arial" w:cs="Arial"/>
                <w:sz w:val="20"/>
                <w:szCs w:val="20"/>
              </w:rPr>
              <w:t xml:space="preserve"> cannot benefit from WFP’s tax </w:t>
            </w:r>
            <w:r w:rsidR="008733BF" w:rsidRPr="009E3049">
              <w:rPr>
                <w:rFonts w:ascii="Arial" w:hAnsi="Arial" w:cs="Arial"/>
                <w:sz w:val="20"/>
                <w:szCs w:val="20"/>
              </w:rPr>
              <w:t>exemptions.</w:t>
            </w:r>
            <w:r w:rsidR="00297235" w:rsidRPr="009E304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54C42B66" w14:textId="77777777" w:rsidR="001D04FE" w:rsidRPr="009E3049" w:rsidRDefault="001D04FE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</w:p>
          <w:p w14:paraId="04C1C3D9" w14:textId="440D308C" w:rsidR="001D04FE" w:rsidRPr="009E3049" w:rsidRDefault="00EC3531" w:rsidP="00041CF3">
            <w:pPr>
              <w:rPr>
                <w:rFonts w:ascii="Arial" w:hAnsi="Arial" w:cs="Arial"/>
                <w:sz w:val="20"/>
                <w:szCs w:val="20"/>
              </w:rPr>
            </w:pP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Regarding </w:t>
            </w:r>
            <w:r w:rsidR="00726621"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l</w:t>
            </w:r>
            <w:r w:rsidR="00DA57A1"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>and rights</w:t>
            </w:r>
            <w:r w:rsidR="00562219"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 </w:t>
            </w:r>
            <w:r w:rsidRPr="009E304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  <w:t xml:space="preserve">it is important to note that </w:t>
            </w:r>
            <w:r w:rsidR="00B633AF" w:rsidRPr="009E3049">
              <w:rPr>
                <w:rFonts w:ascii="Arial" w:hAnsi="Arial" w:cs="Arial"/>
                <w:sz w:val="20"/>
                <w:szCs w:val="20"/>
              </w:rPr>
              <w:t>l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and is not acquired by the </w:t>
            </w:r>
            <w:r w:rsidR="00B633AF" w:rsidRPr="009E3049">
              <w:rPr>
                <w:rFonts w:ascii="Arial" w:hAnsi="Arial" w:cs="Arial"/>
                <w:sz w:val="20"/>
                <w:szCs w:val="20"/>
              </w:rPr>
              <w:t>project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E3049">
              <w:rPr>
                <w:rFonts w:ascii="Arial" w:hAnsi="Arial" w:cs="Arial"/>
                <w:sz w:val="20"/>
                <w:szCs w:val="20"/>
              </w:rPr>
              <w:t>An</w:t>
            </w:r>
            <w:r w:rsidR="00FB45A3" w:rsidRPr="009E3049">
              <w:rPr>
                <w:rFonts w:ascii="Arial" w:hAnsi="Arial" w:cs="Arial"/>
                <w:sz w:val="20"/>
                <w:szCs w:val="20"/>
              </w:rPr>
              <w:t>y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45A3" w:rsidRPr="009E3049">
              <w:rPr>
                <w:rFonts w:ascii="Arial" w:hAnsi="Arial" w:cs="Arial"/>
                <w:sz w:val="20"/>
                <w:szCs w:val="20"/>
              </w:rPr>
              <w:t>l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and acquisition </w:t>
            </w:r>
            <w:r w:rsidR="00FB45A3" w:rsidRPr="009E3049">
              <w:rPr>
                <w:rFonts w:ascii="Arial" w:hAnsi="Arial" w:cs="Arial"/>
                <w:sz w:val="20"/>
                <w:szCs w:val="20"/>
              </w:rPr>
              <w:t xml:space="preserve">by communities 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(either communal or private land) </w:t>
            </w:r>
            <w:r w:rsidR="00FB45A3" w:rsidRPr="009E3049">
              <w:rPr>
                <w:rFonts w:ascii="Arial" w:hAnsi="Arial" w:cs="Arial"/>
                <w:sz w:val="20"/>
                <w:szCs w:val="20"/>
              </w:rPr>
              <w:t>will</w:t>
            </w:r>
            <w:r w:rsidR="00562219" w:rsidRPr="009E3049">
              <w:rPr>
                <w:rFonts w:ascii="Arial" w:hAnsi="Arial" w:cs="Arial"/>
                <w:sz w:val="20"/>
                <w:szCs w:val="20"/>
              </w:rPr>
              <w:t xml:space="preserve"> be on a “willing buyer/willing seller” principle.</w:t>
            </w:r>
            <w:r w:rsidR="00CB55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4">
              <w:rPr>
                <w:rFonts w:ascii="Arial" w:hAnsi="Arial" w:cs="Arial"/>
                <w:sz w:val="20"/>
                <w:szCs w:val="20"/>
              </w:rPr>
              <w:t xml:space="preserve">In cases where </w:t>
            </w:r>
            <w:r w:rsidR="002F1834" w:rsidRPr="002F1834">
              <w:rPr>
                <w:rFonts w:ascii="Arial" w:hAnsi="Arial" w:cs="Arial"/>
                <w:sz w:val="20"/>
                <w:szCs w:val="20"/>
              </w:rPr>
              <w:t>rights to use and access land are required</w:t>
            </w:r>
            <w:r w:rsidR="00A543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43FD" w:rsidRPr="008E79CA">
              <w:rPr>
                <w:rFonts w:ascii="Arial" w:hAnsi="Arial" w:cs="Arial"/>
                <w:sz w:val="20"/>
                <w:szCs w:val="20"/>
              </w:rPr>
              <w:t>for the purpose of the project</w:t>
            </w:r>
            <w:r w:rsidR="00C60211" w:rsidRPr="008E79CA">
              <w:rPr>
                <w:rFonts w:ascii="Arial" w:hAnsi="Arial" w:cs="Arial"/>
                <w:sz w:val="20"/>
                <w:szCs w:val="20"/>
              </w:rPr>
              <w:t xml:space="preserve"> within a specific community</w:t>
            </w:r>
            <w:r w:rsidR="00A543FD">
              <w:rPr>
                <w:rFonts w:ascii="Arial" w:hAnsi="Arial" w:cs="Arial"/>
                <w:sz w:val="20"/>
                <w:szCs w:val="20"/>
              </w:rPr>
              <w:t>,</w:t>
            </w:r>
            <w:r w:rsidR="008E79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79CA" w:rsidRPr="008E79CA">
              <w:rPr>
                <w:rFonts w:ascii="Arial" w:hAnsi="Arial" w:cs="Arial"/>
                <w:sz w:val="20"/>
                <w:szCs w:val="20"/>
              </w:rPr>
              <w:t xml:space="preserve">legal agreements will </w:t>
            </w:r>
            <w:r w:rsidR="00C60211">
              <w:rPr>
                <w:rFonts w:ascii="Arial" w:hAnsi="Arial" w:cs="Arial"/>
                <w:sz w:val="20"/>
                <w:szCs w:val="20"/>
              </w:rPr>
              <w:t>be signed and</w:t>
            </w:r>
            <w:r w:rsidR="008E79CA" w:rsidRPr="008E79CA">
              <w:rPr>
                <w:rFonts w:ascii="Arial" w:hAnsi="Arial" w:cs="Arial"/>
                <w:sz w:val="20"/>
                <w:szCs w:val="20"/>
              </w:rPr>
              <w:t xml:space="preserve"> the service provider working in the area and supporting asset creation </w:t>
            </w:r>
            <w:r w:rsidR="00C60211">
              <w:rPr>
                <w:rFonts w:ascii="Arial" w:hAnsi="Arial" w:cs="Arial"/>
                <w:sz w:val="20"/>
                <w:szCs w:val="20"/>
              </w:rPr>
              <w:t>activities will be</w:t>
            </w:r>
            <w:r w:rsidR="008E79CA" w:rsidRPr="008E79CA">
              <w:rPr>
                <w:rFonts w:ascii="Arial" w:hAnsi="Arial" w:cs="Arial"/>
                <w:sz w:val="20"/>
                <w:szCs w:val="20"/>
              </w:rPr>
              <w:t xml:space="preserve"> required to provide such valid legal agreements to WFP, for verification and record keeping.</w:t>
            </w:r>
          </w:p>
          <w:p w14:paraId="2A3145FF" w14:textId="77777777" w:rsidR="001D04FE" w:rsidRPr="009E3049" w:rsidRDefault="001D04FE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</w:p>
          <w:p w14:paraId="3F5722C0" w14:textId="19F589F6" w:rsidR="001D04FE" w:rsidRPr="009E3049" w:rsidRDefault="00952A81" w:rsidP="001D04FE">
            <w:pPr>
              <w:spacing w:before="40" w:after="40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</w:pPr>
            <w:r w:rsidRPr="009E30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  <w:t>No i</w:t>
            </w:r>
            <w:r w:rsidR="001D2806" w:rsidRPr="009E30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  <w:t xml:space="preserve">nsurance policies or </w:t>
            </w:r>
            <w:r w:rsidR="008347A4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  <w:t xml:space="preserve">regulatory </w:t>
            </w:r>
            <w:r w:rsidR="001D2806" w:rsidRPr="009E30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  <w:t>requirements related to the project</w:t>
            </w:r>
            <w:r w:rsidRPr="009E3049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ja-JP"/>
              </w:rPr>
              <w:t xml:space="preserve"> are applicable. </w:t>
            </w:r>
          </w:p>
          <w:p w14:paraId="1EDD421A" w14:textId="293DB4CA" w:rsidR="00CA529C" w:rsidRPr="009E3049" w:rsidRDefault="00CA529C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</w:p>
          <w:p w14:paraId="3F4D7EF4" w14:textId="175C412E" w:rsidR="00CA529C" w:rsidRPr="009E3049" w:rsidRDefault="00CA529C" w:rsidP="001D04FE">
            <w:pPr>
              <w:spacing w:before="40" w:after="4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ja-JP"/>
              </w:rPr>
            </w:pPr>
            <w:r w:rsidRPr="009E3049">
              <w:rPr>
                <w:rFonts w:ascii="Arial" w:hAnsi="Arial" w:cs="Arial"/>
                <w:sz w:val="20"/>
                <w:szCs w:val="20"/>
              </w:rPr>
              <w:t xml:space="preserve">The procurement of Goods and Services for Funded Activities shall be done in accordance with </w:t>
            </w:r>
            <w:r w:rsidR="00BD07D1" w:rsidRPr="009E3049">
              <w:rPr>
                <w:rFonts w:ascii="Arial" w:hAnsi="Arial" w:cs="Arial"/>
                <w:sz w:val="20"/>
                <w:szCs w:val="20"/>
              </w:rPr>
              <w:t xml:space="preserve">WFP’s </w:t>
            </w:r>
            <w:r w:rsidRPr="009E3049">
              <w:rPr>
                <w:rFonts w:ascii="Arial" w:hAnsi="Arial" w:cs="Arial"/>
                <w:sz w:val="20"/>
                <w:szCs w:val="20"/>
              </w:rPr>
              <w:t>rules, policies and procedures</w:t>
            </w:r>
            <w:r w:rsidR="00BD07D1" w:rsidRPr="009E30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DCF4CC" w14:textId="77777777" w:rsidR="001D04FE" w:rsidRPr="001D04FE" w:rsidRDefault="001D04FE" w:rsidP="001D04FE">
            <w:pPr>
              <w:spacing w:before="40" w:after="40"/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</w:pPr>
          </w:p>
        </w:tc>
      </w:tr>
    </w:tbl>
    <w:p w14:paraId="17674F8F" w14:textId="7163EDF9" w:rsidR="002D74A8" w:rsidRDefault="002D74A8"/>
    <w:p w14:paraId="21AD5F2C" w14:textId="77777777" w:rsidR="002D74A8" w:rsidRDefault="002D74A8"/>
    <w:tbl>
      <w:tblPr>
        <w:tblStyle w:val="TableGrid"/>
        <w:tblW w:w="10074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10074"/>
      </w:tblGrid>
      <w:tr w:rsidR="001D04FE" w:rsidRPr="001D04FE" w14:paraId="0751FC5D" w14:textId="77777777" w:rsidTr="17350A0B">
        <w:trPr>
          <w:trHeight w:val="345"/>
        </w:trPr>
        <w:tc>
          <w:tcPr>
            <w:tcW w:w="10074" w:type="dxa"/>
            <w:shd w:val="clear" w:color="auto" w:fill="F2F2F2" w:themeFill="background1" w:themeFillShade="F2"/>
            <w:vAlign w:val="center"/>
          </w:tcPr>
          <w:p w14:paraId="31DD0693" w14:textId="77777777" w:rsidR="001D04FE" w:rsidRPr="001D04FE" w:rsidRDefault="001D04FE" w:rsidP="00EA6726">
            <w:pP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24634F"/>
                <w:sz w:val="20"/>
                <w:szCs w:val="20"/>
                <w:lang w:eastAsia="ja-JP"/>
              </w:rPr>
              <w:t xml:space="preserve">10.B. Legal Opinion/Certificate of Internal Approvals  </w:t>
            </w:r>
          </w:p>
        </w:tc>
      </w:tr>
      <w:tr w:rsidR="001D04FE" w:rsidRPr="001D04FE" w14:paraId="1F0720B8" w14:textId="77777777" w:rsidTr="17350A0B">
        <w:trPr>
          <w:trHeight w:val="701"/>
        </w:trPr>
        <w:tc>
          <w:tcPr>
            <w:tcW w:w="10074" w:type="dxa"/>
            <w:shd w:val="clear" w:color="auto" w:fill="FFFFFF" w:themeFill="background1"/>
          </w:tcPr>
          <w:p w14:paraId="6F4B2FC8" w14:textId="77777777" w:rsidR="001D04FE" w:rsidRPr="00CB70B6" w:rsidRDefault="001D04FE" w:rsidP="001D04FE">
            <w:pPr>
              <w:spacing w:before="40" w:after="40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</w:p>
          <w:p w14:paraId="4FAB04CA" w14:textId="6D390B8D" w:rsidR="001D04FE" w:rsidRPr="00CB70B6" w:rsidRDefault="17350A0B" w:rsidP="17350A0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17350A0B">
              <w:rPr>
                <w:rFonts w:ascii="Arial" w:hAnsi="Arial" w:cs="Arial"/>
                <w:sz w:val="20"/>
                <w:szCs w:val="20"/>
              </w:rPr>
              <w:t xml:space="preserve">Verbal internal approval has been given. </w:t>
            </w:r>
            <w:r w:rsidRPr="17350A0B">
              <w:rPr>
                <w:rFonts w:ascii="Arial" w:hAnsi="Arial" w:cs="Arial"/>
                <w:color w:val="000000" w:themeColor="text1"/>
                <w:sz w:val="20"/>
                <w:szCs w:val="20"/>
                <w:lang w:eastAsia="ja-JP"/>
              </w:rPr>
              <w:t xml:space="preserve">Internal approval evidence will be provided once the review process is finished and all documents (proposal and annexes) are finalized. </w:t>
            </w:r>
            <w:r w:rsidRPr="17350A0B">
              <w:rPr>
                <w:rFonts w:ascii="Arial" w:hAnsi="Arial" w:cs="Arial"/>
                <w:sz w:val="20"/>
                <w:szCs w:val="20"/>
              </w:rPr>
              <w:t xml:space="preserve">The official letter from WFP’s legal department will be submitted to the GCF Secretariat not later than 21 June 2019. </w:t>
            </w:r>
          </w:p>
          <w:p w14:paraId="6EE39132" w14:textId="77777777" w:rsidR="001D04FE" w:rsidRPr="00CB70B6" w:rsidRDefault="001D04FE" w:rsidP="001D04FE">
            <w:pPr>
              <w:pStyle w:val="ListParagraph"/>
              <w:spacing w:before="40" w:after="40" w:line="240" w:lineRule="auto"/>
              <w:ind w:left="1080"/>
              <w:rPr>
                <w:rFonts w:ascii="Arial" w:hAnsi="Arial" w:cs="Arial"/>
                <w:bCs/>
                <w:spacing w:val="5"/>
                <w:sz w:val="20"/>
                <w:szCs w:val="20"/>
              </w:rPr>
            </w:pPr>
          </w:p>
          <w:p w14:paraId="3523DC14" w14:textId="77777777" w:rsidR="001D04FE" w:rsidRPr="00A10D38" w:rsidRDefault="001D04FE" w:rsidP="00A10D38">
            <w:pPr>
              <w:spacing w:before="40" w:after="40"/>
              <w:rPr>
                <w:rFonts w:ascii="Arial" w:hAnsi="Arial" w:cs="Arial"/>
                <w:bCs/>
                <w:spacing w:val="5"/>
                <w:sz w:val="20"/>
                <w:szCs w:val="20"/>
              </w:rPr>
            </w:pPr>
          </w:p>
          <w:p w14:paraId="3BBEBA8A" w14:textId="77777777" w:rsidR="001D04FE" w:rsidRPr="00CB70B6" w:rsidRDefault="001D04FE" w:rsidP="001D04FE">
            <w:pPr>
              <w:spacing w:before="40" w:after="40"/>
              <w:rPr>
                <w:rFonts w:ascii="Arial" w:hAnsi="Arial" w:cs="Arial"/>
                <w:bCs/>
                <w:spacing w:val="5"/>
                <w:sz w:val="20"/>
                <w:szCs w:val="20"/>
              </w:rPr>
            </w:pPr>
          </w:p>
        </w:tc>
      </w:tr>
    </w:tbl>
    <w:p w14:paraId="6F7EEB7D" w14:textId="77777777" w:rsidR="001D04FE" w:rsidRDefault="001D04FE"/>
    <w:sectPr w:rsidR="001D04FE" w:rsidSect="001D0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67362"/>
    <w:multiLevelType w:val="hybridMultilevel"/>
    <w:tmpl w:val="A28C6A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FE"/>
    <w:rsid w:val="0001036A"/>
    <w:rsid w:val="00017DCC"/>
    <w:rsid w:val="00021256"/>
    <w:rsid w:val="00041CF3"/>
    <w:rsid w:val="00086D2A"/>
    <w:rsid w:val="000C6307"/>
    <w:rsid w:val="00114744"/>
    <w:rsid w:val="00165747"/>
    <w:rsid w:val="00195435"/>
    <w:rsid w:val="001B1A06"/>
    <w:rsid w:val="001B1FDA"/>
    <w:rsid w:val="001C59D1"/>
    <w:rsid w:val="001D04FE"/>
    <w:rsid w:val="001D2806"/>
    <w:rsid w:val="001D4EC8"/>
    <w:rsid w:val="00207A45"/>
    <w:rsid w:val="00297235"/>
    <w:rsid w:val="002D37E9"/>
    <w:rsid w:val="002D74A8"/>
    <w:rsid w:val="002F1834"/>
    <w:rsid w:val="00304DC5"/>
    <w:rsid w:val="00315ED2"/>
    <w:rsid w:val="003470F3"/>
    <w:rsid w:val="003768DB"/>
    <w:rsid w:val="0039164F"/>
    <w:rsid w:val="00407BAD"/>
    <w:rsid w:val="00443D75"/>
    <w:rsid w:val="004776E3"/>
    <w:rsid w:val="004C1D6E"/>
    <w:rsid w:val="004C2839"/>
    <w:rsid w:val="004C31C8"/>
    <w:rsid w:val="004F3169"/>
    <w:rsid w:val="00523407"/>
    <w:rsid w:val="005403A0"/>
    <w:rsid w:val="00562219"/>
    <w:rsid w:val="00580DBA"/>
    <w:rsid w:val="005B241F"/>
    <w:rsid w:val="005E77ED"/>
    <w:rsid w:val="00602216"/>
    <w:rsid w:val="00611397"/>
    <w:rsid w:val="00614537"/>
    <w:rsid w:val="00693D98"/>
    <w:rsid w:val="006C6468"/>
    <w:rsid w:val="006E36E6"/>
    <w:rsid w:val="006F7FE0"/>
    <w:rsid w:val="00726621"/>
    <w:rsid w:val="0073660F"/>
    <w:rsid w:val="007425F6"/>
    <w:rsid w:val="0076669D"/>
    <w:rsid w:val="007C1B88"/>
    <w:rsid w:val="007D1FD8"/>
    <w:rsid w:val="007F2F19"/>
    <w:rsid w:val="0080168A"/>
    <w:rsid w:val="00803026"/>
    <w:rsid w:val="00824DA3"/>
    <w:rsid w:val="008347A4"/>
    <w:rsid w:val="00866656"/>
    <w:rsid w:val="008733BF"/>
    <w:rsid w:val="008A7894"/>
    <w:rsid w:val="008C53FB"/>
    <w:rsid w:val="008C59DA"/>
    <w:rsid w:val="008E2052"/>
    <w:rsid w:val="008E79CA"/>
    <w:rsid w:val="00941E03"/>
    <w:rsid w:val="00952A81"/>
    <w:rsid w:val="009714E1"/>
    <w:rsid w:val="009B38CA"/>
    <w:rsid w:val="009C5FB0"/>
    <w:rsid w:val="009E3049"/>
    <w:rsid w:val="00A10D38"/>
    <w:rsid w:val="00A543FD"/>
    <w:rsid w:val="00A80AB8"/>
    <w:rsid w:val="00A8290B"/>
    <w:rsid w:val="00AA5E9A"/>
    <w:rsid w:val="00B03E68"/>
    <w:rsid w:val="00B5514F"/>
    <w:rsid w:val="00B57A0F"/>
    <w:rsid w:val="00B633AF"/>
    <w:rsid w:val="00B72AF1"/>
    <w:rsid w:val="00B86B45"/>
    <w:rsid w:val="00B92C71"/>
    <w:rsid w:val="00B957AE"/>
    <w:rsid w:val="00BB7828"/>
    <w:rsid w:val="00BD07D1"/>
    <w:rsid w:val="00BD373A"/>
    <w:rsid w:val="00BF79D2"/>
    <w:rsid w:val="00C1776B"/>
    <w:rsid w:val="00C2584F"/>
    <w:rsid w:val="00C60211"/>
    <w:rsid w:val="00CA529C"/>
    <w:rsid w:val="00CB5579"/>
    <w:rsid w:val="00CB70B6"/>
    <w:rsid w:val="00CC5653"/>
    <w:rsid w:val="00D05ABE"/>
    <w:rsid w:val="00D51E5D"/>
    <w:rsid w:val="00DA57A1"/>
    <w:rsid w:val="00DD6739"/>
    <w:rsid w:val="00E40701"/>
    <w:rsid w:val="00E60F7E"/>
    <w:rsid w:val="00E63A66"/>
    <w:rsid w:val="00E74A10"/>
    <w:rsid w:val="00EA5C03"/>
    <w:rsid w:val="00EA6726"/>
    <w:rsid w:val="00EC3531"/>
    <w:rsid w:val="00EE37E4"/>
    <w:rsid w:val="00FB45A3"/>
    <w:rsid w:val="1735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A68EC"/>
  <w15:chartTrackingRefBased/>
  <w15:docId w15:val="{2ABE995D-2246-4DB4-9BE7-04976C15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04FE"/>
    <w:pPr>
      <w:spacing w:after="0" w:line="240" w:lineRule="auto"/>
    </w:pPr>
    <w:rPr>
      <w:rFonts w:eastAsia="MS Mincho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04FE"/>
    <w:pPr>
      <w:spacing w:line="252" w:lineRule="auto"/>
      <w:ind w:left="720"/>
    </w:pPr>
    <w:rPr>
      <w:rFonts w:ascii="Calibri" w:hAnsi="Calibri" w:cs="Calibri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76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76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76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76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6E3"/>
    <w:rPr>
      <w:b/>
      <w:bCs/>
      <w:sz w:val="20"/>
      <w:szCs w:val="20"/>
    </w:rPr>
  </w:style>
  <w:style w:type="paragraph" w:customStyle="1" w:styleId="Default">
    <w:name w:val="Default"/>
    <w:rsid w:val="004776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1E377D-370B-4EA3-AB3C-79062E7404C0}">
  <ds:schemaRefs>
    <ds:schemaRef ds:uri="http://schemas.microsoft.com/office/2006/metadata/properties"/>
    <ds:schemaRef ds:uri="a2605db5-2644-4d98-8e0f-92f01a17f3b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7CF704-3D25-4266-9717-8AA401182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EDD0D8-E18D-4981-80AD-EFBE51AA7C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 Vizuete Fernandez</dc:creator>
  <cp:keywords/>
  <dc:description/>
  <cp:lastModifiedBy>WFP</cp:lastModifiedBy>
  <cp:revision>3</cp:revision>
  <cp:lastPrinted>2019-05-15T09:25:00Z</cp:lastPrinted>
  <dcterms:created xsi:type="dcterms:W3CDTF">2019-05-29T14:44:00Z</dcterms:created>
  <dcterms:modified xsi:type="dcterms:W3CDTF">2019-05-29T14:44:00Z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  <property fmtid="{D5CDD505-2E9C-101B-9397-08002B2CF9AE}" pid="3" name="AuthorIds_UIVersion_1024">
    <vt:lpwstr>11</vt:lpwstr>
  </property>
</Properties>
</file>